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6B8A" w:sz="8" w:space="6"/>
        </w:pBdr>
        <w:spacing w:after="300" w:before="0"/>
      </w:pPr>
      <w:r>
        <w:rPr>
          <w:rFonts w:ascii="Arial" w:cs="Arial" w:eastAsia="Arial" w:hAnsi="Arial"/>
          <w:b/>
          <w:bCs/>
          <w:color w:val="1B6B8A"/>
          <w:sz w:val="36"/>
          <w:szCs w:val="36"/>
        </w:rPr>
        <w:t xml:space="preserve">TABLE OF CONTENTS</w:t>
      </w:r>
    </w:p>
    <w:p>
      <w:pPr>
        <w:spacing w:after="0" w:before="100"/>
      </w:pPr>
      <w:r>
        <w:t xml:space="preserve"/>
      </w:r>
    </w:p>
    <w:p>
      <w:pPr>
        <w:tabs>
          <w:tab w:val="right" w:pos="8500" w:leader="dot"/>
        </w:tabs>
        <w:spacing w:after="80" w:before="120"/>
        <w:ind w:left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  Abstract</w:t>
      </w:r>
      <w:r>
        <w:rPr>
          <w:rFonts w:ascii="Arial" w:cs="Arial" w:eastAsia="Arial" w:hAnsi="Arial"/>
          <w:b/>
          <w:bCs/>
          <w:color w:val="1B6B8A"/>
          <w:sz w:val="22"/>
          <w:szCs w:val="22"/>
        </w:rPr>
        <w:t xml:space="preserve">	2</w:t>
      </w:r>
    </w:p>
    <w:p>
      <w:pPr>
        <w:spacing w:after="0" w:before="80"/>
      </w:pPr>
      <w:r>
        <w:t xml:space="preserve"/>
      </w:r>
    </w:p>
    <w:p>
      <w:pPr>
        <w:shd w:fill="EAF4F8" w:val="clear"/>
        <w:spacing w:after="60" w:before="22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  1   Multi-Agent Architecture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1.1  Overview &amp; Motivation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3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1.2  Hierarchical Architecture (Levels N → Agent Layer)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3–4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1.3  Five Design Principles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4–5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1.4  Three Agents as Proof of Concept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5–6</w:t>
      </w:r>
    </w:p>
    <w:p>
      <w:pPr>
        <w:tabs>
          <w:tab w:val="right" w:pos="8500" w:leader="dot"/>
        </w:tabs>
        <w:spacing w:after="40" w:before="60"/>
        <w:ind w:left="72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    Expert Advisor Agent</w:t>
      </w:r>
      <w:r>
        <w:rPr>
          <w:rFonts w:ascii="Arial" w:cs="Arial" w:eastAsia="Arial" w:hAnsi="Arial"/>
          <w:b w:val="false"/>
          <w:bCs w:val="false"/>
          <w:color w:val="1B6B8A"/>
          <w:sz w:val="19"/>
          <w:szCs w:val="19"/>
        </w:rPr>
        <w:t xml:space="preserve">	5</w:t>
      </w:r>
    </w:p>
    <w:p>
      <w:pPr>
        <w:tabs>
          <w:tab w:val="right" w:pos="8500" w:leader="dot"/>
        </w:tabs>
        <w:spacing w:after="40" w:before="60"/>
        <w:ind w:left="72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    DFMEA Generator Agent</w:t>
      </w:r>
      <w:r>
        <w:rPr>
          <w:rFonts w:ascii="Arial" w:cs="Arial" w:eastAsia="Arial" w:hAnsi="Arial"/>
          <w:b w:val="false"/>
          <w:bCs w:val="false"/>
          <w:color w:val="1B6B8A"/>
          <w:sz w:val="19"/>
          <w:szCs w:val="19"/>
        </w:rPr>
        <w:t xml:space="preserve">	5–6</w:t>
      </w:r>
    </w:p>
    <w:p>
      <w:pPr>
        <w:tabs>
          <w:tab w:val="right" w:pos="8500" w:leader="dot"/>
        </w:tabs>
        <w:spacing w:after="40" w:before="60"/>
        <w:ind w:left="72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    Ride Optimisation Agent</w:t>
      </w:r>
      <w:r>
        <w:rPr>
          <w:rFonts w:ascii="Arial" w:cs="Arial" w:eastAsia="Arial" w:hAnsi="Arial"/>
          <w:b w:val="false"/>
          <w:bCs w:val="false"/>
          <w:color w:val="1B6B8A"/>
          <w:sz w:val="19"/>
          <w:szCs w:val="19"/>
        </w:rPr>
        <w:t xml:space="preserve">	6</w:t>
      </w:r>
    </w:p>
    <w:p>
      <w:pPr>
        <w:spacing w:after="0" w:before="60"/>
      </w:pPr>
      <w:r>
        <w:t xml:space="preserve"/>
      </w:r>
    </w:p>
    <w:p>
      <w:pPr>
        <w:shd w:fill="EAF4F8" w:val="clear"/>
        <w:spacing w:after="60" w:before="22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  2   Ride Optimisation: Goal &amp; Motivation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2.1  Objective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6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2.2  Motivation &amp; Metrics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6–7</w:t>
      </w:r>
    </w:p>
    <w:p>
      <w:pPr>
        <w:spacing w:after="0" w:before="60"/>
      </w:pPr>
      <w:r>
        <w:t xml:space="preserve"/>
      </w:r>
    </w:p>
    <w:p>
      <w:pPr>
        <w:shd w:fill="EAF4F8" w:val="clear"/>
        <w:spacing w:after="60" w:before="22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  3   System Definition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3.1  Vehicle Configuration (6×2 NRS)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7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3.2  Degrees of Freedom (6-DOF Model)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7–8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3.3  Governing System Equations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8–9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3.4  Tunable Suspension Parameters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9</w:t>
      </w:r>
    </w:p>
    <w:p>
      <w:pPr>
        <w:spacing w:after="0" w:before="60"/>
      </w:pPr>
      <w:r>
        <w:t xml:space="preserve"/>
      </w:r>
    </w:p>
    <w:p>
      <w:pPr>
        <w:shd w:fill="EAF4F8" w:val="clear"/>
        <w:spacing w:after="60" w:before="22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  4   Two Modelling Approaches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4.1  Physics-Based Approach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9–10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4.2  Deep Learning Surrogate Approach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10–11</w:t>
      </w:r>
    </w:p>
    <w:p>
      <w:pPr>
        <w:spacing w:after="0" w:before="60"/>
      </w:pPr>
      <w:r>
        <w:t xml:space="preserve"/>
      </w:r>
    </w:p>
    <w:p>
      <w:pPr>
        <w:shd w:fill="EAF4F8" w:val="clear"/>
        <w:spacing w:after="60" w:before="22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  5   Physics-Based Modelling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5.1  ODE System Formulation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11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5.2  Detailed Equations (Cabin Bounce, Pitch, Roll; Sprung Mass)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11–13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5.3  ODE Solution &amp; RMS Computation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14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5.4  Constrained Dynamics: KKT Formulation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14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5.5  Baumgarte Stabilisation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14–15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5.6  Shock Absorber Modelling: Asymmetric Nonlinear Damper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15</w:t>
      </w:r>
    </w:p>
    <w:p>
      <w:pPr>
        <w:tabs>
          <w:tab w:val="right" w:pos="8500" w:leader="dot"/>
        </w:tabs>
        <w:spacing w:after="40" w:before="60"/>
        <w:ind w:left="72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    Option 1: Direct Optimisation</w:t>
      </w:r>
      <w:r>
        <w:rPr>
          <w:rFonts w:ascii="Arial" w:cs="Arial" w:eastAsia="Arial" w:hAnsi="Arial"/>
          <w:b w:val="false"/>
          <w:bCs w:val="false"/>
          <w:color w:val="1B6B8A"/>
          <w:sz w:val="19"/>
          <w:szCs w:val="19"/>
        </w:rPr>
        <w:t xml:space="preserve">	16</w:t>
      </w:r>
    </w:p>
    <w:p>
      <w:pPr>
        <w:tabs>
          <w:tab w:val="right" w:pos="8500" w:leader="dot"/>
        </w:tabs>
        <w:spacing w:after="40" w:before="60"/>
        <w:ind w:left="720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    Option 2: Two-Phase Optimisation with Curve Fitting</w:t>
      </w:r>
      <w:r>
        <w:rPr>
          <w:rFonts w:ascii="Arial" w:cs="Arial" w:eastAsia="Arial" w:hAnsi="Arial"/>
          <w:b w:val="false"/>
          <w:bCs w:val="false"/>
          <w:color w:val="1B6B8A"/>
          <w:sz w:val="19"/>
          <w:szCs w:val="19"/>
        </w:rPr>
        <w:t xml:space="preserve">	16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5.7  Comparison &amp; Recommendation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17</w:t>
      </w:r>
    </w:p>
    <w:p>
      <w:pPr>
        <w:spacing w:after="0" w:before="60"/>
      </w:pPr>
      <w:r>
        <w:t xml:space="preserve"/>
      </w:r>
    </w:p>
    <w:p>
      <w:pPr>
        <w:shd w:fill="EAF4F8" w:val="clear"/>
        <w:spacing w:after="60" w:before="22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  6   Optimisation Framework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6.1  Objective Function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18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6.2  Single-Objective: Bayesian Optimisation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18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6.3  Multi-Objective: NSGA-II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18–19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6.4  Results &amp; Key Observations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19</w:t>
      </w:r>
    </w:p>
    <w:p>
      <w:pPr>
        <w:spacing w:after="0" w:before="60"/>
      </w:pPr>
      <w:r>
        <w:t xml:space="preserve"/>
      </w:r>
    </w:p>
    <w:p>
      <w:pPr>
        <w:shd w:fill="EAF4F8" w:val="clear"/>
        <w:spacing w:after="60" w:before="22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  7   Physics-Informed Neural Network (PINN) Surrogate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7.1  Motivation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20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7.2  PINN Architecture &amp; Loss Function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21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7.3  Network Architecture Pipeline (TCN → MLP → LSTM)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21–22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7.4  TCN and LSTM: Complementary Roles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22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7.5  Surrogate Model Results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22–23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7.6  Physics-Based vs. PINN Surrogate: Comparison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23–24</w:t>
      </w:r>
    </w:p>
    <w:p>
      <w:pPr>
        <w:spacing w:after="0" w:before="60"/>
      </w:pPr>
      <w:r>
        <w:t xml:space="preserve"/>
      </w:r>
    </w:p>
    <w:p>
      <w:pPr>
        <w:shd w:fill="EAF4F8" w:val="clear"/>
        <w:spacing w:after="60" w:before="22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  8   Generalised Engineering Optimisation Framework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8.1  Dual-Mode Modelling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24–25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8.2  Algorithm-Agnostic Optimisation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25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8.3  Domain Transferability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25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8.4  Integration with the Agentic Architecture (LangGraph)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25–26</w:t>
      </w:r>
    </w:p>
    <w:p>
      <w:pPr>
        <w:spacing w:after="0" w:before="60"/>
      </w:pPr>
      <w:r>
        <w:t xml:space="preserve"/>
      </w:r>
    </w:p>
    <w:p>
      <w:pPr>
        <w:shd w:fill="EAF4F8" w:val="clear"/>
        <w:spacing w:after="60" w:before="22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  9   Conclusion</w:t>
      </w:r>
    </w:p>
    <w:p>
      <w:pPr>
        <w:tabs>
          <w:tab w:val="right" w:pos="8500" w:leader="dot"/>
        </w:tabs>
        <w:spacing w:after="4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Conclusion</w:t>
      </w:r>
      <w:r>
        <w:rPr>
          <w:rFonts w:ascii="Arial" w:cs="Arial" w:eastAsia="Arial" w:hAnsi="Arial"/>
          <w:b w:val="false"/>
          <w:bCs w:val="false"/>
          <w:color w:val="1B6B8A"/>
          <w:sz w:val="20"/>
          <w:szCs w:val="20"/>
        </w:rPr>
        <w:t xml:space="preserve">	27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2026-05-19T06:04:32.369Z</dcterms:created>
  <dcterms:modified xsi:type="dcterms:W3CDTF">2026-05-19T06:04:32.369Z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