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0FD8C">
      <w:pPr>
        <w:spacing w:before="200" w:after="80"/>
        <w:jc w:val="center"/>
      </w:pPr>
      <w:bookmarkStart w:id="0" w:name="_GoBack"/>
      <w:r>
        <w:rPr>
          <w:rFonts w:ascii="微软雅黑" w:hAnsi="微软雅黑" w:eastAsia="微软雅黑" w:cs="微软雅黑"/>
          <w:color w:val="595959"/>
          <w:sz w:val="22"/>
          <w:szCs w:val="22"/>
        </w:rPr>
        <w:t>GOAI 世界人工智能开源大赛 · 赛道三：前沿探索 AI for Research</w:t>
      </w:r>
    </w:p>
    <w:p w14:paraId="6BD040D7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参赛手册修订对照表</w:t>
      </w:r>
    </w:p>
    <w:p w14:paraId="3AD89C2D">
      <w:pPr>
        <w:spacing w:after="300"/>
        <w:jc w:val="center"/>
      </w:pPr>
      <w:r>
        <w:rPr>
          <w:rFonts w:ascii="宋体" w:hAnsi="宋体" w:eastAsia="宋体" w:cs="宋体"/>
          <w:color w:val="595959"/>
          <w:sz w:val="21"/>
          <w:szCs w:val="21"/>
        </w:rPr>
        <w:t>2026 年 8 月修订版　</w:t>
      </w:r>
    </w:p>
    <w:p w14:paraId="3FD3E4F6">
      <w:pPr>
        <w:spacing w:before="0" w:after="120" w:line="300" w:lineRule="auto"/>
      </w:pPr>
      <w:r>
        <w:rPr>
          <w:rFonts w:ascii="宋体" w:hAnsi="宋体" w:eastAsia="宋体" w:cs="宋体"/>
          <w:sz w:val="21"/>
          <w:szCs w:val="21"/>
        </w:rPr>
        <w:t>本表对应《GOAI 赛道三参赛手册》2026 年 8 月修订版，用于与此前版本逐条对应。</w:t>
      </w:r>
    </w:p>
    <w:p w14:paraId="6DD782CC">
      <w:pPr>
        <w:spacing w:before="0" w:after="120" w:line="300" w:lineRule="auto"/>
      </w:pPr>
      <w:r>
        <w:rPr>
          <w:rFonts w:ascii="宋体" w:hAnsi="宋体" w:eastAsia="宋体" w:cs="宋体"/>
          <w:b/>
          <w:bCs/>
          <w:sz w:val="21"/>
          <w:szCs w:val="21"/>
        </w:rPr>
        <w:t>表一为规则变化，会改变参赛团队的准备动作。</w:t>
      </w:r>
      <w:r>
        <w:rPr>
          <w:rFonts w:ascii="宋体" w:hAnsi="宋体" w:eastAsia="宋体" w:cs="宋体"/>
          <w:sz w:val="21"/>
          <w:szCs w:val="21"/>
        </w:rPr>
        <w:t>表二为规则细化，为表述精确化、口径补充与范围澄清。</w:t>
      </w:r>
    </w:p>
    <w:p w14:paraId="15EBE257">
      <w:pPr>
        <w:pStyle w:val="2"/>
        <w:spacing w:before="320" w:after="180" w:line="300" w:lineRule="auto"/>
      </w:pPr>
      <w:r>
        <w:rPr>
          <w:rFonts w:ascii="微软雅黑" w:hAnsi="微软雅黑" w:eastAsia="微软雅黑" w:cs="微软雅黑"/>
          <w:b/>
          <w:bCs/>
          <w:color w:val="1F3864"/>
          <w:sz w:val="28"/>
          <w:szCs w:val="28"/>
        </w:rPr>
        <w:t>表一　规则变化</w:t>
      </w:r>
    </w:p>
    <w:p w14:paraId="681E4950">
      <w:pPr>
        <w:spacing w:before="0" w:after="140" w:line="300" w:lineRule="auto"/>
      </w:pPr>
      <w:r>
        <w:rPr>
          <w:rFonts w:ascii="宋体" w:hAnsi="宋体" w:eastAsia="宋体" w:cs="宋体"/>
          <w:color w:val="595959"/>
          <w:sz w:val="21"/>
          <w:szCs w:val="21"/>
        </w:rPr>
        <w:t>以下两条会改变参赛团队的准备动作。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41F7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37A272A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0097B0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8F4647F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1467D44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51C2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201766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522C695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评分榜设置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19351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本方向内设「封闭数据榜」与「开放知识榜」两个榜，分别排名。封闭数据榜仅使用组委会发布的训练数据、字段字典与官方基线；开放知识榜可在封闭数据基础上使用公开数据库、文献知识、通路模型与工具调用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DF6E3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4D8CE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两榜合并为统一的开放榜，统一评测、统一排名。外部公开资源自赛题发布起即在允许范围内，本次调整解除的是封闭榜对技术路径的限制；外部资源可用于实体特征构建（菌株基因组、化合物结构、通路注释等），须披露来源与版本。</w:t>
            </w:r>
          </w:p>
        </w:tc>
      </w:tr>
      <w:tr w14:paraId="002D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7E60397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02E756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初赛提交物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FADA02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初赛不强制提交代码，参赛队仅需说明开源计划与边界；代码于复赛阶段提交。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DF6E3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0246D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初赛须一并提交训练与推理源代码，随机种子与关键参数在代码中体现，外部资源注明来源与版本。不需要提交运行环境，无需容器或环境打包，也不要求完整文档；标准为代码完整、流程可复现。完整的复现审核仍在复赛进行。</w:t>
            </w:r>
          </w:p>
        </w:tc>
      </w:tr>
      <w:tr w14:paraId="756B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auto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647A227A">
            <w:pPr>
              <w:spacing w:after="0" w:line="29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5975406D">
            <w:pPr>
              <w:spacing w:after="0" w:line="290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评审维度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auto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353E7495">
            <w:pPr>
              <w:spacing w:after="0" w:line="290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三个维度：问题定义与环境设计质量 45%、探索过程与科学 / 研究信号 35%、可检查性与可延续性 20%。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auto"/>
            <w:tcMar>
              <w:top w:w="85" w:type="dxa"/>
              <w:left w:w="120" w:type="dxa"/>
              <w:bottom w:w="85" w:type="dxa"/>
              <w:right w:w="120" w:type="dxa"/>
            </w:tcMar>
            <w:vAlign w:val="top"/>
          </w:tcPr>
          <w:p w14:paraId="4B509A16">
            <w:pPr>
              <w:spacing w:after="0" w:line="290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四个维度：问题定义与环境设计质量 45%、探索过程与科学 / 研究信号 35% 保持不变；可检查性与可延续性调整为 15%，新增开源贡献 5%（代码、环境或数据处理管线的开源质量与可复用性，以及可被社区接续使用与复现的程度）。</w:t>
            </w:r>
          </w:p>
        </w:tc>
      </w:tr>
    </w:tbl>
    <w:p w14:paraId="64736595">
      <w:r>
        <w:br w:type="page"/>
      </w:r>
    </w:p>
    <w:p w14:paraId="45A94EA6">
      <w:pPr>
        <w:pStyle w:val="2"/>
        <w:spacing w:before="320" w:after="180" w:line="300" w:lineRule="auto"/>
      </w:pPr>
      <w:r>
        <w:rPr>
          <w:rFonts w:ascii="微软雅黑" w:hAnsi="微软雅黑" w:eastAsia="微软雅黑" w:cs="微软雅黑"/>
          <w:b/>
          <w:bCs/>
          <w:color w:val="1F3864"/>
          <w:sz w:val="28"/>
          <w:szCs w:val="28"/>
        </w:rPr>
        <w:t>表二　规则细化</w:t>
      </w:r>
    </w:p>
    <w:p w14:paraId="0D2B1500">
      <w:pPr>
        <w:spacing w:before="0" w:after="140" w:line="300" w:lineRule="auto"/>
      </w:pPr>
      <w:r>
        <w:rPr>
          <w:rFonts w:ascii="宋体" w:hAnsi="宋体" w:eastAsia="宋体" w:cs="宋体"/>
          <w:color w:val="595959"/>
          <w:sz w:val="21"/>
          <w:szCs w:val="21"/>
        </w:rPr>
        <w:t>以下各条为表述精确化、口径补充与范围澄清，涉及对赛题口径的准确理解。</w:t>
      </w:r>
    </w:p>
    <w:p w14:paraId="1C09FDC6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2.1　通用与流程（5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6181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ECA02A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D9DBCC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42FAEE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0B88D44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7170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6DC0CD3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F2921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数据集发放方式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ECF8C32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算法类赛题的公开数据集与 Benchmark 于 7 月 15 日通过官网发布，以官网最新版本为准。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AA11F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通过官网赛道详情页发布。公开数据集可直接下载；非公开数据集在报名审核通过后，由组委会通过邮件发放访问方式。</w:t>
            </w:r>
          </w:p>
        </w:tc>
      </w:tr>
      <w:tr w14:paraId="2010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89E3A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A25A08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公告与文档获取渠道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6165EF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手册未设专项说明。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1921B11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FAQ 新增 Q8：本赛道公告统一在大赛官网赛道详情页与官方参赛群发布，重要节点同步通过邮件通知，以官网发布的最新版本为准。</w:t>
            </w:r>
          </w:p>
        </w:tc>
      </w:tr>
      <w:tr w14:paraId="2EA3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EB82CA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0F07F87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结果核验条款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A1EC9F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未设独立的结果核验条款。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A365A0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组委会保留对参赛作品进行结果核验的权利，并结合成绩分布与提交材料的一致性，对存疑作品优先核验。成绩存在显著异常且无法合理说明，或存在使用评测集真值等违规情形的，取消相应成绩与参赛资格。</w:t>
            </w:r>
          </w:p>
        </w:tc>
      </w:tr>
      <w:tr w14:paraId="357F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C5D38C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EA9361A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跨方向排名口径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A13F6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技术性能 45% 的说明中列出各方向的具体折算方式：虚拟细胞取最终主榜六模块加权总分，小分子取三场景 T1/T2/T3 加权的最终主榜得分，材料取基本任务加进阶路线综合分。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F6422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方向内量化成绩经跨方向校准后的表现，各方向量化口径见方向详解，具体折算方式以官方评测说明为准。「统一评分、单一冠军」的原则不变。</w:t>
            </w:r>
          </w:p>
        </w:tc>
      </w:tr>
      <w:tr w14:paraId="62AB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860166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8567BF2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评审设计待确认项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0A9173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正文列有「待确认（评审设计）」一段：虚拟细胞双榜如何进入统一总排名、跨方向可比性依赖的归一化口径。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DB1218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随双榜合并，该段已删除。</w:t>
            </w:r>
          </w:p>
        </w:tc>
      </w:tr>
    </w:tbl>
    <w:p w14:paraId="56151126">
      <w:r>
        <w:br w:type="page"/>
      </w:r>
    </w:p>
    <w:p w14:paraId="0D2D420A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2.2　虚拟细胞方向（12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789B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F15D106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7A03D6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DF587FF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66B12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568D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C87EA6E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69C8549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训练 / 验证划分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111244C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参赛队可自行在 train_val 内划分训练与验证，或采用交叉验证做模型选择。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537E57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划分由 split_final 字段冻结给出。参赛队可在 train 划分内部自行做交叉验证用于模型选择，但不得改变官方 train / val 边界。</w:t>
            </w:r>
          </w:p>
        </w:tc>
      </w:tr>
      <w:tr w14:paraId="2026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72E408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ACD43A4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测试集真值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94DA2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test 为独立评测集，发布样本 ID、生物条件与测量上下文，蛋白质组真值标签保留、由组委会离线评分。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62E14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测试集蛋白质组真值随数据包一并发布，供参赛队自评参考，不作最终排名依据。</w:t>
            </w:r>
          </w:p>
        </w:tc>
      </w:tr>
      <w:tr w14:paraId="02D3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6F4ECCF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CDB4597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最终评审依据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FB20D2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以测试集成绩排名。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57F598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组委会另备一组独立内部评测集用于最终评审，不随赛题发放。晋级队伍须通过代码复现核验，核查不通过者不计成绩。</w:t>
            </w:r>
          </w:p>
        </w:tc>
      </w:tr>
      <w:tr w14:paraId="5EDA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B22E48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89592D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数据文件与规模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D43698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组委会提供两个输入文件：train_val 与 test，未列样本量与蛋白维度。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27605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提供四个文件（通过邮件发送）：metadata 与 proteome 各分 train_val 与 test 两组。train_val 各 8,958 个样本，test 各 4,454 个样本，蛋白维度 5,243。</w:t>
            </w:r>
          </w:p>
        </w:tc>
      </w:tr>
      <w:tr w14:paraId="1A0A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8D37B8F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BD406C1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实验条件覆盖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F378B1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A89C5F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数据覆盖 6 个菌株与 56 种化合物，实验条件涵盖 2 种培养基、2 个温度与 6 个时间点，各因子之间并非完全交叉。</w:t>
            </w:r>
          </w:p>
        </w:tc>
      </w:tr>
      <w:tr w14:paraId="0940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18D0C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99D035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质控样本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5B8EBA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92AD26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质控样本以 pert_id = 48 单独标记，不计入 56 种化合物，也不参与化学扰动预测，可用于评估批次效应。</w:t>
            </w:r>
          </w:p>
        </w:tc>
      </w:tr>
      <w:tr w14:paraId="3056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88460D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C1754C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「未见」的定义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0F7980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未明确界定，泛化类型由菌株与化合物实体的可见性定义。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DC4A8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明确：「未见」指该实体不在训练划分中，与参赛队能否看到其真值无关。</w:t>
            </w:r>
          </w:p>
        </w:tc>
      </w:tr>
      <w:tr w14:paraId="6905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37923C4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60654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评测场景表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3512E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场景表列 S1 / S2 / S3 三类；test_time 仅出现在评分模块中，标注为「时间外推」。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93F9D6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场景表补列 test_time，并明确其为时间插值（每条件 6 个时间点中随机留出），非外推。评分模块名称相应改为「双重未知 / 时间插值」。</w:t>
            </w:r>
          </w:p>
        </w:tc>
      </w:tr>
      <w:tr w14:paraId="09B0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796D83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CCBEBD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外部数据用途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AF8169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公共外部数据的用途为：开放知识榜可用；封闭数据榜仅用于赛后解释或非排名分析。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27F8D9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可用于实体特征构建（菌株基因组、化合物结构、通路注释等），须披露来源与版本。</w:t>
            </w:r>
          </w:p>
        </w:tc>
      </w:tr>
      <w:tr w14:paraId="020E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5F5B01B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40B363F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数据使用约束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3B3BE2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所有参照、归一化统计与对照匹配规则须仅用训练数据冻结。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594BB7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补充：训练仅可使用 train 划分的蛋白质组标签，验证集用于模型选择；验证集与测试集均不得参与训练，也不得用于估计任何统计量（含保留蛋白列表与归一化参数）。</w:t>
            </w:r>
          </w:p>
        </w:tc>
      </w:tr>
      <w:tr w14:paraId="02A5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9648A6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688425F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提交格式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F58F39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按官方模板提交所有样本的响应预测值，不得修改样本 ID。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893C23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补充：仅接受 log2 尺度，raw intensity 与 z-score / 标准化空间均不接受；蛋白列须与官方 feature contract 完全一致。</w:t>
            </w:r>
          </w:p>
        </w:tc>
      </w:tr>
      <w:tr w14:paraId="6BD6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C3208C8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17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35B4E0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隐藏机理评估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9ED66C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可用于赛后分析或特别展示，不作主榜排名依据。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1CEB4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可用于赛后分析与特别奖提名，不作主榜排名依据。</w:t>
            </w:r>
          </w:p>
        </w:tc>
      </w:tr>
    </w:tbl>
    <w:p w14:paraId="73E7AF5F">
      <w:r>
        <w:br w:type="page"/>
      </w:r>
    </w:p>
    <w:p w14:paraId="65BFE0C2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2.3　小分子–蛋白质结合轨迹预测方向（12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70E1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E82A8F0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BA7AD10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CE6594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6AE0B9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7F23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DCD717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18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1A0EF74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评测档次表述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148789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T1 短程预测（predict next k frames）；T2 长观测预测（train on first 80%, test on last 20%）；T3 少观测预测（train on first 20%, test on last 80%）。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A1FFC6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T1 给定前 10 帧，预测后 10 帧；T2 给定前 80 帧，预测后 20 帧；T3 给定前 20 帧，预测后 80 帧。比例表述换算为绝对帧数，并明确各档次均为推理任务而非训练划分。任务设定未变。</w:t>
            </w:r>
          </w:p>
        </w:tc>
      </w:tr>
      <w:tr w14:paraId="22DB2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E1E3508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19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230C6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T4 档次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5676E31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无。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D66FA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新增 T4（给定初始若干帧，预测长程轨迹），考察长时程稳定性与泛化能力。T1–T3 为主评测档次，T4 为可选加分项。</w:t>
            </w:r>
          </w:p>
        </w:tc>
      </w:tr>
      <w:tr w14:paraId="29EB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1943A1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43CE23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评分权重与合成方式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E6677D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Score_t = 40%×Geo_t + 25%×Phys_t + 25%×Dyn_t + 10%×Stab_t；Final = 50%×Score_T1 + 30%×Score_T2 + 20%×Score_T3。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79EC1D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Geo / Phys / Dyn / Stab 四个维度不变；各维度的计算方式、权重与最终成绩的合成方式随评测说明发布。</w:t>
            </w:r>
          </w:p>
        </w:tc>
      </w:tr>
      <w:tr w14:paraId="29D8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D93783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B0CB86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评测设定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E7DF86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考虑算力需求，先计算 semi-flexible setting，即蛋白结构在轨迹中不动。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4F715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统一采用 semi-flexible 设定，蛋白结构在轨迹中保持不动，参赛队只需预测配体原子的坐标序列。</w:t>
            </w:r>
          </w:p>
        </w:tc>
      </w:tr>
      <w:tr w14:paraId="422D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C08152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6D621B5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基线口径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D57C5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 NeuralMD（Nature Communications, 2025）为主基线，各指标相对官方基线归一化为 0–100 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B1CAB4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NeuralMD 列为相关可参考工作；归一化与折算口径随评测说明发布。平凡基线（静态不动、线性外推）保留。</w:t>
            </w:r>
          </w:p>
        </w:tc>
      </w:tr>
      <w:tr w14:paraId="0F8E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558F2A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D3F3CC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数据划分口径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C332E43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MISATO 包含 13,066 个复合物轨迹用于训练，1,357 个复合物轨迹用于验证和测试。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EB271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 MISATO 原始 MD 划分为准（剔除 NeuralMD 仓库 peptides.txt 中的多肽条目），得到训练 13,066 条、验证与测试各 1,357 条；测试集为全新复合物。</w:t>
            </w:r>
          </w:p>
        </w:tc>
      </w:tr>
      <w:tr w14:paraId="6E80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EA9912D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EFCFF6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去泄漏切分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FC6458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蛋白–配体体系存在同源冗余，须按蛋白序列一致性与配体骨架 / 相似度做去泄漏切分。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8C5DB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参赛队在训练集内部自建验证集时，可按蛋白序列一致性与配体骨架相似度做去泄漏切分，以更准确地估计泛化能力（由强制改为建议）。</w:t>
            </w:r>
          </w:p>
        </w:tc>
      </w:tr>
      <w:tr w14:paraId="37E3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2FB676C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0F339E6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评测数据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C4D59F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在 MISATO 数据集上统一评测。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D9C9244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评测将使用 MISATO 公开数据与组委会独立准备的评测数据。公开数据可供参赛队自行验证；独立评测数据不随赛题发放，用于成绩核验。</w:t>
            </w:r>
          </w:p>
        </w:tc>
      </w:tr>
      <w:tr w14:paraId="6CF4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6665467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5BC3FCD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任务范围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7BC98F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以单轨迹重建为主榜，可选设多轨迹（同一体系多次独立模拟）子任务以考察对动力学分布的刻画。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E71D75D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以单轨迹重建为主，多轨迹子任务不再设置。</w:t>
            </w:r>
          </w:p>
        </w:tc>
      </w:tr>
      <w:tr w14:paraId="773C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A7C8A85">
            <w:pPr>
              <w:spacing w:after="0" w:line="29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2</w:t>
            </w:r>
            <w:r>
              <w:rPr>
                <w:rFonts w:hint="eastAsia" w:cs="宋体"/>
                <w:b w:val="0"/>
                <w:bCs w:val="0"/>
                <w:sz w:val="19"/>
                <w:szCs w:val="19"/>
                <w:lang w:val="en-US" w:eastAsia="zh-CN"/>
              </w:rPr>
              <w:t>7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88243A3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评测材料发布节奏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DD21337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未说明。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0EE5D9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评测实现（Geo / Phys / Dyn / Stab 的精确定义）、评分细则与提交格式说明随复赛通知一并发布，初赛提交不涉及上述材料。</w:t>
            </w:r>
          </w:p>
        </w:tc>
      </w:tr>
    </w:tbl>
    <w:p w14:paraId="47CE1BC6">
      <w:r>
        <w:br w:type="page"/>
      </w:r>
    </w:p>
    <w:p w14:paraId="3C71A3CB">
      <w:pPr>
        <w:pStyle w:val="3"/>
        <w:spacing w:before="260" w:after="130" w:line="300" w:lineRule="auto"/>
      </w:pPr>
      <w:r>
        <w:rPr>
          <w:rFonts w:ascii="微软雅黑" w:hAnsi="微软雅黑" w:eastAsia="微软雅黑" w:cs="微软雅黑"/>
          <w:b/>
          <w:bCs/>
          <w:color w:val="2E5C8A"/>
          <w:sz w:val="23"/>
          <w:szCs w:val="23"/>
        </w:rPr>
        <w:t>2.4　材料科学方向（7 条）</w:t>
      </w:r>
    </w:p>
    <w:tbl>
      <w:tblPr>
        <w:tblStyle w:val="11"/>
        <w:tblW w:w="14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6109"/>
        <w:gridCol w:w="6109"/>
      </w:tblGrid>
      <w:tr w14:paraId="000A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A33057">
            <w:pPr>
              <w:spacing w:after="0" w:line="29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E722C2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条目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7B73C7A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修订前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EC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345B11">
            <w:pPr>
              <w:spacing w:after="0" w:line="29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修订后</w:t>
            </w:r>
          </w:p>
        </w:tc>
      </w:tr>
      <w:tr w14:paraId="5B0B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C105F53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D204F52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文献调研报告格式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83AD02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基本任务提交文献调研报告（含 Research Gap 清单、文献交叉引用、证据链）与系统说明，未规定文件格式。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FF9EA1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报告须以 PDF（编译产物）与 LaTeX 源码（.tex、.bib 及编译所需文件）一并提交，正文引用与参考文献须一一对应。组委会将结合全文检索抽查引用真实性，发现虚假引用按违规处理。</w:t>
            </w:r>
          </w:p>
        </w:tc>
      </w:tr>
      <w:tr w14:paraId="4D48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DDDED8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31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89AD2D9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路线 B 可探索方向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19DA33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DFT 计算的加速与改进；蒙特卡洛模拟的效率提升；MD 模拟的新架构；引入生成式模型（扩散模型、流模型等）替代或增强传统模拟方法。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C883B09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增加：统计物理经典模型的蒙特卡罗（如 Ising 模型）与量子蒙特卡罗（QMC）等方法的创新与加速。</w:t>
            </w:r>
          </w:p>
        </w:tc>
      </w:tr>
      <w:tr w14:paraId="5893F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DCA37EF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32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8667382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路线 B 改进要求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FFCCDE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未规定量化对比要求。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ED3B1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须相对经典算法（如 Metropolis、Swendsen–Wang、Wolff 等）量化说明改进，例如计算效率提升或缓解临界慢化（critical slowing down）。</w:t>
            </w:r>
          </w:p>
        </w:tc>
      </w:tr>
      <w:tr w14:paraId="18FB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43D48AD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33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485F75C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路线 C 可行性检验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E6E095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合成验证通过文献追溯、计算模拟或实验验证实现生成路线的可验证性。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86C189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新增热力学可行性检验：对生成路线中的中间体、前驱体等进行热力学稳定性检验（形成能 / 热力学计算或 DFT），保证路线在理论上可行；实验验证为可选项。</w:t>
            </w:r>
          </w:p>
        </w:tc>
      </w:tr>
      <w:tr w14:paraId="17E4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9F7C334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6C80A7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基本任务评估细则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30DE23A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Research Gap 识别质量（准确性、新颖性、可操作性）、文献溯源完整性（每条 Gap 有清晰文献证据链）、报告质量（结构化程度与可读性）。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3AD82B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考察文献覆盖的针对性、知识抽取的结构化程度、Research Gap 的识别质量，以及证据链与引用的完整性；每条主张与 Gap 须可溯源至具体文献，并标明所用数据库。</w:t>
            </w:r>
          </w:p>
        </w:tc>
      </w:tr>
      <w:tr w14:paraId="68A4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7C5829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5E6B3E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进阶路线评估细则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5C61723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叙述式说明：路线 A 综合评分，重点考察搜索方法与 LLM 融合深度；路线 B 看公认 benchmark 表现或细分领域改进幅度；路线 C 看合成路线可行性、优化方案有效性、验证手段充分性。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8BFF68E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拆分为四项：方法创新性 30%、可信性与验证充分性 30%、科学意义 20%、工程完备与可复现性 20%。三条路线的侧重说明保留，具体考察要点以官方评测说明为准。</w:t>
            </w:r>
          </w:p>
        </w:tc>
      </w:tr>
      <w:tr w14:paraId="4E81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FACB965">
            <w:pPr>
              <w:spacing w:after="0" w:line="29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36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4F7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D93EC8">
            <w:pPr>
              <w:spacing w:after="0" w:line="290" w:lineRule="auto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数据库使用范围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A6609BF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列表给出 Sci-Base、Sciverse API、MinerU、Materials Project、OQMD / NOMAD。</w:t>
            </w:r>
          </w:p>
        </w:tc>
        <w:tc>
          <w:tcPr>
            <w:tcW w:w="6109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6DF14D6">
            <w:pPr>
              <w:spacing w:after="0" w:line="290" w:lineRule="auto"/>
            </w:pPr>
            <w:r>
              <w:rPr>
                <w:rFonts w:ascii="宋体" w:hAnsi="宋体" w:eastAsia="宋体" w:cs="宋体"/>
                <w:b w:val="0"/>
                <w:bCs w:val="0"/>
                <w:sz w:val="19"/>
                <w:szCs w:val="19"/>
              </w:rPr>
              <w:t>所用材料数据库不限于上表，参赛者可选用任何公开、可获取的科学数据库（如 AFLOW 等），并在提交物中注明来源与访问方式。</w:t>
            </w:r>
          </w:p>
        </w:tc>
      </w:tr>
    </w:tbl>
    <w:p w14:paraId="4AABC4D8">
      <w:pPr>
        <w:spacing w:after="240"/>
      </w:pPr>
    </w:p>
    <w:p w14:paraId="3C51C009"/>
    <w:bookmarkEnd w:id="0"/>
    <w:sectPr>
      <w:headerReference r:id="rId3" w:type="default"/>
      <w:footerReference r:id="rId4" w:type="default"/>
      <w:pgSz w:w="16838" w:h="11906" w:orient="landscape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7A529">
    <w:pPr>
      <w:jc w:val="center"/>
    </w:pPr>
    <w:r>
      <w:rPr>
        <w:rFonts w:ascii="宋体" w:hAnsi="宋体" w:eastAsia="宋体" w:cs="宋体"/>
        <w:color w:val="808080"/>
        <w:sz w:val="17"/>
        <w:szCs w:val="17"/>
      </w:rPr>
      <w:t xml:space="preserve">第 </w:t>
    </w:r>
    <w:r>
      <w:rPr>
        <w:rFonts w:ascii="宋体" w:hAnsi="宋体" w:eastAsia="宋体" w:cs="宋体"/>
        <w:color w:val="808080"/>
        <w:sz w:val="17"/>
        <w:szCs w:val="17"/>
      </w:rPr>
      <w:fldChar w:fldCharType="begin"/>
    </w:r>
    <w:r>
      <w:rPr>
        <w:rFonts w:ascii="宋体" w:hAnsi="宋体" w:eastAsia="宋体" w:cs="宋体"/>
        <w:color w:val="808080"/>
        <w:sz w:val="17"/>
        <w:szCs w:val="17"/>
      </w:rPr>
      <w:instrText xml:space="preserve">PAGE</w:instrText>
    </w:r>
    <w:r>
      <w:rPr>
        <w:rFonts w:ascii="宋体" w:hAnsi="宋体" w:eastAsia="宋体" w:cs="宋体"/>
        <w:color w:val="808080"/>
        <w:sz w:val="17"/>
        <w:szCs w:val="17"/>
      </w:rPr>
      <w:fldChar w:fldCharType="separate"/>
    </w:r>
    <w:r>
      <w:rPr>
        <w:rFonts w:ascii="宋体" w:hAnsi="宋体" w:eastAsia="宋体" w:cs="宋体"/>
        <w:color w:val="808080"/>
        <w:sz w:val="17"/>
        <w:szCs w:val="17"/>
      </w:rPr>
      <w:fldChar w:fldCharType="end"/>
    </w:r>
    <w:r>
      <w:rPr>
        <w:rFonts w:ascii="宋体" w:hAnsi="宋体" w:eastAsia="宋体" w:cs="宋体"/>
        <w:color w:val="808080"/>
        <w:sz w:val="17"/>
        <w:szCs w:val="17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2F2A8">
    <w:pPr>
      <w:jc w:val="right"/>
    </w:pPr>
    <w:r>
      <w:rPr>
        <w:rFonts w:ascii="宋体" w:hAnsi="宋体" w:eastAsia="宋体" w:cs="宋体"/>
        <w:color w:val="808080"/>
        <w:sz w:val="17"/>
        <w:szCs w:val="17"/>
      </w:rPr>
      <w:t>GOAI 赛道三 · 参赛手册修订对照表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323070E"/>
    <w:rsid w:val="73B742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/>
      <w:outlineLvl w:val="0"/>
    </w:pPr>
    <w:rPr>
      <w:rFonts w:ascii="微软雅黑" w:hAnsi="微软雅黑" w:eastAsia="微软雅黑" w:cs="微软雅黑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60" w:after="130"/>
      <w:outlineLvl w:val="1"/>
    </w:pPr>
    <w:rPr>
      <w:rFonts w:ascii="微软雅黑" w:hAnsi="微软雅黑" w:eastAsia="微软雅黑" w:cs="微软雅黑"/>
      <w:b/>
      <w:bCs/>
      <w:color w:val="2E5C8A"/>
      <w:sz w:val="23"/>
      <w:szCs w:val="23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1308</Words>
  <Characters>1397</Characters>
  <TotalTime>5</TotalTime>
  <ScaleCrop>false</ScaleCrop>
  <LinksUpToDate>false</LinksUpToDate>
  <CharactersWithSpaces>1453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2026-08-12T01:57:48Z</dcterms:created>
  <dc:creator>Un-named</dc:creator>
  <cp:lastModifiedBy>耕夫</cp:lastModifiedBy>
  <dcterms:modified xsi:type="dcterms:W3CDTF">2026-08-12T02:01:59Z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A481FD1446804940AAD432A2CD8EB78C_13</vt:lpwstr>
  </property>
</Properties>
</file>