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BESS Augmentation and Warranty Review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HAS-SAH-2026-WS7-D48-RevA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WS7 - BESS Technical Specialization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('BESS Augmentation and Warranty Review')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4.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Statement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F-026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"98.0% of container hours (excludes grid, ambient &gt;45 C, owner-caused events) Augmentation |"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07_Contracts/BESS_Supply_and_LTSA_Key_Terms_SAH.docx | table 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</w:tbl>
    <w:p/>
    <w:p>
      <w:pPr>
        <w:pStyle w:val="Heading1"/>
      </w:pPr>
      <w:r>
        <w:t>5. Outstanding information (OIRs)</w:t>
      </w:r>
    </w:p>
    <w:p>
      <w:r>
        <w:t>None.</w:t>
      </w:r>
    </w:p>
    <w:p>
      <w:pPr>
        <w:pStyle w:val="Heading1"/>
      </w:pPr>
      <w:r>
        <w:t>6. QA status</w:t>
      </w:r>
    </w:p>
    <w:p>
      <w:r>
        <w:t>Independent QA checks for WS7: pass 16, warn 1, fail 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CONTRA-03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contradiction_detection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BESS cycles per day: values [1.0, 1.2, 1.4] across 3 documents (spread 28.57%)</w:t>
            </w:r>
          </w:p>
        </w:tc>
      </w:tr>
    </w:tbl>
    <w:p/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