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Аннотация. В данной статье рассматриваются преимущества обучения игре на фортепиано у детей в условиях современной системы образования Республики Казахстан. Анализируются когнитивные, эмоциональные, социальные и академические аспекты развития ребёнка через музыкальное обучение. Особое внимание уделяется влиянию фортепиано на развитие памяти, внимания, дисциплины, креативного мышления и успеваемости в школе. Также раскрывается роль музыкального образования в формировании гармоничной личности, способной к саморазвитию и адаптации в быстро меняющемся мире.</w:t>
        <w:br/>
        <w:br/>
        <w:t>Ключевые слова: фортепиано, дети, музыкальное образование, Казахстан, развитие, память, интеллект, творчество, дисциплина, обучение.</w:t>
        <w:br/>
        <w:br/>
        <w:t>Игра на фортепиано занимает особое место в системе дополнительного образования детей в Казахстане. В последние годы наблюдается рост интереса к развитию творческих способностей у детей... (текст сокращен для примера)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