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NGEHSI  BRENDAN  NGWA  NFORBI</w:t>
      </w:r>
    </w:p>
    <w:p>
      <w:r/>
    </w:p>
    <w:p>
      <w:pPr>
        <w:spacing w:after="0" w:before="1200" w:line="276"/>
      </w:pPr>
    </w:p>
    <w:p>
      <w:pPr>
        <w:spacing w:after="120" w:before="0" w:line="260"/>
      </w:pPr>
      <w:r>
        <w:rPr>
          <w:rFonts w:ascii="Georgia" w:cs="Georgia" w:eastAsia="Georgia" w:hAnsi="Georgia"/>
          <w:b/>
          <w:bCs/>
          <w:sz w:val="20"/>
          <w:szCs w:val="20"/>
        </w:rPr>
        <w:t>Copyright © 2026 Ngehsi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justice gap is the foundation. </w:t>
      </w:r>
      <w:r>
        <w:rPr>
          <w:rFonts w:ascii="Georgia" w:hAnsi="Georgia"/>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Georgia" w:hAnsi="Georgia"/>
          <w:b/>
          <w:sz w:val="24"/>
        </w:rPr>
        <w:t xml:space="preserve">Procedural complexity is the moat. </w:t>
      </w:r>
      <w:r>
        <w:rPr>
          <w:rFonts w:ascii="Georgia" w:hAnsi="Georgia"/>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Georgia" w:hAnsi="Georgia"/>
          <w:b/>
          <w:sz w:val="24"/>
        </w:rPr>
        <w:t xml:space="preserve">The lawyer math often fails. </w:t>
      </w:r>
      <w:r>
        <w:rPr>
          <w:rFonts w:ascii="Georgia" w:hAnsi="Georgia"/>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Georgia" w:hAnsi="Georgia"/>
          <w:b/>
          <w:sz w:val="24"/>
        </w:rPr>
        <w:t xml:space="preserve">Courts must read you generously. </w:t>
      </w:r>
      <w:r>
        <w:rPr>
          <w:rFonts w:ascii="Georgia" w:hAnsi="Georgia"/>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Georgia" w:hAnsi="Georgia"/>
          <w:b/>
          <w:sz w:val="24"/>
        </w:rPr>
        <w:t xml:space="preserve">The AI inflection point arrived. </w:t>
      </w:r>
      <w:r>
        <w:rPr>
          <w:rFonts w:ascii="Georgia" w:hAnsi="Georgia"/>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Georgia" w:hAnsi="Georgia"/>
          <w:b/>
          <w:sz w:val="24"/>
        </w:rPr>
        <w:t xml:space="preserve">Know what AI cannot do. </w:t>
      </w:r>
      <w:r>
        <w:rPr>
          <w:rFonts w:ascii="Georgia" w:hAnsi="Georgia"/>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No single model is enough. </w:t>
      </w:r>
      <w:r>
        <w:rPr>
          <w:rFonts w:ascii="Georgia" w:hAnsi="Georgia"/>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Georgia" w:hAnsi="Georgia"/>
          <w:b/>
          <w:sz w:val="24"/>
        </w:rPr>
        <w:t xml:space="preserve">Claude leads, but never alone. </w:t>
      </w:r>
      <w:r>
        <w:rPr>
          <w:rFonts w:ascii="Georgia" w:hAnsi="Georgia"/>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Georgia" w:hAnsi="Georgia"/>
          <w:b/>
          <w:sz w:val="24"/>
        </w:rPr>
        <w:t xml:space="preserve">Match the tool to the task. </w:t>
      </w:r>
      <w:r>
        <w:rPr>
          <w:rFonts w:ascii="Georgia" w:hAnsi="Georgia"/>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Georgia" w:hAnsi="Georgia"/>
          <w:b/>
          <w:sz w:val="24"/>
        </w:rPr>
        <w:t xml:space="preserve">Five phases make the methodology. </w:t>
      </w:r>
      <w:r>
        <w:rPr>
          <w:rFonts w:ascii="Georgia" w:hAnsi="Georgia"/>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Georgia" w:hAnsi="Georgia"/>
          <w:b/>
          <w:sz w:val="24"/>
        </w:rPr>
        <w:t xml:space="preserve">Manus works while you sleep. </w:t>
      </w:r>
      <w:r>
        <w:rPr>
          <w:rFonts w:ascii="Georgia" w:hAnsi="Georgia"/>
          <w:b w:val="0"/>
          <w:sz w:val="24"/>
        </w:rPr>
        <w:t>As an autonomous agent, it plans and executes multi-step research tasks unsupervised, so you can assign it work before bed and find a structured report waiting in the morning.</w:t>
      </w:r>
    </w:p>
    <w:p>
      <w:pPr>
        <w:pStyle w:val="ListBullet"/>
      </w:pPr>
      <w:r>
        <w:rPr>
          <w:rFonts w:ascii="Georgia" w:hAnsi="Georgia"/>
          <w:b/>
          <w:sz w:val="24"/>
        </w:rPr>
        <w:t xml:space="preserve">The arsenal is remarkably cheap. </w:t>
      </w:r>
      <w:r>
        <w:rPr>
          <w:rFonts w:ascii="Georgia" w:hAnsi="Georgia"/>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Case Intelligence File first. </w:t>
      </w:r>
      <w:r>
        <w:rPr>
          <w:rFonts w:ascii="Georgia" w:hAnsi="Georgia"/>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Georgia" w:hAnsi="Georgia"/>
          <w:b/>
          <w:sz w:val="24"/>
        </w:rPr>
        <w:t xml:space="preserve">Facts first, conclusions later. </w:t>
      </w:r>
      <w:r>
        <w:rPr>
          <w:rFonts w:ascii="Georgia" w:hAnsi="Georgia"/>
          <w:b w:val="0"/>
          <w:sz w:val="24"/>
        </w:rPr>
        <w:t>The Master Narrative must be pure story, written with five-senses specificity and exact timestamps, so the AI discovers your legal claims from the facts instead of being told what to find.</w:t>
      </w:r>
    </w:p>
    <w:p>
      <w:pPr>
        <w:pStyle w:val="ListBullet"/>
      </w:pPr>
      <w:r>
        <w:rPr>
          <w:rFonts w:ascii="Georgia" w:hAnsi="Georgia"/>
          <w:b/>
          <w:sz w:val="24"/>
        </w:rPr>
        <w:t xml:space="preserve">Every entry needs a source. </w:t>
      </w:r>
      <w:r>
        <w:rPr>
          <w:rFonts w:ascii="Georgia" w:hAnsi="Georgia"/>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Georgia" w:hAnsi="Georgia"/>
          <w:b/>
          <w:sz w:val="24"/>
        </w:rPr>
        <w:t xml:space="preserve">Omissions matter as much as facts. </w:t>
      </w:r>
      <w:r>
        <w:rPr>
          <w:rFonts w:ascii="Georgia" w:hAnsi="Georgia"/>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Georgia" w:hAnsi="Georgia"/>
          <w:b/>
          <w:sz w:val="24"/>
        </w:rPr>
        <w:t xml:space="preserve">Plain text beats polish. </w:t>
      </w:r>
      <w:r>
        <w:rPr>
          <w:rFonts w:ascii="Georgia" w:hAnsi="Georgia"/>
          <w:b w:val="0"/>
          <w:sz w:val="24"/>
        </w:rPr>
        <w:t>Save every packet as .txt or .md with unique cross-referencing IDs across files — a beautifully formatted Word document that clutters the model’s context window is worthless by comparison.</w:t>
      </w:r>
    </w:p>
    <w:p>
      <w:pPr>
        <w:pStyle w:val="ListBullet"/>
      </w:pPr>
      <w:r>
        <w:rPr>
          <w:rFonts w:ascii="Georgia" w:hAnsi="Georgia"/>
          <w:b/>
          <w:sz w:val="24"/>
        </w:rPr>
        <w:t xml:space="preserve">This is where most litigants quit. </w:t>
      </w:r>
      <w:r>
        <w:rPr>
          <w:rFonts w:ascii="Georgia" w:hAnsi="Georgia"/>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Adversarial diversity is the engine. </w:t>
      </w:r>
      <w:r>
        <w:rPr>
          <w:rFonts w:ascii="Georgia" w:hAnsi="Georgia"/>
          <w:b w:val="0"/>
          <w:sz w:val="24"/>
        </w:rPr>
        <w:t>Nine differently-trained models attacking the same facts surface arguments, gaps, and vulnerabilities that no single model — and no single attorney — would ever catch alone.</w:t>
      </w:r>
    </w:p>
    <w:p>
      <w:pPr>
        <w:pStyle w:val="ListBullet"/>
      </w:pPr>
      <w:r>
        <w:rPr>
          <w:rFonts w:ascii="Georgia" w:hAnsi="Georgia"/>
          <w:b/>
          <w:sz w:val="24"/>
        </w:rPr>
        <w:t xml:space="preserve">Follow the Three Rules exactly. </w:t>
      </w:r>
      <w:r>
        <w:rPr>
          <w:rFonts w:ascii="Georgia" w:hAnsi="Georgia"/>
          <w:b w:val="0"/>
          <w:sz w:val="24"/>
        </w:rPr>
        <w:t>Same prompt to every model, record every response immediately, and withhold judgment until all answers are in — break any one of these and the comparison is compromised.</w:t>
      </w:r>
    </w:p>
    <w:p>
      <w:pPr>
        <w:pStyle w:val="ListBullet"/>
      </w:pPr>
      <w:r>
        <w:rPr>
          <w:rFonts w:ascii="Georgia" w:hAnsi="Georgia"/>
          <w:b/>
          <w:sz w:val="24"/>
        </w:rPr>
        <w:t xml:space="preserve">The Master Prompt has four parts. </w:t>
      </w:r>
      <w:r>
        <w:rPr>
          <w:rFonts w:ascii="Georgia" w:hAnsi="Georgia"/>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Georgia" w:hAnsi="Georgia"/>
          <w:b/>
          <w:sz w:val="24"/>
        </w:rPr>
        <w:t xml:space="preserve">Always ask the Wild Card question. </w:t>
      </w:r>
      <w:r>
        <w:rPr>
          <w:rFonts w:ascii="Georgia" w:hAnsi="Georgia"/>
          <w:b w:val="0"/>
          <w:sz w:val="24"/>
        </w:rPr>
        <w:t>“Is there anything about these facts that most attorneys would miss?” is where the most powerful, unconventional case theories get born.</w:t>
      </w:r>
    </w:p>
    <w:p>
      <w:pPr>
        <w:pStyle w:val="ListBullet"/>
      </w:pPr>
      <w:r>
        <w:rPr>
          <w:rFonts w:ascii="Georgia" w:hAnsi="Georgia"/>
          <w:b/>
          <w:sz w:val="24"/>
        </w:rPr>
        <w:t xml:space="preserve">Build the five-layer Comparison Matrix. </w:t>
      </w:r>
      <w:r>
        <w:rPr>
          <w:rFonts w:ascii="Georgia" w:hAnsi="Georgia"/>
          <w:b w:val="0"/>
          <w:sz w:val="24"/>
        </w:rPr>
        <w:t>Consensus Map, Divergence Analysis, Unique Insights Catalog, Vulnerability Map, and Discovery Priority List turn nine competing analyses into a single, prioritized strategic weapon.</w:t>
      </w:r>
    </w:p>
    <w:p>
      <w:pPr>
        <w:pStyle w:val="ListBullet"/>
      </w:pPr>
      <w:r>
        <w:rPr>
          <w:rFonts w:ascii="Georgia" w:hAnsi="Georgia"/>
          <w:b/>
          <w:sz w:val="24"/>
        </w:rPr>
        <w:t xml:space="preserve">The Vulnerability Map is a battle plan. </w:t>
      </w:r>
      <w:r>
        <w:rPr>
          <w:rFonts w:ascii="Georgia" w:hAnsi="Georgia"/>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Synthesis happens in three stages. </w:t>
      </w:r>
      <w:r>
        <w:rPr>
          <w:rFonts w:ascii="Georgia" w:hAnsi="Georgia"/>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Georgia" w:hAnsi="Georgia"/>
          <w:b/>
          <w:sz w:val="24"/>
        </w:rPr>
        <w:t xml:space="preserve">Claude wins on architecture, not hype. </w:t>
      </w:r>
      <w:r>
        <w:rPr>
          <w:rFonts w:ascii="Georgia" w:hAnsi="Georgia"/>
          <w:b w:val="0"/>
          <w:sz w:val="24"/>
        </w:rPr>
        <w:t>Its million-token context window and adaptive extended thinking let it hold your entire Case Intelligence File, every Round-Robin response, and your Comparison Matrix in mind at once.</w:t>
      </w:r>
    </w:p>
    <w:p>
      <w:pPr>
        <w:pStyle w:val="ListBullet"/>
      </w:pPr>
      <w:r>
        <w:rPr>
          <w:rFonts w:ascii="Georgia" w:hAnsi="Georgia"/>
          <w:b/>
          <w:sz w:val="24"/>
        </w:rPr>
        <w:t xml:space="preserve">Stage One is analysis, not advocacy. </w:t>
      </w:r>
      <w:r>
        <w:rPr>
          <w:rFonts w:ascii="Georgia" w:hAnsi="Georgia"/>
          <w:b w:val="0"/>
          <w:sz w:val="24"/>
        </w:rPr>
        <w:t>The Consolidated Legal Memorandum will feel impressively comprehensive — resist the urge to file it. It’s the blueprint, not the finished building.</w:t>
      </w:r>
    </w:p>
    <w:p>
      <w:pPr>
        <w:pStyle w:val="ListBullet"/>
      </w:pPr>
      <w:r>
        <w:rPr>
          <w:rFonts w:ascii="Georgia" w:hAnsi="Georgia"/>
          <w:b/>
          <w:sz w:val="24"/>
        </w:rPr>
        <w:t xml:space="preserve">Never skip the opposing counsel read. </w:t>
      </w:r>
      <w:r>
        <w:rPr>
          <w:rFonts w:ascii="Georgia" w:hAnsi="Georgia"/>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Georgia" w:hAnsi="Georgia"/>
          <w:b/>
          <w:sz w:val="24"/>
        </w:rPr>
        <w:t xml:space="preserve">Verify every citation Claude flags. </w:t>
      </w:r>
      <w:r>
        <w:rPr>
          <w:rFonts w:ascii="Georgia" w:hAnsi="Georgia"/>
          <w:b w:val="0"/>
          <w:sz w:val="24"/>
        </w:rPr>
        <w:t>The Citation Verification Flag rates each authority High, Moderate, or Low confidence, and filing on an unverified citation is a credibility-destroying error you can prevent in advance.</w:t>
      </w:r>
    </w:p>
    <w:p>
      <w:pPr>
        <w:pStyle w:val="ListBullet"/>
      </w:pPr>
      <w:r>
        <w:rPr>
          <w:rFonts w:ascii="Georgia" w:hAnsi="Georgia"/>
          <w:b/>
          <w:sz w:val="24"/>
        </w:rPr>
        <w:t xml:space="preserve">Know the Five Mistakes beforehand. </w:t>
      </w:r>
      <w:r>
        <w:rPr>
          <w:rFonts w:ascii="Georgia" w:hAnsi="Georgia"/>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The “Thoughts?” protocol and the five-version loop that delivers 95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95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One word beats ten paragraphs. </w:t>
      </w:r>
      <w:r>
        <w:rPr>
          <w:rFonts w:ascii="Georgia" w:hAnsi="Georgia"/>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Georgia" w:hAnsi="Georgia"/>
          <w:b/>
          <w:sz w:val="24"/>
        </w:rPr>
        <w:t xml:space="preserve">The five-version loop is not optional. </w:t>
      </w:r>
      <w:r>
        <w:rPr>
          <w:rFonts w:ascii="Georgia" w:hAnsi="Georgia"/>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Georgia" w:hAnsi="Georgia"/>
          <w:b/>
          <w:sz w:val="24"/>
        </w:rPr>
        <w:t xml:space="preserve">Triage every piece of feedback. </w:t>
      </w:r>
      <w:r>
        <w:rPr>
          <w:rFonts w:ascii="Georgia" w:hAnsi="Georgia"/>
          <w:b w:val="0"/>
          <w:sz w:val="24"/>
        </w:rPr>
        <w:t>Sort what Claude tells you into Critical, Important, Polish, and Disagree — your judgment about your own case overrides the model’s recommendation, and the Disagree list proves it.</w:t>
      </w:r>
    </w:p>
    <w:p>
      <w:pPr>
        <w:pStyle w:val="ListBullet"/>
      </w:pPr>
      <w:r>
        <w:rPr>
          <w:rFonts w:ascii="Georgia" w:hAnsi="Georgia"/>
          <w:b/>
          <w:sz w:val="24"/>
        </w:rPr>
        <w:t xml:space="preserve">Version control is insurance, not clutter. </w:t>
      </w:r>
      <w:r>
        <w:rPr>
          <w:rFonts w:ascii="Georgia" w:hAnsi="Georgia"/>
          <w:b w:val="0"/>
          <w:sz w:val="24"/>
        </w:rPr>
        <w:t>Never overwrite a draft; keep every version and a revision log so you can trace back and recover an argument you cut too soon.</w:t>
      </w:r>
    </w:p>
    <w:p>
      <w:pPr>
        <w:pStyle w:val="ListBullet"/>
      </w:pPr>
      <w:r>
        <w:rPr>
          <w:rFonts w:ascii="Georgia" w:hAnsi="Georgia"/>
          <w:b/>
          <w:sz w:val="24"/>
        </w:rPr>
        <w:t xml:space="preserve">95 percent ready is ready to file. </w:t>
      </w:r>
      <w:r>
        <w:rPr>
          <w:rFonts w:ascii="Georgia" w:hAnsi="Georgia"/>
          <w:b w:val="0"/>
          <w:sz w:val="24"/>
        </w:rPr>
        <w:t>Iteration has diminishing returns past Version 5 — a filed complaint beats a polished one sitting on your hard drive while the statute of limitations runs.</w:t>
      </w:r>
    </w:p>
    <w:p>
      <w:pPr>
        <w:pStyle w:val="ListBullet"/>
      </w:pPr>
      <w:r>
        <w:rPr>
          <w:rFonts w:ascii="Georgia" w:hAnsi="Georgia"/>
          <w:b/>
          <w:sz w:val="24"/>
        </w:rPr>
        <w:t xml:space="preserve">Listen to your complaint before you file it. </w:t>
      </w:r>
      <w:r>
        <w:rPr>
          <w:rFonts w:ascii="Georgia" w:hAnsi="Georgia"/>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Show, don’t describe. </w:t>
      </w:r>
      <w:r>
        <w:rPr>
          <w:rFonts w:ascii="Georgia" w:hAnsi="Georgia"/>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Georgia" w:hAnsi="Georgia"/>
          <w:b/>
          <w:sz w:val="24"/>
        </w:rPr>
        <w:t xml:space="preserve">Verify before you generate. </w:t>
      </w:r>
      <w:r>
        <w:rPr>
          <w:rFonts w:ascii="Georgia" w:hAnsi="Georgia"/>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Georgia" w:hAnsi="Georgia"/>
          <w:b/>
          <w:sz w:val="24"/>
        </w:rPr>
        <w:t xml:space="preserve">The visual comparison check catches what text review misses. </w:t>
      </w:r>
      <w:r>
        <w:rPr>
          <w:rFonts w:ascii="Georgia" w:hAnsi="Georgia"/>
          <w:b w:val="0"/>
          <w:sz w:val="24"/>
        </w:rPr>
        <w:t>Print or screen-compare your formatted draft against the reference pleading side by side — discrepancies invisible in a paragraph read jump out instantly next to the real thing.</w:t>
      </w:r>
    </w:p>
    <w:p>
      <w:pPr>
        <w:pStyle w:val="ListBullet"/>
      </w:pPr>
      <w:r>
        <w:rPr>
          <w:rFonts w:ascii="Georgia" w:hAnsi="Georgia"/>
          <w:b/>
          <w:sz w:val="24"/>
        </w:rPr>
        <w:t xml:space="preserve">A brilliant complaint in the wrong format still dies. </w:t>
      </w:r>
      <w:r>
        <w:rPr>
          <w:rFonts w:ascii="Georgia" w:hAnsi="Georgia"/>
          <w:b w:val="0"/>
          <w:sz w:val="24"/>
        </w:rPr>
        <w:t>Courts reject filings over margins, missing certificates of service, and non-searchable PDFs — pass the Ctrl+F text-searchability test before you ever click submit.</w:t>
      </w:r>
    </w:p>
    <w:p>
      <w:pPr>
        <w:pStyle w:val="ListBullet"/>
      </w:pPr>
      <w:r>
        <w:rPr>
          <w:rFonts w:ascii="Georgia" w:hAnsi="Georgia"/>
          <w:b/>
          <w:sz w:val="24"/>
        </w:rPr>
        <w:t xml:space="preserve">The pre-filing checklist is not busywork. </w:t>
      </w:r>
      <w:r>
        <w:rPr>
          <w:rFonts w:ascii="Georgia" w:hAnsi="Georgia"/>
          <w:b w:val="0"/>
          <w:sz w:val="24"/>
        </w:rPr>
        <w:t>Formatting, substance, signatures, PDF compliance, and filing logistics each get their own checklist section — run all five before you file, not just the one that feels urgent.</w:t>
      </w:r>
    </w:p>
    <w:p>
      <w:pPr>
        <w:pStyle w:val="ListBullet"/>
      </w:pPr>
      <w:r>
        <w:rPr>
          <w:rFonts w:ascii="Georgia" w:hAnsi="Georgia"/>
          <w:b/>
          <w:sz w:val="24"/>
        </w:rPr>
        <w:t xml:space="preserve">Filing is not service. </w:t>
      </w:r>
      <w:r>
        <w:rPr>
          <w:rFonts w:ascii="Georgia" w:hAnsi="Georgia"/>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Know where you are in the nine stages. </w:t>
      </w:r>
      <w:r>
        <w:rPr>
          <w:rFonts w:ascii="Georgia" w:hAnsi="Georgia"/>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Georgia" w:hAnsi="Georgia"/>
          <w:b/>
          <w:sz w:val="24"/>
        </w:rPr>
        <w:t xml:space="preserve">Missed deadlines kill more cases than bad law. </w:t>
      </w:r>
      <w:r>
        <w:rPr>
          <w:rFonts w:ascii="Georgia" w:hAnsi="Georgia"/>
          <w:b w:val="0"/>
          <w:sz w:val="24"/>
        </w:rPr>
        <w:t>Service of process, the answer, opposition to a motion to dismiss, discovery responses — print the critical deadlines checklist and treat every date on it as absolute.</w:t>
      </w:r>
    </w:p>
    <w:p>
      <w:pPr>
        <w:pStyle w:val="ListBullet"/>
      </w:pPr>
      <w:r>
        <w:rPr>
          <w:rFonts w:ascii="Georgia" w:hAnsi="Georgia"/>
          <w:b/>
          <w:sz w:val="24"/>
        </w:rPr>
        <w:t xml:space="preserve">Settlement pressure is not constant — it peaks. </w:t>
      </w:r>
      <w:r>
        <w:rPr>
          <w:rFonts w:ascii="Georgia" w:hAnsi="Georgia"/>
          <w:b w:val="0"/>
          <w:sz w:val="24"/>
        </w:rPr>
        <w:t>Pressure rises after the motion to dismiss is denied, spikes during and after discovery, and maxes out on the eve of trial; know where your case sits on that curve before you negotiate.</w:t>
      </w:r>
    </w:p>
    <w:p>
      <w:pPr>
        <w:pStyle w:val="ListBullet"/>
      </w:pPr>
      <w:r>
        <w:rPr>
          <w:rFonts w:ascii="Georgia" w:hAnsi="Georgia"/>
          <w:b/>
          <w:sz w:val="24"/>
        </w:rPr>
        <w:t xml:space="preserve">A motion to dismiss freezes the clock. </w:t>
      </w:r>
      <w:r>
        <w:rPr>
          <w:rFonts w:ascii="Georgia" w:hAnsi="Georgia"/>
          <w:b w:val="0"/>
          <w:sz w:val="24"/>
        </w:rPr>
        <w:t>While it’s pending, discovery does not begin and the defendant does not answer — this is exactly why Chapter 10 exists.</w:t>
      </w:r>
    </w:p>
    <w:p>
      <w:pPr>
        <w:pStyle w:val="ListBullet"/>
      </w:pPr>
      <w:r>
        <w:rPr>
          <w:rFonts w:ascii="Georgia" w:hAnsi="Georgia"/>
          <w:b/>
          <w:sz w:val="24"/>
        </w:rPr>
        <w:t xml:space="preserve">Initial disclosures are a two-way intelligence exchange. </w:t>
      </w:r>
      <w:r>
        <w:rPr>
          <w:rFonts w:ascii="Georgia" w:hAnsi="Georgia"/>
          <w:b w:val="0"/>
          <w:sz w:val="24"/>
        </w:rPr>
        <w:t>What the defendant is forced to hand over — witnesses, documents, damages theories — is often the first real look you get at their case.</w:t>
      </w:r>
    </w:p>
    <w:p>
      <w:pPr>
        <w:pStyle w:val="ListBullet"/>
      </w:pPr>
      <w:r>
        <w:rPr>
          <w:rFonts w:ascii="Georgia" w:hAnsi="Georgia"/>
          <w:b/>
          <w:sz w:val="24"/>
        </w:rPr>
        <w:t xml:space="preserve">State court runs the same arc with different rules. </w:t>
      </w:r>
      <w:r>
        <w:rPr>
          <w:rFonts w:ascii="Georgia" w:hAnsi="Georgia"/>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Everything you write will be read by a judge. </w:t>
      </w:r>
      <w:r>
        <w:rPr>
          <w:rFonts w:ascii="Georgia" w:hAnsi="Georgia"/>
          <w:b w:val="0"/>
          <w:sz w:val="24"/>
        </w:rPr>
        <w:t>Assume every email to opposing counsel ends up as an exhibit — if you’d wince hearing it read aloud in court, delete it before you send it.</w:t>
      </w:r>
    </w:p>
    <w:p>
      <w:pPr>
        <w:pStyle w:val="ListBullet"/>
      </w:pPr>
      <w:r>
        <w:rPr>
          <w:rFonts w:ascii="Georgia" w:hAnsi="Georgia"/>
          <w:b/>
          <w:sz w:val="24"/>
        </w:rPr>
        <w:t xml:space="preserve">Never respond while angry. </w:t>
      </w:r>
      <w:r>
        <w:rPr>
          <w:rFonts w:ascii="Georgia" w:hAnsi="Georgia"/>
          <w:b w:val="0"/>
          <w:sz w:val="24"/>
        </w:rPr>
        <w:t>Defense counsel’s ideal outcome is an emotional, damaging reply — wait twenty-four hours, then let AI help you draft the measured version instead.</w:t>
      </w:r>
    </w:p>
    <w:p>
      <w:pPr>
        <w:pStyle w:val="ListBullet"/>
      </w:pPr>
      <w:r>
        <w:rPr>
          <w:rFonts w:ascii="Georgia" w:hAnsi="Georgia"/>
          <w:b/>
          <w:sz w:val="24"/>
        </w:rPr>
        <w:t xml:space="preserve">Run every communication through AI before it leaves your outbox. </w:t>
      </w:r>
      <w:r>
        <w:rPr>
          <w:rFonts w:ascii="Georgia" w:hAnsi="Georgia"/>
          <w:b w:val="0"/>
          <w:sz w:val="24"/>
        </w:rPr>
        <w:t>Two minutes of review catches inadvertent admissions, tone problems, and hidden traps in what you’re responding to — no exceptions, no matter how routine the email feels.</w:t>
      </w:r>
    </w:p>
    <w:p>
      <w:pPr>
        <w:pStyle w:val="ListBullet"/>
      </w:pPr>
      <w:r>
        <w:rPr>
          <w:rFonts w:ascii="Georgia" w:hAnsi="Georgia"/>
          <w:b/>
          <w:sz w:val="24"/>
        </w:rPr>
        <w:t xml:space="preserve">Learn the twelve traps before you fall into one. </w:t>
      </w:r>
      <w:r>
        <w:rPr>
          <w:rFonts w:ascii="Georgia" w:hAnsi="Georgia"/>
          <w:b w:val="0"/>
          <w:sz w:val="24"/>
        </w:rPr>
        <w:t>The friendly first call, the premature settlement lowball, the casual factual concession, the mischaracterized “confirming” email — each has a specific, professional counter-response.</w:t>
      </w:r>
    </w:p>
    <w:p>
      <w:pPr>
        <w:pStyle w:val="ListBullet"/>
      </w:pPr>
      <w:r>
        <w:rPr>
          <w:rFonts w:ascii="Georgia" w:hAnsi="Georgia"/>
          <w:b/>
          <w:sz w:val="24"/>
        </w:rPr>
        <w:t xml:space="preserve">Silence can be read as agreement. </w:t>
      </w:r>
      <w:r>
        <w:rPr>
          <w:rFonts w:ascii="Georgia" w:hAnsi="Georgia"/>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Georgia" w:hAnsi="Georgia"/>
          <w:b/>
          <w:sz w:val="24"/>
        </w:rPr>
        <w:t xml:space="preserve">The correspondence file is part of your case file. </w:t>
      </w:r>
      <w:r>
        <w:rPr>
          <w:rFonts w:ascii="Georgia" w:hAnsi="Georgia"/>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first forty-eight hours set the tone for your opposition. </w:t>
      </w:r>
      <w:r>
        <w:rPr>
          <w:rFonts w:ascii="Georgia" w:hAnsi="Georgia"/>
          <w:b w:val="0"/>
          <w:sz w:val="24"/>
        </w:rPr>
        <w:t>Read the entire motion cover to cover before doing anything else, then deploy the full Round-Robin — argument inventory, threat assessment, case analysis, counter-arguments, fatal flaw search.</w:t>
      </w:r>
    </w:p>
    <w:p>
      <w:pPr>
        <w:pStyle w:val="ListBullet"/>
      </w:pPr>
      <w:r>
        <w:rPr>
          <w:rFonts w:ascii="Georgia" w:hAnsi="Georgia"/>
          <w:b/>
          <w:sz w:val="24"/>
        </w:rPr>
        <w:t xml:space="preserve">Know Iqbal/Twombly cold. </w:t>
      </w:r>
      <w:r>
        <w:rPr>
          <w:rFonts w:ascii="Georgia" w:hAnsi="Georgia"/>
          <w:b w:val="0"/>
          <w:sz w:val="24"/>
        </w:rPr>
        <w:t>Courts accept factual allegations as true but disregard legal conclusions — the entire plausibility fight turns on which side of that line each sentence in your complaint falls.</w:t>
      </w:r>
    </w:p>
    <w:p>
      <w:pPr>
        <w:pStyle w:val="ListBullet"/>
      </w:pPr>
      <w:r>
        <w:rPr>
          <w:rFonts w:ascii="Georgia" w:hAnsi="Georgia"/>
          <w:b/>
          <w:sz w:val="24"/>
        </w:rPr>
        <w:t xml:space="preserve">Qualified immunity needs a layered defense. </w:t>
      </w:r>
      <w:r>
        <w:rPr>
          <w:rFonts w:ascii="Georgia" w:hAnsi="Georgia"/>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Georgia" w:hAnsi="Georgia"/>
          <w:b/>
          <w:sz w:val="24"/>
        </w:rPr>
        <w:t xml:space="preserve">There are five attack vectors, and each has a counter. </w:t>
      </w:r>
      <w:r>
        <w:rPr>
          <w:rFonts w:ascii="Georgia" w:hAnsi="Georgia"/>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Georgia" w:hAnsi="Georgia"/>
          <w:b/>
          <w:sz w:val="24"/>
        </w:rPr>
        <w:t xml:space="preserve">Cite your own complaint by paragraph number. </w:t>
      </w:r>
      <w:r>
        <w:rPr>
          <w:rFonts w:ascii="Georgia" w:hAnsi="Georgia"/>
          <w:b w:val="0"/>
          <w:sz w:val="24"/>
        </w:rPr>
        <w:t>When the defense cherry-picks a conclusory sentence, show the court the full factual paragraphs surrounding it — comprehensive quotation defeats selective quotation every time.</w:t>
      </w:r>
    </w:p>
    <w:p>
      <w:pPr>
        <w:pStyle w:val="ListBullet"/>
      </w:pPr>
      <w:r>
        <w:rPr>
          <w:rFonts w:ascii="Georgia" w:hAnsi="Georgia"/>
          <w:b/>
          <w:sz w:val="24"/>
        </w:rPr>
        <w:t xml:space="preserve">Always request leave to amend as a safety net. </w:t>
      </w:r>
      <w:r>
        <w:rPr>
          <w:rFonts w:ascii="Georgia" w:hAnsi="Georgia"/>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 gotcha serves one of three goals. </w:t>
      </w:r>
      <w:r>
        <w:rPr>
          <w:rFonts w:ascii="Georgia" w:hAnsi="Georgia"/>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Georgia" w:hAnsi="Georgia"/>
          <w:b/>
          <w:sz w:val="24"/>
        </w:rPr>
        <w:t xml:space="preserve">Split combined motions into their separate parts. </w:t>
      </w:r>
      <w:r>
        <w:rPr>
          <w:rFonts w:ascii="Georgia" w:hAnsi="Georgia"/>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Georgia" w:hAnsi="Georgia"/>
          <w:b/>
          <w:sz w:val="24"/>
        </w:rPr>
        <w:t xml:space="preserve">Your default answer to a stay is no. </w:t>
      </w:r>
      <w:r>
        <w:rPr>
          <w:rFonts w:ascii="Georgia" w:hAnsi="Georgia"/>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Georgia" w:hAnsi="Georgia"/>
          <w:b/>
          <w:sz w:val="24"/>
        </w:rPr>
        <w:t xml:space="preserve">The amended complaint is not a patch job — it’s a rebuild. </w:t>
      </w:r>
      <w:r>
        <w:rPr>
          <w:rFonts w:ascii="Georgia" w:hAnsi="Georgia"/>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Georgia" w:hAnsi="Georgia"/>
          <w:b/>
          <w:sz w:val="24"/>
        </w:rPr>
        <w:t xml:space="preserve">A Rule 56(d) declaration stops an early summary judgment ambush cold. </w:t>
      </w:r>
      <w:r>
        <w:rPr>
          <w:rFonts w:ascii="Georgia" w:hAnsi="Georgia"/>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Georgia" w:hAnsi="Georgia"/>
          <w:b/>
          <w:sz w:val="24"/>
        </w:rPr>
        <w:t xml:space="preserve">A sanctions letter is a threat, not a motion. </w:t>
      </w:r>
      <w:r>
        <w:rPr>
          <w:rFonts w:ascii="Georgia" w:hAnsi="Georgia"/>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Discovery is where you go on offense. </w:t>
      </w:r>
      <w:r>
        <w:rPr>
          <w:rFonts w:ascii="Georgia" w:hAnsi="Georgia"/>
          <w:b w:val="0"/>
          <w:sz w:val="24"/>
        </w:rPr>
        <w:t>For the first time in the case, you are the one compelling answers instead of surviving attacks — embrace the inversion, because you earned it.</w:t>
      </w:r>
    </w:p>
    <w:p>
      <w:pPr>
        <w:pStyle w:val="ListBullet"/>
      </w:pPr>
      <w:r>
        <w:rPr>
          <w:rFonts w:ascii="Georgia" w:hAnsi="Georgia"/>
          <w:b/>
          <w:sz w:val="24"/>
        </w:rPr>
        <w:t xml:space="preserve">Sequence your requests in three waves, not one dump. </w:t>
      </w:r>
      <w:r>
        <w:rPr>
          <w:rFonts w:ascii="Georgia" w:hAnsi="Georgia"/>
          <w:b w:val="0"/>
          <w:sz w:val="24"/>
        </w:rPr>
        <w:t>Foundation discovery establishes the record, targeted follow-up chases the leads that record reveals, and the final wave is built specifically to arm your depositions.</w:t>
      </w:r>
    </w:p>
    <w:p>
      <w:pPr>
        <w:pStyle w:val="ListBullet"/>
      </w:pPr>
      <w:r>
        <w:rPr>
          <w:rFonts w:ascii="Georgia" w:hAnsi="Georgia"/>
          <w:b/>
          <w:sz w:val="24"/>
        </w:rPr>
        <w:t xml:space="preserve">Precision defeats objections before they’re raised. </w:t>
      </w:r>
      <w:r>
        <w:rPr>
          <w:rFonts w:ascii="Georgia" w:hAnsi="Georgia"/>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Georgia" w:hAnsi="Georgia"/>
          <w:b/>
          <w:sz w:val="24"/>
        </w:rPr>
        <w:t xml:space="preserve">Requests for admission are the most underused weapon in the arsenal. </w:t>
      </w:r>
      <w:r>
        <w:rPr>
          <w:rFonts w:ascii="Georgia" w:hAnsi="Georgia"/>
          <w:b w:val="0"/>
          <w:sz w:val="24"/>
        </w:rPr>
        <w:t>Every RFA forces a dilemma: admit a fact that narrows the case, or deny one that becomes impeachment material the moment a document or a witness proves it true.</w:t>
      </w:r>
    </w:p>
    <w:p>
      <w:pPr>
        <w:pStyle w:val="ListBullet"/>
      </w:pPr>
      <w:r>
        <w:rPr>
          <w:rFonts w:ascii="Georgia" w:hAnsi="Georgia"/>
          <w:b/>
          <w:sz w:val="24"/>
        </w:rPr>
        <w:t xml:space="preserve">Native format and a privilege log close the redaction loopholes. </w:t>
      </w:r>
      <w:r>
        <w:rPr>
          <w:rFonts w:ascii="Georgia" w:hAnsi="Georgia"/>
          <w:b w:val="0"/>
          <w:sz w:val="24"/>
        </w:rPr>
        <w:t>Demanding electronically stored information with metadata intact, plus an accounting for every withheld or blacked-out document, is what stops the defense from printing away your evidence.</w:t>
      </w:r>
    </w:p>
    <w:p>
      <w:pPr>
        <w:pStyle w:val="ListBullet"/>
      </w:pPr>
      <w:r>
        <w:rPr>
          <w:rFonts w:ascii="Georgia" w:hAnsi="Georgia"/>
          <w:b/>
          <w:sz w:val="24"/>
        </w:rPr>
        <w:t xml:space="preserve">Rule 37(a)(5) makes the motion to compel cost the defense something. </w:t>
      </w:r>
      <w:r>
        <w:rPr>
          <w:rFonts w:ascii="Georgia" w:hAnsi="Georgia"/>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 document dump is a tactic, not generosity. </w:t>
      </w:r>
      <w:r>
        <w:rPr>
          <w:rFonts w:ascii="Georgia" w:hAnsi="Georgia"/>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Georgia" w:hAnsi="Georgia"/>
          <w:b/>
          <w:sz w:val="24"/>
        </w:rPr>
        <w:t xml:space="preserve">The Five-Pass AI Review Protocol turns volume into structure. </w:t>
      </w:r>
      <w:r>
        <w:rPr>
          <w:rFonts w:ascii="Georgia" w:hAnsi="Georgia"/>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Georgia" w:hAnsi="Georgia"/>
          <w:b/>
          <w:sz w:val="24"/>
        </w:rPr>
        <w:t xml:space="preserve">Contradictions are the most valuable find in any production. </w:t>
      </w:r>
      <w:r>
        <w:rPr>
          <w:rFonts w:ascii="Georgia" w:hAnsi="Georgia"/>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Georgia" w:hAnsi="Georgia"/>
          <w:b/>
          <w:sz w:val="24"/>
        </w:rPr>
        <w:t xml:space="preserve">Know your own worst evidence before the defense uses it. </w:t>
      </w:r>
      <w:r>
        <w:rPr>
          <w:rFonts w:ascii="Georgia" w:hAnsi="Georgia"/>
          <w:b w:val="0"/>
          <w:sz w:val="24"/>
        </w:rPr>
        <w:t>Hunting for the anti-smoking-gun alongside the smoking gun means you develop a response to your weakest fact now, not for the first time in a deposition chair.</w:t>
      </w:r>
    </w:p>
    <w:p>
      <w:pPr>
        <w:pStyle w:val="ListBullet"/>
      </w:pPr>
      <w:r>
        <w:rPr>
          <w:rFonts w:ascii="Georgia" w:hAnsi="Georgia"/>
          <w:b/>
          <w:sz w:val="24"/>
        </w:rPr>
        <w:t xml:space="preserve">Three viewings of body camera footage extract three different things. </w:t>
      </w:r>
      <w:r>
        <w:rPr>
          <w:rFonts w:ascii="Georgia" w:hAnsi="Georgia"/>
          <w:b w:val="0"/>
          <w:sz w:val="24"/>
        </w:rPr>
        <w:t>The narrative on the first pass, the details on the second, and the report-versus-footage discrepancies on the third — skipping a pass means missing what that pass alone was built to catch.</w:t>
      </w:r>
    </w:p>
    <w:p>
      <w:pPr>
        <w:pStyle w:val="ListBullet"/>
      </w:pPr>
      <w:r>
        <w:rPr>
          <w:rFonts w:ascii="Georgia" w:hAnsi="Georgia"/>
          <w:b/>
          <w:sz w:val="24"/>
        </w:rPr>
        <w:t xml:space="preserve">What’s missing from a production matters as much as what’s in it. </w:t>
      </w:r>
      <w:r>
        <w:rPr>
          <w:rFonts w:ascii="Georgia" w:hAnsi="Georgia"/>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Depositions are two separate wars, not one. </w:t>
      </w:r>
      <w:r>
        <w:rPr>
          <w:rFonts w:ascii="Georgia" w:hAnsi="Georgia"/>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Georgia" w:hAnsi="Georgia"/>
          <w:b/>
          <w:sz w:val="24"/>
        </w:rPr>
        <w:t xml:space="preserve">“I don’t recall” is a complete and safe answer. </w:t>
      </w:r>
      <w:r>
        <w:rPr>
          <w:rFonts w:ascii="Georgia" w:hAnsi="Georgia"/>
          <w:b w:val="0"/>
          <w:sz w:val="24"/>
        </w:rPr>
        <w:t>Speculating to fill a silence hands the defense testimony you never needed to give; the golden rules exist to keep every answer as narrow as the question that prompted it.</w:t>
      </w:r>
    </w:p>
    <w:p>
      <w:pPr>
        <w:pStyle w:val="ListBullet"/>
      </w:pPr>
      <w:r>
        <w:rPr>
          <w:rFonts w:ascii="Georgia" w:hAnsi="Georgia"/>
          <w:b/>
          <w:sz w:val="24"/>
        </w:rPr>
        <w:t xml:space="preserve">Rehearse against opponents that hit harder than the real one. </w:t>
      </w:r>
      <w:r>
        <w:rPr>
          <w:rFonts w:ascii="Georgia" w:hAnsi="Georgia"/>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Georgia" w:hAnsi="Georgia"/>
          <w:b/>
          <w:sz w:val="24"/>
        </w:rPr>
        <w:t xml:space="preserve">The Funnel Technique closes every escape route before the real question. </w:t>
      </w:r>
      <w:r>
        <w:rPr>
          <w:rFonts w:ascii="Georgia" w:hAnsi="Georgia"/>
          <w:b w:val="0"/>
          <w:sz w:val="24"/>
        </w:rPr>
        <w:t>A sequence of small, individually easy admissions — non-criminal encounter, no threat, no weapon — leaves the witness with nowhere to go by the time the closing question arrives.</w:t>
      </w:r>
    </w:p>
    <w:p>
      <w:pPr>
        <w:pStyle w:val="ListBullet"/>
      </w:pPr>
      <w:r>
        <w:rPr>
          <w:rFonts w:ascii="Georgia" w:hAnsi="Georgia"/>
          <w:b/>
          <w:sz w:val="24"/>
        </w:rPr>
        <w:t xml:space="preserve">Document confrontation is a four-step choreography, not an ambush. </w:t>
      </w:r>
      <w:r>
        <w:rPr>
          <w:rFonts w:ascii="Georgia" w:hAnsi="Georgia"/>
          <w:b w:val="0"/>
          <w:sz w:val="24"/>
        </w:rPr>
        <w:t>Lock in the testimony, authenticate the document, direct the witness to the exact entry, then spring the contradiction — skip a step and the witness wriggles free.</w:t>
      </w:r>
    </w:p>
    <w:p>
      <w:pPr>
        <w:pStyle w:val="ListBullet"/>
      </w:pPr>
      <w:r>
        <w:rPr>
          <w:rFonts w:ascii="Georgia" w:hAnsi="Georgia"/>
          <w:b/>
          <w:sz w:val="24"/>
        </w:rPr>
        <w:t xml:space="preserve">The transcript is a second discovery production. </w:t>
      </w:r>
      <w:r>
        <w:rPr>
          <w:rFonts w:ascii="Georgia" w:hAnsi="Georgia"/>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Settlement is a math problem the defense is always running. </w:t>
      </w:r>
      <w:r>
        <w:rPr>
          <w:rFonts w:ascii="Georgia" w:hAnsi="Georgia"/>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Georgia" w:hAnsi="Georgia"/>
          <w:b/>
          <w:sz w:val="24"/>
        </w:rPr>
        <w:t xml:space="preserve">The motion to dismiss denial is the single biggest jump in that math. </w:t>
      </w:r>
      <w:r>
        <w:rPr>
          <w:rFonts w:ascii="Georgia" w:hAnsi="Georgia"/>
          <w:b w:val="0"/>
          <w:sz w:val="24"/>
        </w:rPr>
        <w:t>A court finding your claims plausible reassesses the defense’s own risk from roughly 10 to 20 percent up to 25 to 40 percent overnight — no other single event moves the number that far, that fast.</w:t>
      </w:r>
    </w:p>
    <w:p>
      <w:pPr>
        <w:pStyle w:val="ListBullet"/>
      </w:pPr>
      <w:r>
        <w:rPr>
          <w:rFonts w:ascii="Georgia" w:hAnsi="Georgia"/>
          <w:b/>
          <w:sz w:val="24"/>
        </w:rPr>
        <w:t xml:space="preserve">“Unpredictable discovery” is your strongest leverage, and it’s invisible until you name it. </w:t>
      </w:r>
      <w:r>
        <w:rPr>
          <w:rFonts w:ascii="Georgia" w:hAnsi="Georgia"/>
          <w:b w:val="0"/>
          <w:sz w:val="24"/>
        </w:rPr>
        <w:t>The defense isn’t paying to avoid the claims you’ve already proven — they’re paying to avoid the claims you might prove once the vault of files, footage, and emails is forced open.</w:t>
      </w:r>
    </w:p>
    <w:p>
      <w:pPr>
        <w:pStyle w:val="ListBullet"/>
      </w:pPr>
      <w:r>
        <w:rPr>
          <w:rFonts w:ascii="Georgia" w:hAnsi="Georgia"/>
          <w:b/>
          <w:sz w:val="24"/>
        </w:rPr>
        <w:t xml:space="preserve">There are five settlement windows, and they don’t all pay the same. </w:t>
      </w:r>
      <w:r>
        <w:rPr>
          <w:rFonts w:ascii="Georgia" w:hAnsi="Georgia"/>
          <w:b w:val="0"/>
          <w:sz w:val="24"/>
        </w:rPr>
        <w:t>Pre-filing offers are nuisance value; post-MTD offers reflect real fear; eve-of-trial offers reflect maximum institutional panic — know which window you’re standing in before you counter.</w:t>
      </w:r>
    </w:p>
    <w:p>
      <w:pPr>
        <w:pStyle w:val="ListBullet"/>
      </w:pPr>
      <w:r>
        <w:rPr>
          <w:rFonts w:ascii="Georgia" w:hAnsi="Georgia"/>
          <w:b/>
          <w:sz w:val="24"/>
        </w:rPr>
        <w:t xml:space="preserve">Government defendants settle on institutional terms, not personal ones. </w:t>
      </w:r>
      <w:r>
        <w:rPr>
          <w:rFonts w:ascii="Georgia" w:hAnsi="Georgia"/>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Georgia" w:hAnsi="Georgia"/>
          <w:b/>
          <w:sz w:val="24"/>
        </w:rPr>
        <w:t xml:space="preserve">Decide with the numbers, not the feelings. </w:t>
      </w:r>
      <w:r>
        <w:rPr>
          <w:rFonts w:ascii="Georgia" w:hAnsi="Georgia"/>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damages worksheet before you negotiate anything. </w:t>
      </w:r>
      <w:r>
        <w:rPr>
          <w:rFonts w:ascii="Georgia" w:hAnsi="Georgia"/>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Georgia" w:hAnsi="Georgia"/>
          <w:b/>
          <w:sz w:val="24"/>
        </w:rPr>
        <w:t xml:space="preserve">Grok is your verdict-research engine. </w:t>
      </w:r>
      <w:r>
        <w:rPr>
          <w:rFonts w:ascii="Georgia" w:hAnsi="Georgia"/>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Georgia" w:hAnsi="Georgia"/>
          <w:b/>
          <w:sz w:val="24"/>
        </w:rPr>
        <w:t xml:space="preserve">A consensus range beats a single guess. </w:t>
      </w:r>
      <w:r>
        <w:rPr>
          <w:rFonts w:ascii="Georgia" w:hAnsi="Georgia"/>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Georgia" w:hAnsi="Georgia"/>
          <w:b/>
          <w:sz w:val="24"/>
        </w:rPr>
        <w:t xml:space="preserve">The demand letter has seven sections and one purpose. </w:t>
      </w:r>
      <w:r>
        <w:rPr>
          <w:rFonts w:ascii="Georgia" w:hAnsi="Georgia"/>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Georgia" w:hAnsi="Georgia"/>
          <w:b/>
          <w:sz w:val="24"/>
        </w:rPr>
        <w:t xml:space="preserve">Never make the first concession for free, and never negotiate against yourself. </w:t>
      </w:r>
      <w:r>
        <w:rPr>
          <w:rFonts w:ascii="Georgia" w:hAnsi="Georgia"/>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Georgia" w:hAnsi="Georgia"/>
          <w:b/>
          <w:sz w:val="24"/>
        </w:rPr>
        <w:t xml:space="preserve">Read the settlement agreement like a hostile filing, not a finish line. </w:t>
      </w:r>
      <w:r>
        <w:rPr>
          <w:rFonts w:ascii="Georgia" w:hAnsi="Georgia"/>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five threats are predictable, which is why they’re beatable. </w:t>
      </w:r>
      <w:r>
        <w:rPr>
          <w:rFonts w:ascii="Georgia" w:hAnsi="Georgia"/>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Georgia" w:hAnsi="Georgia"/>
          <w:b/>
          <w:sz w:val="24"/>
        </w:rPr>
        <w:t xml:space="preserve">Check the docket once a day, at a set time, and then close the browser. </w:t>
      </w:r>
      <w:r>
        <w:rPr>
          <w:rFonts w:ascii="Georgia" w:hAnsi="Georgia"/>
          <w:b w:val="0"/>
          <w:sz w:val="24"/>
        </w:rPr>
        <w:t>Compulsive docket-checking manufactures anxiety without changing the outcome — the ruling doesn’t care when you read it, but your nervous system does.</w:t>
      </w:r>
    </w:p>
    <w:p>
      <w:pPr>
        <w:pStyle w:val="ListBullet"/>
      </w:pPr>
      <w:r>
        <w:rPr>
          <w:rFonts w:ascii="Georgia" w:hAnsi="Georgia"/>
          <w:b/>
          <w:sz w:val="24"/>
        </w:rPr>
        <w:t xml:space="preserve">Build case-free zones and defend them. </w:t>
      </w:r>
      <w:r>
        <w:rPr>
          <w:rFonts w:ascii="Georgia" w:hAnsi="Georgia"/>
          <w:b w:val="0"/>
          <w:sz w:val="24"/>
        </w:rPr>
        <w:t>No files in the bedroom, no docket-checking at the dinner table, at least one day a week where the case does not exist. Recovery requires zero engagement, not reduced engagement.</w:t>
      </w:r>
    </w:p>
    <w:p>
      <w:pPr>
        <w:pStyle w:val="ListBullet"/>
      </w:pPr>
      <w:r>
        <w:rPr>
          <w:rFonts w:ascii="Georgia" w:hAnsi="Georgia"/>
          <w:b/>
          <w:sz w:val="24"/>
        </w:rPr>
        <w:t xml:space="preserve">Exercise is litigation strategy, not self-care fluff. </w:t>
      </w:r>
      <w:r>
        <w:rPr>
          <w:rFonts w:ascii="Georgia" w:hAnsi="Georgia"/>
          <w:b w:val="0"/>
          <w:sz w:val="24"/>
        </w:rPr>
        <w:t>It is the single most effective, lowest-cost intervention against litigation-related anxiety — use it deliberately on the days the case feels heaviest, not just when you feel like it.</w:t>
      </w:r>
    </w:p>
    <w:p>
      <w:pPr>
        <w:pStyle w:val="ListBullet"/>
      </w:pPr>
      <w:r>
        <w:rPr>
          <w:rFonts w:ascii="Georgia" w:hAnsi="Georgia"/>
          <w:b/>
          <w:sz w:val="24"/>
        </w:rPr>
        <w:t xml:space="preserve">Keep a litigation journal of wins. </w:t>
      </w:r>
      <w:r>
        <w:rPr>
          <w:rFonts w:ascii="Georgia" w:hAnsi="Georgia"/>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Georgia" w:hAnsi="Georgia"/>
          <w:b/>
          <w:sz w:val="24"/>
        </w:rPr>
        <w:t xml:space="preserve">The methodology itself is a decision-fatigue reducer. </w:t>
      </w:r>
      <w:r>
        <w:rPr>
          <w:rFonts w:ascii="Georgia" w:hAnsi="Georgia"/>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Officers’ own words built the pretext claim. </w:t>
      </w:r>
      <w:r>
        <w:rPr>
          <w:rFonts w:ascii="Georgia" w:hAnsi="Georgia"/>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Georgia" w:hAnsi="Georgia"/>
          <w:b/>
          <w:sz w:val="24"/>
        </w:rPr>
        <w:t xml:space="preserve">Strategic concession is redeployment, not surrender. </w:t>
      </w:r>
      <w:r>
        <w:rPr>
          <w:rFonts w:ascii="Georgia" w:hAnsi="Georgia"/>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Georgia" w:hAnsi="Georgia"/>
          <w:b/>
          <w:sz w:val="24"/>
        </w:rPr>
        <w:t xml:space="preserve">No single model found the whole case — the synthesis did. </w:t>
      </w:r>
      <w:r>
        <w:rPr>
          <w:rFonts w:ascii="Georgia" w:hAnsi="Georgia"/>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Georgia" w:hAnsi="Georgia"/>
          <w:b/>
          <w:sz w:val="24"/>
        </w:rPr>
        <w:t xml:space="preserve">What the defense doesn’t answer is itself evidence. </w:t>
      </w:r>
      <w:r>
        <w:rPr>
          <w:rFonts w:ascii="Georgia" w:hAnsi="Georgia"/>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Georgia" w:hAnsi="Georgia"/>
          <w:b/>
          <w:sz w:val="24"/>
        </w:rPr>
        <w:t xml:space="preserve">A pro se filing can force a real institution to fight for real. </w:t>
      </w:r>
      <w:r>
        <w:rPr>
          <w:rFonts w:ascii="Georgia" w:hAnsi="Georgia"/>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Georgia" w:hAnsi="Georgia"/>
          <w:b/>
          <w:sz w:val="24"/>
        </w:rPr>
        <w:t xml:space="preserve">The outcome isn’t decided yet, and that isn’t the point of the chapter. </w:t>
      </w:r>
      <w:r>
        <w:rPr>
          <w:rFonts w:ascii="Georgia" w:hAnsi="Georgia"/>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Verify every citation before it goes near a filing, with no exceptions. </w:t>
      </w:r>
      <w:r>
        <w:rPr>
          <w:rFonts w:ascii="Georgia" w:hAnsi="Georgia"/>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Georgia" w:hAnsi="Georgia"/>
          <w:b/>
          <w:sz w:val="24"/>
        </w:rPr>
        <w:t xml:space="preserve">Hallucinations hide in places besides citations. </w:t>
      </w:r>
      <w:r>
        <w:rPr>
          <w:rFonts w:ascii="Georgia" w:hAnsi="Georgia"/>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Georgia" w:hAnsi="Georgia"/>
          <w:b/>
          <w:sz w:val="24"/>
        </w:rPr>
        <w:t xml:space="preserve">You can represent yourself, but you cannot represent anyone else. </w:t>
      </w:r>
      <w:r>
        <w:rPr>
          <w:rFonts w:ascii="Georgia" w:hAnsi="Georgia"/>
          <w:b w:val="0"/>
          <w:sz w:val="24"/>
        </w:rPr>
        <w:t>Using this methodology to draft filings or give strategy for a friend’s case is the unauthorized practice of law, full stop — share the book, not the drafting.</w:t>
      </w:r>
    </w:p>
    <w:p>
      <w:pPr>
        <w:pStyle w:val="ListBullet"/>
      </w:pPr>
      <w:r>
        <w:rPr>
          <w:rFonts w:ascii="Georgia" w:hAnsi="Georgia"/>
          <w:b/>
          <w:sz w:val="24"/>
        </w:rPr>
        <w:t xml:space="preserve">Secure your Case Intelligence File like it’s evidence, because it is. </w:t>
      </w:r>
      <w:r>
        <w:rPr>
          <w:rFonts w:ascii="Georgia" w:hAnsi="Georgia"/>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Georgia" w:hAnsi="Georgia"/>
          <w:b/>
          <w:sz w:val="24"/>
        </w:rPr>
        <w:t xml:space="preserve">Disclose your AI use when a court asks, honestly and without embarrassment. </w:t>
      </w:r>
      <w:r>
        <w:rPr>
          <w:rFonts w:ascii="Georgia" w:hAnsi="Georgia"/>
          <w:b w:val="0"/>
          <w:sz w:val="24"/>
        </w:rPr>
        <w:t>More courts are requiring AI-use certifications every month — comply fully, and when in doubt, disclose anyway. Under-disclosure is the only version of this that carries real risk.</w:t>
      </w:r>
    </w:p>
    <w:p>
      <w:pPr>
        <w:pStyle w:val="ListBullet"/>
      </w:pPr>
      <w:r>
        <w:rPr>
          <w:rFonts w:ascii="Georgia" w:hAnsi="Georgia"/>
          <w:b/>
          <w:sz w:val="24"/>
        </w:rPr>
        <w:t xml:space="preserve">AI is co-counsel. You are lead counsel. Always. </w:t>
      </w:r>
      <w:r>
        <w:rPr>
          <w:rFonts w:ascii="Georgia" w:hAnsi="Georgia"/>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You built real capability, not a shortcut. </w:t>
      </w:r>
      <w:r>
        <w:rPr>
          <w:rFonts w:ascii="Georgia" w:hAnsi="Georgia"/>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Georgia" w:hAnsi="Georgia"/>
          <w:b/>
          <w:sz w:val="24"/>
        </w:rPr>
        <w:t xml:space="preserve">The system’s gatekeeping was never about the merits of your case. </w:t>
      </w:r>
      <w:r>
        <w:rPr>
          <w:rFonts w:ascii="Georgia" w:hAnsi="Georgia"/>
          <w:b w:val="0"/>
          <w:sz w:val="24"/>
        </w:rPr>
        <w:t>It excluded you based on what you could afford to pay, not on whether you were right — and that’s precisely the barrier the methodology in this book was built to route around.</w:t>
      </w:r>
    </w:p>
    <w:p>
      <w:pPr>
        <w:pStyle w:val="ListBullet"/>
      </w:pPr>
      <w:r>
        <w:rPr>
          <w:rFonts w:ascii="Georgia" w:hAnsi="Georgia"/>
          <w:b/>
          <w:sz w:val="24"/>
        </w:rPr>
        <w:t xml:space="preserve">Victory has more shapes than a verdict. </w:t>
      </w:r>
      <w:r>
        <w:rPr>
          <w:rFonts w:ascii="Georgia" w:hAnsi="Georgia"/>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Georgia" w:hAnsi="Georgia"/>
          <w:b/>
          <w:sz w:val="24"/>
        </w:rPr>
        <w:t xml:space="preserve">This book gave you capacity, not a guarantee. </w:t>
      </w:r>
      <w:r>
        <w:rPr>
          <w:rFonts w:ascii="Georgia" w:hAnsi="Georgia"/>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Georgia" w:hAnsi="Georgia"/>
          <w:b/>
          <w:sz w:val="24"/>
        </w:rPr>
        <w:t xml:space="preserve">You fight because it happened, because others can’t, and because the tools finally exist. </w:t>
      </w:r>
      <w:r>
        <w:rPr>
          <w:rFonts w:ascii="Georgia" w:hAnsi="Georgia"/>
          <w:b w:val="0"/>
          <w:sz w:val="24"/>
        </w:rPr>
        <w:t>The window on this kind of access won’t necessarily stay open — the moment to use it is now, not someday.</w:t>
      </w:r>
    </w:p>
    <w:p>
      <w:pPr>
        <w:pStyle w:val="ListBullet"/>
      </w:pPr>
      <w:r>
        <w:rPr>
          <w:rFonts w:ascii="Georgia" w:hAnsi="Georgia"/>
          <w:b/>
          <w:sz w:val="24"/>
        </w:rPr>
        <w:t xml:space="preserve">The system was not built for you. Build your case anyway. </w:t>
      </w:r>
      <w:r>
        <w:rPr>
          <w:rFonts w:ascii="Georgia" w:hAnsi="Georgia"/>
          <w:b w:val="0"/>
          <w:sz w:val="24"/>
        </w:rPr>
        <w:t>That’s not a metaphor to close a book on — it’s the instruction. Close this one, open your laptop, and start.</w:t>
      </w: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Georgia" w:hAnsi="Georgia"/>
          <w:b/>
          <w:sz w:val="40"/>
        </w:rPr>
        <w:t>Sources &amp; Further Reading</w:t>
      </w:r>
    </w:p>
    <w:p>
      <w:r>
        <w:rPr>
          <w:rFonts w:ascii="Georgia" w:hAnsi="Georgia"/>
          <w:i/>
          <w:sz w:val="24"/>
        </w:rPr>
        <w:t>The reports, cases, and data behind the claims in this book — so you don’t have to take our word for it.</w:t>
      </w:r>
    </w:p>
    <w:p/>
    <w:p>
      <w:r>
        <w:rPr>
          <w:rFonts w:ascii="Georgia" w:hAnsi="Georgia"/>
          <w:sz w:val="24"/>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Georgia" w:hAnsi="Georgia"/>
          <w:color w:val="8B6914"/>
          <w:sz w:val="24"/>
        </w:rPr>
        <w:t>———</w:t>
      </w:r>
    </w:p>
    <w:p>
      <w:pPr>
        <w:pStyle w:val="Heading2"/>
      </w:pPr>
      <w:r>
        <w:rPr>
          <w:rFonts w:ascii="Arial" w:hAnsi="Arial"/>
          <w:b/>
          <w:color w:val="8B6914"/>
          <w:sz w:val="24"/>
        </w:rPr>
        <w:t>THE ACCESS-TO-JUSTICE DATA</w:t>
      </w:r>
    </w:p>
    <w:p>
      <w:pPr>
        <w:pStyle w:val="ListBullet"/>
      </w:pPr>
      <w:r>
        <w:rPr>
          <w:rFonts w:ascii="Georgia" w:hAnsi="Georgia"/>
          <w:b/>
          <w:sz w:val="24"/>
        </w:rPr>
        <w:t xml:space="preserve">Legal Services Corporation, The Justice Gap: Measuring the Unmet Civil Legal Needs of Low-Income Americans (2022). </w:t>
      </w:r>
      <w:r>
        <w:rPr>
          <w:rFonts w:ascii="Georgia" w:hAnsi="Georgia"/>
          <w:b w:val="0"/>
          <w:sz w:val="24"/>
        </w:rPr>
        <w:t>Available at justicegap.lsc.gov. This is the source of the finding, cited in Chapter 1, that low-income Americans receive inadequate or no help for 92 percent of their civil legal problems.</w:t>
      </w:r>
    </w:p>
    <w:p>
      <w:pPr>
        <w:pStyle w:val="ListBullet"/>
      </w:pPr>
      <w:r>
        <w:rPr>
          <w:rFonts w:ascii="Georgia" w:hAnsi="Georgia"/>
          <w:b/>
          <w:sz w:val="24"/>
        </w:rPr>
        <w:t xml:space="preserve">National Center for State Courts, Virginia Self-Represented Litigant Study: Outcomes of Civil Cases (2017), </w:t>
      </w:r>
      <w:r>
        <w:rPr>
          <w:rFonts w:ascii="Georgia" w:hAnsi="Georgia"/>
          <w:b w:val="0"/>
          <w:sz w:val="24"/>
        </w:rPr>
        <w:t>funded by a Legal Services Corporation Technology Initiative Grant. One of several NCSC studies documenting outcome gaps between represented and self-represented litigants, referenced in Chapter 1.</w:t>
      </w:r>
    </w:p>
    <w:p>
      <w:pPr>
        <w:pStyle w:val="ListBullet"/>
      </w:pPr>
      <w:r>
        <w:rPr>
          <w:rFonts w:ascii="Georgia" w:hAnsi="Georgia"/>
          <w:b/>
          <w:sz w:val="24"/>
        </w:rPr>
        <w:t xml:space="preserve">U.S. Bureau of Labor Statistics, Occupational Employment and Wage Statistics: Lawyers (bls.gov/oes). </w:t>
      </w:r>
      <w:r>
        <w:rPr>
          <w:rFonts w:ascii="Georgia" w:hAnsi="Georgia"/>
          <w:b w:val="0"/>
          <w:sz w:val="24"/>
        </w:rPr>
        <w:t>The ongoing federal data series behind the attorney hourly-rate figures cited in Chapter 1.</w:t>
      </w:r>
    </w:p>
    <w:p>
      <w:pPr>
        <w:jc w:val="center"/>
      </w:pPr>
      <w:r>
        <w:rPr>
          <w:rFonts w:ascii="Georgia" w:hAnsi="Georgia"/>
          <w:color w:val="8B6914"/>
          <w:sz w:val="24"/>
        </w:rPr>
        <w:t>———</w:t>
      </w:r>
    </w:p>
    <w:p>
      <w:pPr>
        <w:pStyle w:val="Heading2"/>
      </w:pPr>
      <w:r>
        <w:rPr>
          <w:rFonts w:ascii="Arial" w:hAnsi="Arial"/>
          <w:b/>
          <w:color w:val="8B6914"/>
          <w:sz w:val="24"/>
        </w:rPr>
        <w:t>SELECTED LEGAL AUTHORITIES</w:t>
      </w:r>
    </w:p>
    <w:p>
      <w:r>
        <w:rPr>
          <w:rFonts w:ascii="Georgia" w:hAnsi="Georgia"/>
          <w:sz w:val="24"/>
        </w:rPr>
        <w:t>The cases most central to the methodology in this book. Case law changes — always confirm current validity and your jurisdiction’s application before relying on any of these.</w:t>
      </w:r>
    </w:p>
    <w:p>
      <w:pPr>
        <w:pStyle w:val="ListBullet"/>
      </w:pPr>
      <w:r>
        <w:rPr>
          <w:rFonts w:ascii="Georgia" w:hAnsi="Georgia"/>
          <w:b/>
          <w:sz w:val="24"/>
        </w:rPr>
        <w:t xml:space="preserve">Haines v. Kerner, 404 U.S. 519 (1972) </w:t>
      </w:r>
      <w:r>
        <w:rPr>
          <w:rFonts w:ascii="Georgia" w:hAnsi="Georgia"/>
          <w:b w:val="0"/>
          <w:sz w:val="24"/>
        </w:rPr>
        <w:t>— the pro se liberal-construction standard discussed in Chapter 1.</w:t>
      </w:r>
    </w:p>
    <w:p>
      <w:pPr>
        <w:pStyle w:val="ListBullet"/>
      </w:pPr>
      <w:r>
        <w:rPr>
          <w:rFonts w:ascii="Georgia" w:hAnsi="Georgia"/>
          <w:b/>
          <w:sz w:val="24"/>
        </w:rPr>
        <w:t xml:space="preserve">Bell Atlantic Corp. v. Twombly, 550 U.S. 544 (2007), and Ashcroft v. Iqbal, 556 U.S. 662 (2009) </w:t>
      </w:r>
      <w:r>
        <w:rPr>
          <w:rFonts w:ascii="Georgia" w:hAnsi="Georgia"/>
          <w:b w:val="0"/>
          <w:sz w:val="24"/>
        </w:rPr>
        <w:t>— the plausibility pleading standard central to Chapter 10.</w:t>
      </w:r>
    </w:p>
    <w:p>
      <w:pPr>
        <w:pStyle w:val="ListBullet"/>
      </w:pPr>
      <w:r>
        <w:rPr>
          <w:rFonts w:ascii="Georgia" w:hAnsi="Georgia"/>
          <w:b/>
          <w:sz w:val="24"/>
        </w:rPr>
        <w:t xml:space="preserve">Monell v. Department of Social Services, 436 U.S. 658 (1978) </w:t>
      </w:r>
      <w:r>
        <w:rPr>
          <w:rFonts w:ascii="Georgia" w:hAnsi="Georgia"/>
          <w:b w:val="0"/>
          <w:sz w:val="24"/>
        </w:rPr>
        <w:t>— the municipal-liability standard discussed in Chapters 10 and 18.</w:t>
      </w:r>
    </w:p>
    <w:p>
      <w:pPr>
        <w:pStyle w:val="ListBullet"/>
      </w:pPr>
      <w:r>
        <w:rPr>
          <w:rFonts w:ascii="Georgia" w:hAnsi="Georgia"/>
          <w:b/>
          <w:sz w:val="24"/>
        </w:rPr>
        <w:t xml:space="preserve">Harlow v. Fitzgerald, 457 U.S. 800 (1982) </w:t>
      </w:r>
      <w:r>
        <w:rPr>
          <w:rFonts w:ascii="Georgia" w:hAnsi="Georgia"/>
          <w:b w:val="0"/>
          <w:sz w:val="24"/>
        </w:rPr>
        <w:t>— the foundational qualified immunity standard.</w:t>
      </w:r>
    </w:p>
    <w:p>
      <w:pPr>
        <w:pStyle w:val="ListBullet"/>
      </w:pPr>
      <w:r>
        <w:rPr>
          <w:rFonts w:ascii="Georgia" w:hAnsi="Georgia"/>
          <w:b/>
          <w:sz w:val="24"/>
        </w:rPr>
        <w:t xml:space="preserve">Taylor v. Riojas, 592 U.S. 7 (2020), and Duran v. City of Douglas, Arizona, 904 F.2d 1372 (9th Cir. 1990) </w:t>
      </w:r>
      <w:r>
        <w:rPr>
          <w:rFonts w:ascii="Georgia" w:hAnsi="Georgia"/>
          <w:b w:val="0"/>
          <w:sz w:val="24"/>
        </w:rPr>
        <w:t>— qualified immunity decisions discussed in Chapter 11.</w:t>
      </w:r>
    </w:p>
    <w:p>
      <w:pPr>
        <w:pStyle w:val="ListBullet"/>
      </w:pPr>
      <w:r>
        <w:rPr>
          <w:rFonts w:ascii="Georgia" w:hAnsi="Georgia"/>
          <w:b/>
          <w:sz w:val="24"/>
        </w:rPr>
        <w:t xml:space="preserve">Graham v. Connor, 490 U.S. 386 (1989), and Kingsley v. Hendrickson, 576 U.S. 389 (2015) </w:t>
      </w:r>
      <w:r>
        <w:rPr>
          <w:rFonts w:ascii="Georgia" w:hAnsi="Georgia"/>
          <w:b w:val="0"/>
          <w:sz w:val="24"/>
        </w:rPr>
        <w:t>— the excessive force standards referenced throughout Part III and in Chapter 18.</w:t>
      </w:r>
    </w:p>
    <w:p>
      <w:pPr>
        <w:pStyle w:val="ListBullet"/>
      </w:pPr>
      <w:r>
        <w:rPr>
          <w:rFonts w:ascii="Georgia" w:hAnsi="Georgia"/>
          <w:b/>
          <w:sz w:val="24"/>
        </w:rPr>
        <w:t xml:space="preserve">Dunaway v. New York, 442 U.S. 200 (1979) </w:t>
      </w:r>
      <w:r>
        <w:rPr>
          <w:rFonts w:ascii="Georgia" w:hAnsi="Georgia"/>
          <w:b w:val="0"/>
          <w:sz w:val="24"/>
        </w:rPr>
        <w:t>— the unlawful-detention standard discussed in Chapter 18.</w:t>
      </w:r>
    </w:p>
    <w:p>
      <w:pPr>
        <w:jc w:val="center"/>
      </w:pPr>
      <w:r>
        <w:rPr>
          <w:rFonts w:ascii="Georgia" w:hAnsi="Georgia"/>
          <w:color w:val="8B6914"/>
          <w:sz w:val="24"/>
        </w:rPr>
        <w:t>———</w:t>
      </w:r>
    </w:p>
    <w:p>
      <w:pPr>
        <w:pStyle w:val="Heading2"/>
      </w:pPr>
      <w:r>
        <w:rPr>
          <w:rFonts w:ascii="Arial" w:hAnsi="Arial"/>
          <w:b/>
          <w:color w:val="8B6914"/>
          <w:sz w:val="24"/>
        </w:rPr>
        <w:t>ON AI AND CITATION INTEGRITY</w:t>
      </w:r>
    </w:p>
    <w:p>
      <w:pPr>
        <w:pStyle w:val="ListBullet"/>
      </w:pPr>
      <w:r>
        <w:rPr>
          <w:rFonts w:ascii="Georgia" w:hAnsi="Georgia"/>
          <w:b/>
          <w:sz w:val="24"/>
        </w:rPr>
        <w:t xml:space="preserve">Mata v. Avianca, Inc., 678 F. Supp. 3d 443 (S.D.N.Y. 2023) </w:t>
      </w:r>
      <w:r>
        <w:rPr>
          <w:rFonts w:ascii="Georgia" w:hAnsi="Georgia"/>
          <w:b w:val="0"/>
          <w:sz w:val="24"/>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Georgia" w:hAnsi="Georgia"/>
          <w:color w:val="8B6914"/>
          <w:sz w:val="24"/>
        </w:rPr>
        <w:t>———</w:t>
      </w:r>
    </w:p>
    <w:p>
      <w:pPr>
        <w:pStyle w:val="Heading2"/>
      </w:pPr>
      <w:r>
        <w:rPr>
          <w:rFonts w:ascii="Arial" w:hAnsi="Arial"/>
          <w:b/>
          <w:color w:val="8B6914"/>
          <w:sz w:val="24"/>
        </w:rPr>
        <w:t>A NOTE ON SOURCING</w:t>
      </w:r>
    </w:p>
    <w:p>
      <w:r>
        <w:rPr>
          <w:rFonts w:ascii="Georgia" w:hAnsi="Georgia"/>
          <w:sz w:val="24"/>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BEFORE YOU GO</w:t>
      </w:r>
    </w:p>
    <w:p>
      <w:r>
        <w:rPr>
          <w:rFonts w:ascii="Georgia" w:hAnsi="Georgia"/>
          <w:b/>
          <w:sz w:val="40"/>
        </w:rPr>
        <w:t>One Request</w:t>
      </w:r>
    </w:p>
    <w:p>
      <w:r>
        <w:rPr>
          <w:rFonts w:ascii="Georgia" w:hAnsi="Georgia"/>
          <w:i/>
          <w:sz w:val="24"/>
        </w:rPr>
        <w:t>A two-minute favor that costs you nothing and helps the next person more than you’d expect.</w:t>
      </w:r>
    </w:p>
    <w:p/>
    <w:p>
      <w:r>
        <w:rPr>
          <w:rFonts w:ascii="Georgia" w:hAnsi="Georgia"/>
          <w:sz w:val="24"/>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Georgia" w:hAnsi="Georgia"/>
          <w:b/>
          <w:sz w:val="24"/>
        </w:rPr>
        <w:t>Leave a review.</w:t>
      </w:r>
    </w:p>
    <w:p>
      <w:r>
        <w:rPr>
          <w:rFonts w:ascii="Georgia" w:hAnsi="Georgia"/>
          <w:sz w:val="24"/>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Georgia" w:hAnsi="Georgia"/>
          <w:sz w:val="24"/>
        </w:rPr>
        <w:t>You know exactly where you bought this book. Go back there, and tell the truth about what you found.</w:t>
      </w:r>
    </w:p>
    <w:p>
      <w:r>
        <w:rPr>
          <w:rFonts w:ascii="Georgia" w:hAnsi="Georgia"/>
          <w:sz w:val="24"/>
        </w:rPr>
        <w:t>Then close this book, open your laptop, and get back to work.</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Lawyer: A Framework for Modern Self-Representation</dc:title>
  <dc:subject>Self-representation in civil litigation using AI research and drafting tools</dc:subject>
  <dc:creator>Ngehsi Brendan Ngwa Nforbi</dc:creator>
  <cp:keywords>pro se litigation; self-representation; legal AI; civil rights litigation; access to justice</cp:keywords>
  <dc:description/>
  <cp:lastModifiedBy/>
  <cp:revision>1</cp:revision>
  <dcterms:created xsi:type="dcterms:W3CDTF">2013-12-23T23:15:00Z</dcterms:created>
  <dcterms:modified xsi:type="dcterms:W3CDTF">2013-12-23T23:15:00Z</dcterms:modified>
  <cp:category>Law / Self-Help</cp:category>
  <dc:language>en-US</dc:language>
</cp:coreProperties>
</file>