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POINTS AND AUTHORITIES (WORD SAMPLE)</w:t>
      </w:r>
    </w:p>
    <w:p>
      <w:r>
        <w:t xml:space="preserve">Plaintiff respectfully submits that absolute immunity does not apply.</w:t>
      </w:r>
    </w:p>
    <w:p>
      <w:r>
        <w:t xml:space="preserve">See Richardson v. McKnight, 521 U.S. 399 (1997).</w:t>
      </w:r>
    </w:p>
    <w:p>
      <w:r>
        <w:t xml:space="preserve">Judicial immunity remains governed by Stump v. Sparkman, 435 U.S. 349 (1978).</w:t>
      </w:r>
    </w:p>
    <w:p>
      <w:r>
        <w:t xml:space="preserve">The following pins are method controls / known problems:</w:t>
      </w:r>
    </w:p>
    <w:p>
      <w:r>
        <w:t xml:space="preserve">In re Leman, 66 Cal.App.5th 200 (2021) — negative control (must not resolve).</w:t>
      </w:r>
    </w:p>
    <w:p>
      <w:r>
        <w:t xml:space="preserve">In re Hudson, 1 Cal.App.4th 1 (2006) — wrong volume (miscitation).</w:t>
      </w:r>
    </w:p>
    <w:p>
      <w:r>
        <w:t xml:space="preserve">In re Hudson, 143 Cal.App.4th 1 (2006) — correct pin.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