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center"/>
      </w:pPr>
      <w:r>
        <w:rPr>
          <w:rFonts w:ascii="Times New Roman" w:cs="Times New Roman" w:eastAsia="Times New Roman" w:hAnsi="Times New Roman"/>
          <w:b/>
          <w:bCs/>
          <w:i w:val="false"/>
          <w:iCs w:val="false"/>
          <w:caps w:val="false"/>
          <w:sz w:val="24"/>
          <w:szCs w:val="24"/>
        </w:rPr>
        <w:t xml:space="preserve">BRENDAN NGEHSI NEWANFORBI</w:t>
      </w:r>
    </w:p>
    <w:p>
      <w:pPr>
        <w:spacing w:after="0" w:before="0" w:line="240"/>
        <w:jc w:val="center"/>
      </w:pPr>
      <w:r>
        <w:rPr>
          <w:rFonts w:ascii="Times New Roman" w:cs="Times New Roman" w:eastAsia="Times New Roman" w:hAnsi="Times New Roman"/>
          <w:b w:val="false"/>
          <w:bCs w:val="false"/>
          <w:i w:val="false"/>
          <w:iCs w:val="false"/>
          <w:caps w:val="false"/>
          <w:sz w:val="24"/>
          <w:szCs w:val="24"/>
        </w:rPr>
        <w:t xml:space="preserve">1455 Cat Tail Drive</w:t>
      </w:r>
    </w:p>
    <w:p>
      <w:pPr>
        <w:spacing w:after="0" w:before="0" w:line="240"/>
        <w:jc w:val="center"/>
      </w:pPr>
      <w:r>
        <w:rPr>
          <w:rFonts w:ascii="Times New Roman" w:cs="Times New Roman" w:eastAsia="Times New Roman" w:hAnsi="Times New Roman"/>
          <w:b w:val="false"/>
          <w:bCs w:val="false"/>
          <w:i w:val="false"/>
          <w:iCs w:val="false"/>
          <w:caps w:val="false"/>
          <w:sz w:val="24"/>
          <w:szCs w:val="24"/>
        </w:rPr>
        <w:t xml:space="preserve">Stockton, California 95204</w:t>
      </w:r>
    </w:p>
    <w:p>
      <w:pPr>
        <w:spacing w:after="0" w:before="0" w:line="240"/>
        <w:jc w:val="center"/>
      </w:pPr>
      <w:r>
        <w:rPr>
          <w:rFonts w:ascii="Times New Roman" w:cs="Times New Roman" w:eastAsia="Times New Roman" w:hAnsi="Times New Roman"/>
          <w:b w:val="false"/>
          <w:bCs w:val="false"/>
          <w:i w:val="false"/>
          <w:iCs w:val="false"/>
          <w:caps w:val="false"/>
          <w:sz w:val="24"/>
          <w:szCs w:val="24"/>
        </w:rPr>
        <w:t xml:space="preserve">Email: bnn.cdl@gmail.com</w:t>
      </w:r>
    </w:p>
    <w:p>
      <w:pPr>
        <w:spacing w:after="200" w:before="0" w:line="240"/>
        <w:jc w:val="center"/>
      </w:pPr>
      <w:r>
        <w:rPr>
          <w:rFonts w:ascii="Times New Roman" w:cs="Times New Roman" w:eastAsia="Times New Roman" w:hAnsi="Times New Roman"/>
          <w:b w:val="false"/>
          <w:bCs w:val="false"/>
          <w:i w:val="false"/>
          <w:iCs w:val="false"/>
          <w:caps w:val="false"/>
          <w:sz w:val="24"/>
          <w:szCs w:val="24"/>
        </w:rPr>
        <w:t xml:space="preserve">Plaintiff, Pro Se</w:t>
      </w:r>
    </w:p>
    <w:p>
      <w:pPr>
        <w:spacing w:after="0" w:line="240"/>
      </w:pPr>
    </w:p>
    <w:p>
      <w:pPr>
        <w:spacing w:after="200" w:before="200" w:line="480"/>
        <w:jc w:val="center"/>
      </w:pPr>
      <w:r>
        <w:rPr>
          <w:rFonts w:ascii="Times New Roman" w:cs="Times New Roman" w:eastAsia="Times New Roman" w:hAnsi="Times New Roman"/>
          <w:b/>
          <w:bCs/>
          <w:caps/>
          <w:sz w:val="24"/>
          <w:szCs w:val="24"/>
        </w:rPr>
        <w:t xml:space="preserve">UNITED STATES DISTRICT COURT</w:t>
      </w:r>
    </w:p>
    <w:p>
      <w:pPr>
        <w:spacing w:after="200" w:before="200" w:line="480"/>
        <w:jc w:val="center"/>
      </w:pPr>
      <w:r>
        <w:rPr>
          <w:rFonts w:ascii="Times New Roman" w:cs="Times New Roman" w:eastAsia="Times New Roman" w:hAnsi="Times New Roman"/>
          <w:b/>
          <w:bCs/>
          <w:caps w:val="false"/>
          <w:sz w:val="24"/>
          <w:szCs w:val="24"/>
        </w:rPr>
        <w:t xml:space="preserve">EASTERN DISTRICT OF CALIFORNIA — SACRAMENTO DIVISION</w:t>
      </w:r>
    </w:p>
    <w:p>
      <w:pPr>
        <w:spacing w:after="0" w:line="240"/>
      </w:pPr>
    </w:p>
    <w:p>
      <w:pPr>
        <w:spacing w:after="0" w:before="0" w:line="240"/>
        <w:jc w:val="left"/>
      </w:pPr>
      <w:r>
        <w:rPr>
          <w:rFonts w:ascii="Times New Roman" w:cs="Times New Roman" w:eastAsia="Times New Roman" w:hAnsi="Times New Roman"/>
          <w:sz w:val="24"/>
          <w:szCs w:val="24"/>
        </w:rPr>
        <w:t xml:space="preserve">BRENDAN NGEHSI NEWANFORBI,</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sz w:val="24"/>
          <w:szCs w:val="24"/>
        </w:rPr>
        <w:t xml:space="preserve">          Plaintiff,</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rPr>
        <w:t xml:space="preserve">                                                                   Case No. 2:26-cv-00983-DC-CSK</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sz w:val="24"/>
          <w:szCs w:val="24"/>
        </w:rPr>
        <w:t xml:space="preserve">DIANA CANDELARIA, in her</w:t>
      </w:r>
      <w:r>
        <w:rPr>
          <w:rFonts w:ascii="Times New Roman" w:cs="Times New Roman" w:eastAsia="Times New Roman" w:hAnsi="Times New Roman"/>
          <w:b/>
          <w:bCs/>
          <w:sz w:val="24"/>
          <w:szCs w:val="24"/>
        </w:rPr>
        <w:t xml:space="preserve">                                        FIRST AMENDED COMPLAINT</w:t>
      </w:r>
    </w:p>
    <w:p>
      <w:pPr>
        <w:spacing w:after="0" w:before="0" w:line="240"/>
        <w:jc w:val="left"/>
      </w:pPr>
      <w:r>
        <w:rPr>
          <w:rFonts w:ascii="Times New Roman" w:cs="Times New Roman" w:eastAsia="Times New Roman" w:hAnsi="Times New Roman"/>
          <w:sz w:val="24"/>
          <w:szCs w:val="24"/>
        </w:rPr>
        <w:t xml:space="preserve">individual capacity,</w:t>
      </w:r>
      <w:r>
        <w:rPr>
          <w:rFonts w:ascii="Times New Roman" w:cs="Times New Roman" w:eastAsia="Times New Roman" w:hAnsi="Times New Roman"/>
          <w:b/>
          <w:bCs/>
          <w:sz w:val="24"/>
          <w:szCs w:val="24"/>
        </w:rPr>
        <w:t xml:space="preserve">                                                        FOR DAMAGES AND</w:t>
      </w:r>
    </w:p>
    <w:p>
      <w:pPr>
        <w:spacing w:after="0" w:before="0" w:line="240"/>
        <w:jc w:val="left"/>
      </w:pPr>
      <w:r>
        <w:rPr>
          <w:rFonts w:ascii="Times New Roman" w:cs="Times New Roman" w:eastAsia="Times New Roman" w:hAnsi="Times New Roman"/>
          <w:sz w:val="24"/>
          <w:szCs w:val="24"/>
        </w:rPr>
        <w:t xml:space="preserve">          and</w:t>
      </w:r>
      <w:r>
        <w:rPr>
          <w:rFonts w:ascii="Times New Roman" w:cs="Times New Roman" w:eastAsia="Times New Roman" w:hAnsi="Times New Roman"/>
          <w:b/>
          <w:bCs/>
          <w:sz w:val="24"/>
          <w:szCs w:val="24"/>
        </w:rPr>
        <w:t xml:space="preserve">                                                                         PROSPECTIVE RELIEF</w:t>
      </w:r>
    </w:p>
    <w:p>
      <w:pPr>
        <w:spacing w:after="0" w:before="0" w:line="240"/>
        <w:jc w:val="left"/>
      </w:pPr>
      <w:r>
        <w:rPr>
          <w:rFonts w:ascii="Times New Roman" w:cs="Times New Roman" w:eastAsia="Times New Roman" w:hAnsi="Times New Roman"/>
          <w:sz w:val="24"/>
          <w:szCs w:val="24"/>
        </w:rPr>
        <w:t xml:space="preserve">STEVE GORDON, Director of the</w:t>
      </w:r>
      <w:r>
        <w:rPr>
          <w:rFonts w:ascii="Times New Roman" w:cs="Times New Roman" w:eastAsia="Times New Roman" w:hAnsi="Times New Roman"/>
          <w:b/>
          <w:bCs/>
          <w:sz w:val="24"/>
          <w:szCs w:val="24"/>
        </w:rPr>
        <w:t xml:space="preserve">                                  UNDER 42 U.S.C. § 1983</w:t>
      </w:r>
    </w:p>
    <w:p>
      <w:pPr>
        <w:spacing w:after="0" w:before="0" w:line="240"/>
        <w:jc w:val="left"/>
      </w:pPr>
      <w:r>
        <w:rPr>
          <w:rFonts w:ascii="Times New Roman" w:cs="Times New Roman" w:eastAsia="Times New Roman" w:hAnsi="Times New Roman"/>
          <w:sz w:val="24"/>
          <w:szCs w:val="24"/>
        </w:rPr>
        <w:t xml:space="preserve">California Department of Motor Vehicles,</w:t>
      </w:r>
    </w:p>
    <w:p>
      <w:pPr>
        <w:spacing w:after="0" w:before="0" w:line="240"/>
        <w:jc w:val="left"/>
      </w:pPr>
      <w:r>
        <w:rPr>
          <w:rFonts w:ascii="Times New Roman" w:cs="Times New Roman" w:eastAsia="Times New Roman" w:hAnsi="Times New Roman"/>
          <w:sz w:val="24"/>
          <w:szCs w:val="24"/>
        </w:rPr>
        <w:t xml:space="preserve">in his official capacity,</w:t>
      </w:r>
      <w:r>
        <w:rPr>
          <w:rFonts w:ascii="Times New Roman" w:cs="Times New Roman" w:eastAsia="Times New Roman" w:hAnsi="Times New Roman"/>
          <w:sz w:val="24"/>
          <w:szCs w:val="24"/>
        </w:rPr>
        <w:t xml:space="preserve">                                                  (Fourteenth Amendment —</w:t>
      </w:r>
    </w:p>
    <w:p>
      <w:pPr>
        <w:spacing w:after="0" w:before="0" w:line="240"/>
        <w:jc w:val="left"/>
      </w:pPr>
      <w:r>
        <w:rPr>
          <w:rFonts w:ascii="Times New Roman" w:cs="Times New Roman" w:eastAsia="Times New Roman" w:hAnsi="Times New Roman"/>
          <w:sz w:val="24"/>
          <w:szCs w:val="24"/>
        </w:rPr>
        <w:t xml:space="preserve">                                                                                       Procedural Due Process;</w:t>
      </w:r>
    </w:p>
    <w:p>
      <w:pPr>
        <w:spacing w:after="0" w:before="0" w:line="240"/>
        <w:jc w:val="left"/>
      </w:pPr>
      <w:r>
        <w:rPr>
          <w:rFonts w:ascii="Times New Roman" w:cs="Times New Roman" w:eastAsia="Times New Roman" w:hAnsi="Times New Roman"/>
          <w:sz w:val="24"/>
          <w:szCs w:val="24"/>
        </w:rPr>
        <w:t xml:space="preserve">          Defendants.</w:t>
      </w:r>
      <w:r>
        <w:rPr>
          <w:rFonts w:ascii="Times New Roman" w:cs="Times New Roman" w:eastAsia="Times New Roman" w:hAnsi="Times New Roman"/>
          <w:sz w:val="24"/>
          <w:szCs w:val="24"/>
        </w:rPr>
        <w:t xml:space="preserve">                                                            Structural Bias; Violation of</w:t>
      </w:r>
    </w:p>
    <w:p>
      <w:pPr>
        <w:spacing w:after="0" w:before="0" w:line="240"/>
        <w:jc w:val="left"/>
      </w:pPr>
      <w:r>
        <w:rPr>
          <w:rFonts w:ascii="Times New Roman" w:cs="Times New Roman" w:eastAsia="Times New Roman" w:hAnsi="Times New Roman"/>
          <w:sz w:val="24"/>
          <w:szCs w:val="24"/>
        </w:rPr>
        <w:t xml:space="preserve">                                                                                       Clearly Established Law)</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200" w:before="0" w:line="240"/>
        <w:jc w:val="left"/>
      </w:pPr>
      <w:r>
        <w:rPr>
          <w:rFonts w:ascii="Times New Roman" w:cs="Times New Roman" w:eastAsia="Times New Roman" w:hAnsi="Times New Roman"/>
          <w:b/>
          <w:bCs/>
          <w:sz w:val="24"/>
          <w:szCs w:val="24"/>
        </w:rPr>
        <w:t xml:space="preserve">                                                                                       JURY TRIAL DEMANDED</w:t>
      </w:r>
    </w:p>
    <w:p>
      <w:pPr>
        <w:spacing w:after="200" w:before="0" w:line="240"/>
        <w:jc w:val="center"/>
      </w:pPr>
      <w:r>
        <w:rPr>
          <w:rFonts w:ascii="Times New Roman" w:cs="Times New Roman" w:eastAsia="Times New Roman" w:hAnsi="Times New Roman"/>
          <w:b w:val="false"/>
          <w:bCs w:val="false"/>
          <w:i w:val="false"/>
          <w:iCs w:val="false"/>
          <w:caps w:val="false"/>
          <w:sz w:val="24"/>
          <w:szCs w:val="24"/>
        </w:rPr>
        <w:t xml:space="preserve">_____________________________________________________________</w:t>
      </w:r>
    </w:p>
    <w:p>
      <w:pPr>
        <w:spacing w:after="200" w:before="200" w:line="480"/>
        <w:jc w:val="center"/>
      </w:pPr>
      <w:r>
        <w:rPr>
          <w:rFonts w:ascii="Times New Roman" w:cs="Times New Roman" w:eastAsia="Times New Roman" w:hAnsi="Times New Roman"/>
          <w:b/>
          <w:bCs/>
          <w:caps w:val="false"/>
          <w:sz w:val="24"/>
          <w:szCs w:val="24"/>
        </w:rPr>
        <w:t xml:space="preserve">INTRODUCTION</w:t>
      </w:r>
    </w:p>
    <w:p>
      <w:pPr>
        <w:spacing w:after="200" w:line="480"/>
        <w:ind w:firstLine="72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This is a civil rights action under 42 U.S.C. § 1983 arising from an unconstitutional administrative proceeding that destroyed Plaintiff’s livelihood. Plaintiff Brendan Ngehsi Newanforbi (“Plaintiff”) brings this First Amended Complaint against two defendants: (1) Diana Candelaria (“Candelaria”), a Driver Safety Hearing Officer employed by the California Department of Motor Vehicles (“DMV”), sued in her individual capacity for compensatory and punitive damages; and (2) Steve Gordon (“Director Gordon”), Director of the California Department of Motor Vehicles, sued in his official capacity for declaratory and injunctive relief pursuant to the Ex parte Young doctrine, 209 U.S. 123 (1908).</w:t>
      </w:r>
    </w:p>
    <w:p>
      <w:pPr>
        <w:spacing w:after="200" w:line="480"/>
        <w:ind w:firstLine="72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administrative record in this case strips the controversy of any ambiguity and reduces it to a single, inescapable conclusion: the State of California, acting through Defendant Candelaria, destroyed a man’s livelihood based on an arrest that the arresting agency itself formally repudiated, through a hearing that ignored binding precedent and objective evidence, and before a decisionmaker who functioned as a prosecutor rather than a judge.</w:t>
      </w:r>
    </w:p>
    <w:p>
      <w:pPr>
        <w:spacing w:after="200" w:line="480"/>
        <w:ind w:firstLine="72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undisputed chronology is as follows: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On November 1, 2024, Plaintiff was lawfully parked on an unpaved dirt shoulder, asleep in a stationary vehicle. He had made the responsible decision to rest rather than drive while fatigued—exactly what his commercial driver training instructed. California Highway Patrol (“CHP”) officers approached under the guise of a “welfare check,” but within fourteen seconds of arrival—before conducting any welfare assessment—one officer declared “I think it’s booze,” revealing an immediate criminal investigative motive. The officers then conducted a warrantless entry and search of Plaintiff’s vehicle while he remained asleep, and arrested him for DUI despite never observing him drive.</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On November 5, 2024—eleven weeks before the DMV hearing—the arresting agency itself issued a formal Detention Certificate under California Penal Code § 849(b)(1), certifying that there were “insufficient grounds” for prosecution and that, by operation of state law, the encounter “shall not be deemed an arrest, but a detention only.” No criminal charges were ever filed.</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On January 24, 2025, Defendant Candelaria presided over Plaintiff’s Administrative Per Se (“APS”) hearing. Plaintiff presented the Detention Certificate, the CHP dashcam video transcript, and binding California Supreme Court precedent (Mercer v. DMV) establishing that the warrantless arrest was unlawful. Candelaria dismissed every defense as “unpersuasive” without reasoned analysis, failed entirely to address the Detention Certificate—the single most dispositive piece of evidence in the proceeding—applied an irrebuttable presumption of official regularity to override objective contrary evidence, and issued a decision that reads as a defense of the officers’ actions rather than a neutral evaluation of the facts.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On February 11, 2025, Candelaria issued a written Notification of Findings and Decision sustaining a one-year suspension of Plaintiff’s driving privileges, effectively disqualifying his Class A Commercial Driver’s License (“CDL”) from February 20, 2025 through February 19, 2026, and imposing a $125.00 reissue fee and a three-year SR-22 proof of financial responsibility requirement.</w:t>
      </w:r>
    </w:p>
    <w:p>
      <w:pPr>
        <w:spacing w:after="200" w:line="480"/>
        <w:ind w:firstLine="72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APS implied consent framework under California Vehicle Code §§ 13353 and 13353.2 requires as a jurisdictional predicate that the driver was “lawfully arrested.” When the arresting agency itself has formally certified that the arrest lacked sufficient grounds and is legally reclassified as a detention only, the “lawful arrest” predicate ceases to exist as a matter of law. Defendant Candelaria proceeded anyway—exercising adjudicative power over a subject matter that, by the State’s own formal admission, did not exist.</w:t>
      </w:r>
    </w:p>
    <w:p>
      <w:pPr>
        <w:spacing w:after="200" w:line="480"/>
        <w:ind w:firstLine="72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Compounding this jurisdictional nullity, Defendant Candelaria operated within a structurally biased framework squarely condemned by the California Court of Appeal in </w:t>
      </w:r>
      <w:r>
        <w:rPr>
          <w:rFonts w:ascii="Times New Roman" w:cs="Times New Roman" w:eastAsia="Times New Roman" w:hAnsi="Times New Roman"/>
          <w:i/>
          <w:iCs/>
          <w:sz w:val="24"/>
          <w:szCs w:val="24"/>
        </w:rPr>
        <w:t xml:space="preserve">California DUI Lawyers Ass’n v. DMV</w:t>
      </w:r>
      <w:r>
        <w:rPr>
          <w:rFonts w:ascii="Times New Roman" w:cs="Times New Roman" w:eastAsia="Times New Roman" w:hAnsi="Times New Roman"/>
          <w:sz w:val="24"/>
          <w:szCs w:val="24"/>
        </w:rPr>
        <w:t xml:space="preserve"> (2022) 77 Cal.App.5th 517 and </w:t>
      </w:r>
      <w:r>
        <w:rPr>
          <w:rFonts w:ascii="Times New Roman" w:cs="Times New Roman" w:eastAsia="Times New Roman" w:hAnsi="Times New Roman"/>
          <w:i/>
          <w:iCs/>
          <w:sz w:val="24"/>
          <w:szCs w:val="24"/>
        </w:rPr>
        <w:t xml:space="preserve">Knudsen v. DMV</w:t>
      </w:r>
      <w:r>
        <w:rPr>
          <w:rFonts w:ascii="Times New Roman" w:cs="Times New Roman" w:eastAsia="Times New Roman" w:hAnsi="Times New Roman"/>
          <w:sz w:val="24"/>
          <w:szCs w:val="24"/>
        </w:rPr>
        <w:t xml:space="preserve"> (2024) 101 Cal.App.5th 186—serving simultaneously as the prosecuting advocate for the DMV and the ostensible adjudicator of fact. Her decision reflects not neutral judgment but advocacy for a predetermined outcome.</w:t>
      </w:r>
    </w:p>
    <w:p>
      <w:pPr>
        <w:spacing w:after="200" w:line="480"/>
        <w:ind w:firstLine="72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This deprivation is not merely historical. Plaintiff’s CDL remains suspended. Each day the suspension continues, Plaintiff is barred from his profession, denied his primary source of income, and subjected to an ongoing constitutional violation. This continuing deprivation entitles Plaintiff to prospective injunctive and declaratory relief against Director Gordon under the Ex parte Young doctrine.</w:t>
      </w:r>
    </w:p>
    <w:p>
      <w:pPr>
        <w:spacing w:after="200" w:line="480"/>
        <w:ind w:firstLine="72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systemic implications of this case extend far beyond Plaintiff’s individual suspension. The structural defects at issue—the dual advocate-adjudicator framework and the DMV’s practice of sustaining license suspensions based on arrests that have been formally nullified by the arresting agency’s own Detention Certificates—are not unique to this case. They are features of a statewide administrative system operating under Director Gordon’s supervision. A federal ruling that the DMV cannot suspend a driver’s license when the arrest predicate has been statutorily erased could affect every APS case involving a Penal Code § 849(b)(1) release.</w:t>
      </w:r>
    </w:p>
    <w:p>
      <w:pPr>
        <w:spacing w:after="200" w:before="200" w:line="480"/>
        <w:jc w:val="center"/>
      </w:pPr>
      <w:r>
        <w:rPr>
          <w:rFonts w:ascii="Times New Roman" w:cs="Times New Roman" w:eastAsia="Times New Roman" w:hAnsi="Times New Roman"/>
          <w:b/>
          <w:bCs/>
          <w:caps w:val="false"/>
          <w:sz w:val="24"/>
          <w:szCs w:val="24"/>
        </w:rPr>
        <w:t xml:space="preserve">JURISDICTION AND VENUE</w:t>
      </w:r>
    </w:p>
    <w:p>
      <w:pPr>
        <w:spacing w:after="200" w:line="480"/>
        <w:ind w:firstLine="72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This Court has original subject-matter jurisdiction pursuant to 28 U.S.C. § 1331 (federal question) and 28 U.S.C. § 1343(a)(3) and (4) (civil rights) because this action arises under the Fourteenth Amendment to the United States Constitution and 42 U.S.C. § 1983.</w:t>
      </w:r>
    </w:p>
    <w:p>
      <w:pPr>
        <w:spacing w:after="200" w:line="480"/>
        <w:ind w:firstLine="72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Venue is proper in this District under 28 U.S.C. § 1391(b)(1) and (2) because Defendant Candelaria is employed by the DMV within this District, Defendant Gordon maintains his principal office in Sacramento within this District, and a substantial part of the events giving rise to this action occurred within the Eastern District of California.</w:t>
      </w:r>
    </w:p>
    <w:p>
      <w:pPr>
        <w:spacing w:after="200" w:line="480"/>
        <w:ind w:firstLine="72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Plaintiff’s claim for declaratory and injunctive relief against Defendant Gordon in his official capacity is authorized by the Ex parte Young doctrine, </w:t>
      </w:r>
      <w:r>
        <w:rPr>
          <w:rFonts w:ascii="Times New Roman" w:cs="Times New Roman" w:eastAsia="Times New Roman" w:hAnsi="Times New Roman"/>
          <w:i/>
          <w:iCs/>
          <w:sz w:val="24"/>
          <w:szCs w:val="24"/>
        </w:rPr>
        <w:t xml:space="preserve">Ex parte Young</w:t>
      </w:r>
      <w:r>
        <w:rPr>
          <w:rFonts w:ascii="Times New Roman" w:cs="Times New Roman" w:eastAsia="Times New Roman" w:hAnsi="Times New Roman"/>
          <w:sz w:val="24"/>
          <w:szCs w:val="24"/>
        </w:rPr>
        <w:t xml:space="preserve">, 209 U.S. 123 (1908), which permits suit against a state official in official capacity for prospective relief to halt ongoing violations of federal law. The Eleventh Amendment does not bar this claim.</w:t>
      </w:r>
    </w:p>
    <w:p>
      <w:pPr>
        <w:spacing w:after="200" w:before="200" w:line="480"/>
        <w:jc w:val="center"/>
      </w:pPr>
      <w:r>
        <w:rPr>
          <w:rFonts w:ascii="Times New Roman" w:cs="Times New Roman" w:eastAsia="Times New Roman" w:hAnsi="Times New Roman"/>
          <w:b/>
          <w:bCs/>
          <w:caps w:val="false"/>
          <w:sz w:val="24"/>
          <w:szCs w:val="24"/>
        </w:rPr>
        <w:t xml:space="preserve">PARTIES</w:t>
      </w:r>
    </w:p>
    <w:p>
      <w:pPr>
        <w:spacing w:after="200" w:line="480"/>
        <w:ind w:firstLine="72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Plaintiff BRENDAN NGEHSI NEWANFORBI is an individual residing in Stockton, San Joaquin County, California. At all relevant times, Plaintiff held a valid California Class A CDL and was employed as a professional commercial truck driver by Centerline Drivers, LLC, assigned to the Lily Transportation—Toyota Dedicated route in San Ramon, California, earning a regular hourly rate of $33.35 and premium rate of $50.03, with a start date of October 30, 2024—just two days before the encounter that gave rise to this action.</w:t>
      </w:r>
    </w:p>
    <w:p>
      <w:pPr>
        <w:spacing w:after="200" w:line="480"/>
        <w:ind w:firstLine="72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b/>
          <w:bCs/>
          <w:sz w:val="24"/>
          <w:szCs w:val="24"/>
        </w:rPr>
        <w:t xml:space="preserve">Defendant DIANA CANDELARIA</w:t>
      </w:r>
      <w:r>
        <w:rPr>
          <w:rFonts w:ascii="Times New Roman" w:cs="Times New Roman" w:eastAsia="Times New Roman" w:hAnsi="Times New Roman"/>
          <w:sz w:val="24"/>
          <w:szCs w:val="24"/>
        </w:rPr>
        <w:t xml:space="preserve"> is, and at all relevant times was, employed by the California Department of Motor Vehicles as a Driver Safety Hearing Officer within the Legal Affairs Division, Driver Safety Branch. Candelaria presided over Plaintiff’s APS hearing held remotely via Microsoft Teams on January 24, 2025, and issued a written Notification of Findings and Decision dated February 11, 2025, in APS Case No. 34739340. Candelaria is sued exclusively in her individual capacity for compensatory and punitive damages.</w:t>
      </w:r>
    </w:p>
    <w:p>
      <w:pPr>
        <w:spacing w:after="200" w:line="480"/>
        <w:ind w:firstLine="72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At all times relevant hereto, Defendant Candelaria acted under color of the statutes, regulations, customs, and usages of the State of California, and within the course and scope of her employment with the DMV, clothed with the authority of state law.</w:t>
      </w:r>
    </w:p>
    <w:p>
      <w:pPr>
        <w:spacing w:after="200" w:line="480"/>
        <w:ind w:firstLine="72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b/>
          <w:bCs/>
          <w:sz w:val="24"/>
          <w:szCs w:val="24"/>
        </w:rPr>
        <w:t xml:space="preserve">Defendant STEVE GORDON</w:t>
      </w:r>
      <w:r>
        <w:rPr>
          <w:rFonts w:ascii="Times New Roman" w:cs="Times New Roman" w:eastAsia="Times New Roman" w:hAnsi="Times New Roman"/>
          <w:sz w:val="24"/>
          <w:szCs w:val="24"/>
        </w:rPr>
        <w:t xml:space="preserve"> is the Director of the California Department of Motor Vehicles. Director Gordon is responsible for the administration and enforcement of the DMV’s statewide policies, procedures, and operations, including the APS hearing framework under which Plaintiff’s license was suspended. Director Gordon is sued exclusively in his official capacity for prospective declaratory and injunctive relief pursuant to the Ex parte Young doctrine. No monetary damages are sought against Director Gordon.</w:t>
      </w:r>
    </w:p>
    <w:p>
      <w:pPr>
        <w:spacing w:after="200" w:before="200" w:line="480"/>
        <w:jc w:val="center"/>
      </w:pPr>
      <w:r>
        <w:rPr>
          <w:rFonts w:ascii="Times New Roman" w:cs="Times New Roman" w:eastAsia="Times New Roman" w:hAnsi="Times New Roman"/>
          <w:b/>
          <w:bCs/>
          <w:caps w:val="false"/>
          <w:sz w:val="24"/>
          <w:szCs w:val="24"/>
        </w:rPr>
        <w:t xml:space="preserve">STATEMENT OF FACTS</w:t>
      </w:r>
    </w:p>
    <w:p>
      <w:pPr>
        <w:spacing w:after="200" w:before="400" w:line="480"/>
        <w:jc w:val="left"/>
      </w:pPr>
      <w:r>
        <w:rPr>
          <w:rFonts w:ascii="Times New Roman" w:cs="Times New Roman" w:eastAsia="Times New Roman" w:hAnsi="Times New Roman"/>
          <w:b/>
          <w:bCs/>
          <w:sz w:val="24"/>
          <w:szCs w:val="24"/>
        </w:rPr>
        <w:t xml:space="preserve">A. Plaintiff’s Protected Property Interest</w:t>
      </w:r>
    </w:p>
    <w:p>
      <w:pPr>
        <w:spacing w:after="200" w:line="480"/>
        <w:ind w:firstLine="72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At all relevant times, Plaintiff held a valid California Class A CDL, which constituted a protected property interest under the Due Process Clause of the Fourteenth Amendment. </w:t>
      </w:r>
      <w:r>
        <w:rPr>
          <w:rFonts w:ascii="Times New Roman" w:cs="Times New Roman" w:eastAsia="Times New Roman" w:hAnsi="Times New Roman"/>
          <w:i/>
          <w:iCs/>
          <w:sz w:val="24"/>
          <w:szCs w:val="24"/>
        </w:rPr>
        <w:t xml:space="preserve">Bell v. Burson</w:t>
      </w:r>
      <w:r>
        <w:rPr>
          <w:rFonts w:ascii="Times New Roman" w:cs="Times New Roman" w:eastAsia="Times New Roman" w:hAnsi="Times New Roman"/>
          <w:sz w:val="24"/>
          <w:szCs w:val="24"/>
        </w:rPr>
        <w:t xml:space="preserve">, 402 U.S. 535, 539 (1971) (“[L]icenses are not to be taken away without that procedural due process required by the Fourteenth Amendment.”); </w:t>
      </w:r>
      <w:r>
        <w:rPr>
          <w:rFonts w:ascii="Times New Roman" w:cs="Times New Roman" w:eastAsia="Times New Roman" w:hAnsi="Times New Roman"/>
          <w:i/>
          <w:iCs/>
          <w:sz w:val="24"/>
          <w:szCs w:val="24"/>
        </w:rPr>
        <w:t xml:space="preserve">Mackey v. Montrym</w:t>
      </w:r>
      <w:r>
        <w:rPr>
          <w:rFonts w:ascii="Times New Roman" w:cs="Times New Roman" w:eastAsia="Times New Roman" w:hAnsi="Times New Roman"/>
          <w:sz w:val="24"/>
          <w:szCs w:val="24"/>
        </w:rPr>
        <w:t xml:space="preserve">, 443 U.S. 1, 10–11 (1979).</w:t>
      </w:r>
    </w:p>
    <w:p>
      <w:pPr>
        <w:spacing w:after="200" w:line="480"/>
        <w:ind w:firstLine="72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Plaintiff’s CDL was not merely a personal convenience; it was the indispensable foundation of his professional livelihood. As a commercial truck driver, the CDL was a mandatory prerequisite for his employment. Its suspension immediately and completely extinguished his capacity to earn a living in his chosen profession.</w:t>
      </w:r>
    </w:p>
    <w:p>
      <w:pPr>
        <w:spacing w:after="200" w:line="480"/>
        <w:ind w:firstLine="72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On October 30, 2024—just two days before the encounter that precipitated this action—Plaintiff commenced active employment with Centerline Drivers, LLC, assigned to the Lily Transportation—Toyota Dedicated route in San Ramon, California, at a regular hourly rate of $33.35 and a premium rate of $50.03. The Centerline Wage Notice, attached hereto as Exhibit E, documents these terms. The suspension destroyed this career opportunity before Plaintiff could complete his first week of employment.</w:t>
      </w:r>
    </w:p>
    <w:p>
      <w:pPr>
        <w:spacing w:after="200" w:before="400" w:line="480"/>
        <w:jc w:val="left"/>
      </w:pPr>
      <w:r>
        <w:rPr>
          <w:rFonts w:ascii="Times New Roman" w:cs="Times New Roman" w:eastAsia="Times New Roman" w:hAnsi="Times New Roman"/>
          <w:b/>
          <w:bCs/>
          <w:sz w:val="24"/>
          <w:szCs w:val="24"/>
        </w:rPr>
        <w:t xml:space="preserve">B. The November 1, 2024 Encounter and Unconstitutional Arrest</w:t>
      </w:r>
    </w:p>
    <w:p>
      <w:pPr>
        <w:spacing w:after="200" w:line="480"/>
        <w:ind w:firstLine="72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On November 1, 2024, at approximately 12:43 a.m., Plaintiff was lawfully parked on an unpaved dirt shoulder alongside Dublin Boulevard near Fallon Road in Dublin, California. Plaintiff was asleep in his parked, stationary vehicle. He had made the responsible and professional decision to pull over and rest rather than continue driving while fatigued.</w:t>
      </w:r>
    </w:p>
    <w:p>
      <w:pPr>
        <w:spacing w:after="200" w:line="480"/>
        <w:ind w:firstLine="72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CHP Officers Santiago Meza-Gonzalez and Christopher Melano approached Plaintiff’s vehicle, purportedly to conduct a “welfare check.” However, as documented in the CHP dashcam video transcript (Exhibit B), the officers’ conduct immediately revealed a criminal investigative purpose rather than a welfare concern.</w:t>
      </w:r>
    </w:p>
    <w:p>
      <w:pPr>
        <w:spacing w:after="200" w:line="480"/>
        <w:ind w:firstLine="72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At timestamp 00:43:28—within fourteen seconds of initial approach and before any welfare assessment was conducted—Officer Melano stated to Officer Meza-Gonzalez: “I think it’s booze.” This declaration, made before any interaction with Plaintiff and while Plaintiff remained asleep, demonstrates that the officers had adopted a criminal investigative hypothesis before conducting any welfare evaluation.</w:t>
      </w:r>
    </w:p>
    <w:p>
      <w:pPr>
        <w:spacing w:after="200" w:line="480"/>
        <w:ind w:firstLine="72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The officers then conducted a warrantless entry into and search of Plaintiff’s vehicle while he remained asleep inside. The dashcam transcript reveals an approximately eleven-minute gap (from 00:46:03 to 00:57:08) during which the officers searched the vehicle without Plaintiff’s knowledge or consent. When Plaintiff was finally awakened and the encounter moved to an on-camera investigative phase, the officers subjected him to a battery of field sobriety tests despite never having observed him operate or exercise volitional movement of the vehicle.</w:t>
      </w:r>
    </w:p>
    <w:p>
      <w:pPr>
        <w:spacing w:after="200" w:line="480"/>
        <w:ind w:firstLine="72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The dashcam transcript further reveals an objective, audio-recorded contradiction of the officers’ sworn DS-367 statement. The officers initially claimed to have detected an odor of alcohol. However, as captured on audio, the officers discovered on scene that the open container they observed in the vehicle contained urine, not alcohol. Despite this on-scene discovery—which objectively contradicted the stated basis for the investigation—the officers proceeded to arrest Plaintiff for DUI.</w:t>
      </w:r>
    </w:p>
    <w:p>
      <w:pPr>
        <w:spacing w:after="200" w:line="480"/>
        <w:ind w:firstLine="72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The arrest explicitly violated the volitional movement requirement established by the California Supreme Court in </w:t>
      </w:r>
      <w:r>
        <w:rPr>
          <w:rFonts w:ascii="Times New Roman" w:cs="Times New Roman" w:eastAsia="Times New Roman" w:hAnsi="Times New Roman"/>
          <w:i/>
          <w:iCs/>
          <w:sz w:val="24"/>
          <w:szCs w:val="24"/>
        </w:rPr>
        <w:t xml:space="preserve">Mercer v. Department of Motor Vehicles</w:t>
      </w:r>
      <w:r>
        <w:rPr>
          <w:rFonts w:ascii="Times New Roman" w:cs="Times New Roman" w:eastAsia="Times New Roman" w:hAnsi="Times New Roman"/>
          <w:sz w:val="24"/>
          <w:szCs w:val="24"/>
        </w:rPr>
        <w:t xml:space="preserve">, 53 Cal.3d 916 (1991). Under </w:t>
      </w:r>
      <w:r>
        <w:rPr>
          <w:rFonts w:ascii="Times New Roman" w:cs="Times New Roman" w:eastAsia="Times New Roman" w:hAnsi="Times New Roman"/>
          <w:i/>
          <w:iCs/>
          <w:sz w:val="24"/>
          <w:szCs w:val="24"/>
        </w:rPr>
        <w:t xml:space="preserve">Mercer</w:t>
      </w:r>
      <w:r>
        <w:rPr>
          <w:rFonts w:ascii="Times New Roman" w:cs="Times New Roman" w:eastAsia="Times New Roman" w:hAnsi="Times New Roman"/>
          <w:sz w:val="24"/>
          <w:szCs w:val="24"/>
        </w:rPr>
        <w:t xml:space="preserve">, a warrantless misdemeanor DUI arrest requires the officer to have observed volitional movement of the vehicle. Because Plaintiff’s vehicle was stationary, parked, and off the roadway on an unpaved dirt shoulder, and because Plaintiff was asleep at the time of contact, no volitional movement was observed or could have been observed. The CVC § 40300.5 “obstruction of a roadway” exception was entirely inapplicable.</w:t>
      </w:r>
    </w:p>
    <w:p>
      <w:pPr>
        <w:spacing w:after="200" w:before="400" w:line="480"/>
        <w:jc w:val="left"/>
      </w:pPr>
      <w:r>
        <w:rPr>
          <w:rFonts w:ascii="Times New Roman" w:cs="Times New Roman" w:eastAsia="Times New Roman" w:hAnsi="Times New Roman"/>
          <w:b/>
          <w:bCs/>
          <w:sz w:val="24"/>
          <w:szCs w:val="24"/>
        </w:rPr>
        <w:t xml:space="preserve">C. The Formal Nullification of the Arrest</w:t>
      </w:r>
    </w:p>
    <w:p>
      <w:pPr>
        <w:spacing w:after="200" w:line="480"/>
        <w:ind w:firstLine="72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On November 5, 2024—four days after the encounter and eleven weeks before the DMV hearing—the CHP Dublin Area Office issued a formal Detention Certificate under California Penal Code § 849(b)(1) in CHP Case No. RJ68845. The Certificate is attached hereto as Exhibit A.</w:t>
      </w:r>
    </w:p>
    <w:p>
      <w:pPr>
        <w:spacing w:after="200" w:line="480"/>
        <w:ind w:firstLine="72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Detention Certificate formally certifies that there were “insufficient grounds” for a criminal complaint. By statutory mandate of Penal Code § 849(c), once such a certificate issues, the encounter “shall not be deemed an arrest, but a detention only.”</w:t>
      </w:r>
    </w:p>
    <w:p>
      <w:pPr>
        <w:spacing w:after="200" w:line="480"/>
        <w:ind w:firstLine="72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This statutory language is mandatory, not discretionary. The Legislature’s use of “shall” leaves no room for the DMV to treat the encounter as an arrest for any purpose. The certificate did not merely decline to prosecute—it retroactively reclassified the legal character of the encounter as a matter of state law.</w:t>
      </w:r>
    </w:p>
    <w:p>
      <w:pPr>
        <w:spacing w:after="200" w:line="480"/>
        <w:ind w:firstLine="72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No criminal charges were ever filed against Plaintiff in connection with the November 1, 2024 encounter. The APS framework requires a lawful arrest as a jurisdictional predicate. That predicate no longer existed.</w:t>
      </w:r>
    </w:p>
    <w:p>
      <w:pPr>
        <w:spacing w:after="200" w:before="400" w:line="480"/>
        <w:jc w:val="left"/>
      </w:pPr>
      <w:r>
        <w:rPr>
          <w:rFonts w:ascii="Times New Roman" w:cs="Times New Roman" w:eastAsia="Times New Roman" w:hAnsi="Times New Roman"/>
          <w:b/>
          <w:bCs/>
          <w:sz w:val="24"/>
          <w:szCs w:val="24"/>
        </w:rPr>
        <w:t xml:space="preserve">D. The Structural Collision: APS Jurisdiction Requires an Arrest That No Longer Exists</w:t>
      </w:r>
    </w:p>
    <w:p>
      <w:pPr>
        <w:spacing w:after="200" w:line="480"/>
        <w:ind w:firstLine="72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The APS implied consent framework under California Vehicle Code §§ 13353 and 13353.2 authorizes the DMV to suspend a driver’s license for refusal of a chemical test only upon a threshold finding that the driver was “lawfully arrested.” This is a jurisdictional predicate—without it, the DMV lacks statutory authority to sustain the suspension.</w:t>
      </w:r>
    </w:p>
    <w:p>
      <w:pPr>
        <w:spacing w:after="200" w:line="480"/>
        <w:ind w:firstLine="720"/>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Three mandatory legal rules collide in this case to create an irreconcilable structural contradiction:</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First, APS suspension requires a lawful arrest. California Vehicle Code §§ 13353/13353.2 explicitly condition the DMV’s authority to suspend on a finding that the driver was “lawfully arrested.”</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Second, the CHP’s Detention Certificate legally erased the arrest. Under Penal Code § 849(c), once the certificate issued, the arrest “shall not be deemed an arrest, but a detention only.” This is a mandatory statutory reclassification, not a discretionary determination.</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Third, the DMV imposed a suspension anyway. Despite the State’s own formal admission that the arrest predicate did not exist, Defendant Candelaria sustained the suspension as though the arrest remained legally operative.</w:t>
      </w:r>
    </w:p>
    <w:p>
      <w:pPr>
        <w:spacing w:after="200" w:line="480"/>
        <w:ind w:firstLine="720"/>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This structural collision is not merely an error in fact-finding. It raises a fundamental question of federal constitutional law: </w:t>
      </w:r>
      <w:r>
        <w:rPr>
          <w:rFonts w:ascii="Times New Roman" w:cs="Times New Roman" w:eastAsia="Times New Roman" w:hAnsi="Times New Roman"/>
          <w:i/>
          <w:iCs/>
          <w:sz w:val="24"/>
          <w:szCs w:val="24"/>
        </w:rPr>
        <w:t xml:space="preserve">Can the DMV sustain a license suspension based on an arrest that the arresting agency has already formally nullified under state law?</w:t>
      </w:r>
      <w:r>
        <w:rPr>
          <w:rFonts w:ascii="Times New Roman" w:cs="Times New Roman" w:eastAsia="Times New Roman" w:hAnsi="Times New Roman"/>
          <w:sz w:val="24"/>
          <w:szCs w:val="24"/>
        </w:rPr>
        <w:t xml:space="preserve"> If the answer is no, the constitutional deficiency is systemic—affecting every APS case in which the arresting agency has issued a Penal Code § 849(b)(1) Detention Certificate.</w:t>
      </w:r>
    </w:p>
    <w:p>
      <w:pPr>
        <w:spacing w:after="200" w:before="400" w:line="480"/>
        <w:jc w:val="left"/>
      </w:pPr>
      <w:r>
        <w:rPr>
          <w:rFonts w:ascii="Times New Roman" w:cs="Times New Roman" w:eastAsia="Times New Roman" w:hAnsi="Times New Roman"/>
          <w:b/>
          <w:bCs/>
          <w:sz w:val="24"/>
          <w:szCs w:val="24"/>
        </w:rPr>
        <w:t xml:space="preserve">E. The Unconstitutional APS Hearing</w:t>
      </w:r>
    </w:p>
    <w:p>
      <w:pPr>
        <w:spacing w:after="200" w:line="480"/>
        <w:ind w:firstLine="720"/>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On January 24, 2025, Defendant Candelaria presided over Plaintiff’s APS hearing, conducted remotely via Microsoft Teams. During the hearing, Candelaria operated under the structurally biased framework condemned by the California Court of Appeal, serving simultaneously as the prosecuting advocate for the DMV and the ostensible adjudicator of fact.</w:t>
      </w:r>
    </w:p>
    <w:p>
      <w:pPr>
        <w:spacing w:after="200" w:line="480"/>
        <w:ind w:firstLine="720"/>
        <w:jc w:val="left"/>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As the DMV’s advocate, Candelaria unilaterally introduced the DS-367 Officer’s Statement into evidence, established the State’s case, and defended the officer’s subjective articulation of probable cause against Plaintiff’s robust factual challenges. She then immediately shifted to her role as adjudicator to rule that her own advocacy was persuasive and that Plaintiff’s defense was “unpersuasive.”</w:t>
      </w:r>
    </w:p>
    <w:p>
      <w:pPr>
        <w:spacing w:after="200" w:line="480"/>
        <w:ind w:firstLine="720"/>
        <w:jc w:val="left"/>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Plaintiff presented the following evidence and arguments at the hearing, all of which Candelaria dismissed, ignored, or failed to address: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(a) The Detention Certificate under Penal Code § 849(b)(1)—a formal state instrument certifying the arrest lacked sufficient grounds—which Candelaria entirely failed to address or acknowledge in her written decision;</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(b) The CHP dashcam video transcript objectively contradicting the officer’s sworn DS-367 on material facts, including the officers’ on-scene discovery that the suspected open container held urine, not alcohol;</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(c) Binding California Supreme Court precedent (Mercer v. DMV) establishing that a warrantless misdemeanor DUI arrest of a person in a stationary, parked vehicle without observed volitional movement is unlawful;</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(d) The absence of any criminal charges arising from the encounter.</w:t>
      </w:r>
    </w:p>
    <w:p>
      <w:pPr>
        <w:spacing w:after="200" w:line="480"/>
        <w:ind w:firstLine="720"/>
        <w:jc w:val="left"/>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Candelaria’s February 11, 2025 Notification of Findings and Decision (Exhibit C) reveals deliberate indifference to the evidence and law presented. Candelaria characterized Plaintiff’s arguments as “unpersuasive” without providing any reasoned analysis explaining why the Detention Certificate, dashcam contradictions, or </w:t>
      </w:r>
      <w:r>
        <w:rPr>
          <w:rFonts w:ascii="Times New Roman" w:cs="Times New Roman" w:eastAsia="Times New Roman" w:hAnsi="Times New Roman"/>
          <w:i/>
          <w:iCs/>
          <w:sz w:val="24"/>
          <w:szCs w:val="24"/>
        </w:rPr>
        <w:t xml:space="preserve">Mercer</w:t>
      </w:r>
      <w:r>
        <w:rPr>
          <w:rFonts w:ascii="Times New Roman" w:cs="Times New Roman" w:eastAsia="Times New Roman" w:hAnsi="Times New Roman"/>
          <w:sz w:val="24"/>
          <w:szCs w:val="24"/>
        </w:rPr>
        <w:t xml:space="preserve"> precedent were unpersuasive. She applied an irrebuttable presumption of official regularity to the officer’s DS-367 sworn statement to override objective, audio-recorded contrary evidence.</w:t>
      </w:r>
    </w:p>
    <w:p>
      <w:pPr>
        <w:spacing w:after="200" w:line="480"/>
        <w:ind w:firstLine="720"/>
        <w:jc w:val="left"/>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Most critically, Candelaria explicitly endorsed the unconstitutional police conduct, ruling that the officer “would have been negligent in his job duties if he did not conduct an investigation.” This language is the language of advocacy—defending the officer’s actions—not the language of neutral adjudication.</w:t>
      </w:r>
    </w:p>
    <w:p>
      <w:pPr>
        <w:spacing w:after="200" w:line="480"/>
        <w:ind w:firstLine="720"/>
        <w:jc w:val="left"/>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Candelaria was presented with incontrovertible, objective proof that the officer’s sworn DS-367 statement contained materially false claims—specifically, the assertion of an alcohol odor that the dashcam reveals was contradicted by the on-scene discovery. Rather than evaluating this contradiction as a neutral adjudicator, Candelaria chose to ratify the false sworn statement as the basis for sustaining the suspension. This knowing endorsement of demonstrably false testimony is conduct that no reasonable hearing officer could have believed was lawful.</w:t>
      </w:r>
    </w:p>
    <w:p>
      <w:pPr>
        <w:spacing w:after="200" w:before="400" w:line="480"/>
        <w:jc w:val="left"/>
      </w:pPr>
      <w:r>
        <w:rPr>
          <w:rFonts w:ascii="Times New Roman" w:cs="Times New Roman" w:eastAsia="Times New Roman" w:hAnsi="Times New Roman"/>
          <w:b/>
          <w:bCs/>
          <w:sz w:val="24"/>
          <w:szCs w:val="24"/>
        </w:rPr>
        <w:t xml:space="preserve">F. The Statewide Structural Bias: Dual Advocate-Adjudicator Framework</w:t>
      </w:r>
    </w:p>
    <w:p>
      <w:pPr>
        <w:spacing w:after="200" w:line="480"/>
        <w:ind w:firstLine="720"/>
        <w:jc w:val="left"/>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The structural bias infecting Plaintiff’s hearing is not an isolated occurrence. It is a systemic, daily feature of the DMV’s statewide APS hearing framework, operating under Director Gordon’s supervision.</w:t>
      </w:r>
    </w:p>
    <w:p>
      <w:pPr>
        <w:spacing w:after="200" w:line="480"/>
        <w:ind w:firstLine="720"/>
        <w:jc w:val="left"/>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California DUI Lawyers Ass’n v. DMV</w:t>
      </w:r>
      <w:r>
        <w:rPr>
          <w:rFonts w:ascii="Times New Roman" w:cs="Times New Roman" w:eastAsia="Times New Roman" w:hAnsi="Times New Roman"/>
          <w:sz w:val="24"/>
          <w:szCs w:val="24"/>
        </w:rPr>
        <w:t xml:space="preserve"> (2022) 77 Cal.App.5th 517, the California Court of Appeal ruled that the DMV’s practice of requiring hearing officers to simultaneously serve as both the prosecuting advocate for the DMV and the trier of fact violates procedural due process. The court held that this dual role prevents the hearing officer from acting as an impartial magistrate, creating an intolerable structural bias.</w:t>
      </w:r>
    </w:p>
    <w:p>
      <w:pPr>
        <w:spacing w:after="200" w:line="480"/>
        <w:ind w:firstLine="720"/>
        <w:jc w:val="left"/>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Knudsen v. DMV</w:t>
      </w:r>
      <w:r>
        <w:rPr>
          <w:rFonts w:ascii="Times New Roman" w:cs="Times New Roman" w:eastAsia="Times New Roman" w:hAnsi="Times New Roman"/>
          <w:sz w:val="24"/>
          <w:szCs w:val="24"/>
        </w:rPr>
        <w:t xml:space="preserve"> (2024) 101 Cal.App.5th 186, the Court of Appeal reaffirmed this holding and identified the constitutionally impermissible merging of prosecutorial and adjudicative functions within a single decisionmaker.</w:t>
      </w:r>
    </w:p>
    <w:p>
      <w:pPr>
        <w:spacing w:after="200" w:line="480"/>
        <w:ind w:firstLine="720"/>
        <w:jc w:val="left"/>
      </w:pPr>
      <w:r>
        <w:rPr>
          <w:rFonts w:ascii="Times New Roman" w:cs="Times New Roman" w:eastAsia="Times New Roman" w:hAnsi="Times New Roman"/>
          <w:sz w:val="24"/>
          <w:szCs w:val="24"/>
        </w:rPr>
        <w:t xml:space="preserve">40. </w:t>
      </w:r>
      <w:r>
        <w:rPr>
          <w:rFonts w:ascii="Times New Roman" w:cs="Times New Roman" w:eastAsia="Times New Roman" w:hAnsi="Times New Roman"/>
          <w:sz w:val="24"/>
          <w:szCs w:val="24"/>
        </w:rPr>
        <w:t xml:space="preserve">Despite these binding appellate decisions, the DMV continues to conduct APS hearings under the condemned dual-role framework. Every APS hearing conducted under this structure subjects the driver to the identical constitutional violation Plaintiff suffered. This is a policy and practice implemented and maintained under Director Gordon’s authority.</w:t>
      </w:r>
    </w:p>
    <w:p>
      <w:pPr>
        <w:spacing w:after="200" w:before="400" w:line="480"/>
        <w:jc w:val="left"/>
      </w:pPr>
      <w:r>
        <w:rPr>
          <w:rFonts w:ascii="Times New Roman" w:cs="Times New Roman" w:eastAsia="Times New Roman" w:hAnsi="Times New Roman"/>
          <w:b/>
          <w:bCs/>
          <w:sz w:val="24"/>
          <w:szCs w:val="24"/>
        </w:rPr>
        <w:t xml:space="preserve">G. The Irrebuttable Presumption of Official Regularity as Unconstitutional Policy</w:t>
      </w:r>
    </w:p>
    <w:p>
      <w:pPr>
        <w:spacing w:after="200" w:line="480"/>
        <w:ind w:firstLine="720"/>
        <w:jc w:val="left"/>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Candelaria’s decision reveals a further systemic deficiency: the DMV’s application of an irrebuttable presumption of official regularity to police officer statements, even when those statements are objectively contradicted by audio-visual evidence.</w:t>
      </w:r>
    </w:p>
    <w:p>
      <w:pPr>
        <w:spacing w:after="200" w:line="480"/>
        <w:ind w:firstLine="720"/>
        <w:jc w:val="left"/>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In this case, the CHP dashcam transcript—an official state recording—directly contradicted the officer’s sworn DS-367 on material facts. Rather than weigh the conflicting evidence as a neutral adjudicator, Candelaria treated the DS-367 as conclusive, applying the presumption of regularity to immunize the officer’s account from challenge. This transforms what should be a rebuttable evidentiary presumption into an irrebuttable rule that guarantees the State prevails regardless of the evidence.</w:t>
      </w:r>
    </w:p>
    <w:p>
      <w:pPr>
        <w:spacing w:after="200" w:line="480"/>
        <w:ind w:firstLine="720"/>
        <w:jc w:val="left"/>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If this is the DMV’s statewide evidentiary practice—as Candelaria’s decision suggests—it raises a systemic due process concern: no driver can receive a constitutionally adequate hearing if the State’s evidence is treated as conclusive regardless of what contrary evidence the driver presents.</w:t>
      </w:r>
    </w:p>
    <w:p>
      <w:pPr>
        <w:spacing w:after="200" w:before="400" w:line="480"/>
        <w:jc w:val="left"/>
      </w:pPr>
      <w:r>
        <w:rPr>
          <w:rFonts w:ascii="Times New Roman" w:cs="Times New Roman" w:eastAsia="Times New Roman" w:hAnsi="Times New Roman"/>
          <w:b/>
          <w:bCs/>
          <w:sz w:val="24"/>
          <w:szCs w:val="24"/>
        </w:rPr>
        <w:t xml:space="preserve">H. Damages</w:t>
      </w:r>
    </w:p>
    <w:p>
      <w:pPr>
        <w:spacing w:after="200" w:line="480"/>
        <w:ind w:firstLine="720"/>
        <w:jc w:val="left"/>
      </w:pPr>
      <w:r>
        <w:rPr>
          <w:rFonts w:ascii="Times New Roman" w:cs="Times New Roman" w:eastAsia="Times New Roman" w:hAnsi="Times New Roman"/>
          <w:sz w:val="24"/>
          <w:szCs w:val="24"/>
        </w:rPr>
        <w:t xml:space="preserve">44. </w:t>
      </w:r>
      <w:r>
        <w:rPr>
          <w:rFonts w:ascii="Times New Roman" w:cs="Times New Roman" w:eastAsia="Times New Roman" w:hAnsi="Times New Roman"/>
          <w:sz w:val="24"/>
          <w:szCs w:val="24"/>
        </w:rPr>
        <w:t xml:space="preserve">The suspension of Plaintiff’s CDL, effective February 20, 2025 through February 19, 2026, immediately and completely terminated Plaintiff’s employment and extinguished his capacity to earn a living as a commercial truck driver.</w:t>
      </w:r>
    </w:p>
    <w:p>
      <w:pPr>
        <w:spacing w:after="200" w:line="480"/>
        <w:ind w:firstLine="720"/>
        <w:jc w:val="left"/>
      </w:pPr>
      <w:r>
        <w:rPr>
          <w:rFonts w:ascii="Times New Roman" w:cs="Times New Roman" w:eastAsia="Times New Roman" w:hAnsi="Times New Roman"/>
          <w:sz w:val="24"/>
          <w:szCs w:val="24"/>
        </w:rPr>
        <w:t xml:space="preserve">45. </w:t>
      </w:r>
      <w:r>
        <w:rPr>
          <w:rFonts w:ascii="Times New Roman" w:cs="Times New Roman" w:eastAsia="Times New Roman" w:hAnsi="Times New Roman"/>
          <w:sz w:val="24"/>
          <w:szCs w:val="24"/>
        </w:rPr>
        <w:t xml:space="preserve">Plaintiff’s damages are concrete, documented, and severe:</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(a) Lost regular wages at $33.35 per hour for standard shifts lost since the effective date of suspension, as documented in the Centerline Wage Notice (Exhibit E);</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(b) Lost premium wages at $50.03 per hour for premium/overtime shifts lost since the effective date of suspension;</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(c) Out-of-pocket expenses, including costs incurred for the $125.00 reissue fee, SR-22 proof of financial responsibility costs, alternative transportation, and administrative expenses;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(d) Emotional distress, humiliation, and mental anguish caused by the arbitrary and unconstitutional destruction of Plaintiff’s livelihood and professional reputation, compensable under Carey v. Piphus, 435 U.S. 247 (1978);</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 Consequential economic damages, including damage to Plaintiff’s commercial driving record and future employability in the trucking industry.</w:t>
      </w:r>
    </w:p>
    <w:p>
      <w:pPr>
        <w:spacing w:after="200" w:line="480"/>
        <w:ind w:firstLine="720"/>
        <w:jc w:val="left"/>
      </w:pPr>
      <w:r>
        <w:rPr>
          <w:rFonts w:ascii="Times New Roman" w:cs="Times New Roman" w:eastAsia="Times New Roman" w:hAnsi="Times New Roman"/>
          <w:sz w:val="24"/>
          <w:szCs w:val="24"/>
        </w:rPr>
        <w:t xml:space="preserve">46. </w:t>
      </w:r>
      <w:r>
        <w:rPr>
          <w:rFonts w:ascii="Times New Roman" w:cs="Times New Roman" w:eastAsia="Times New Roman" w:hAnsi="Times New Roman"/>
          <w:sz w:val="24"/>
          <w:szCs w:val="24"/>
        </w:rPr>
        <w:t xml:space="preserve">The financial devastation is magnified by its timing. The suspension destroyed a career opportunity that Plaintiff had secured just two days before the encounter. The longer the unconstitutional suspension persists, the greater Plaintiff’s damages accumulate—providing both Defendants with a strong incentive to resolve this matter expeditiously.</w:t>
      </w:r>
    </w:p>
    <w:p>
      <w:pPr>
        <w:spacing w:after="200" w:before="200" w:line="480"/>
        <w:jc w:val="center"/>
      </w:pPr>
      <w:r>
        <w:rPr>
          <w:rFonts w:ascii="Times New Roman" w:cs="Times New Roman" w:eastAsia="Times New Roman" w:hAnsi="Times New Roman"/>
          <w:b/>
          <w:bCs/>
          <w:caps w:val="false"/>
          <w:sz w:val="24"/>
          <w:szCs w:val="24"/>
        </w:rPr>
        <w:t xml:space="preserve">CAUSES OF ACTION</w:t>
      </w:r>
    </w:p>
    <w:p>
      <w:pPr>
        <w:spacing w:after="200" w:before="200" w:line="480"/>
        <w:jc w:val="center"/>
      </w:pPr>
      <w:r>
        <w:rPr>
          <w:rFonts w:ascii="Times New Roman" w:cs="Times New Roman" w:eastAsia="Times New Roman" w:hAnsi="Times New Roman"/>
          <w:b/>
          <w:bCs/>
          <w:caps w:val="false"/>
          <w:sz w:val="24"/>
          <w:szCs w:val="24"/>
        </w:rPr>
        <w:t xml:space="preserve">COUNT I</w:t>
      </w:r>
    </w:p>
    <w:p>
      <w:pPr>
        <w:spacing w:after="200" w:before="200" w:line="480"/>
        <w:jc w:val="center"/>
      </w:pPr>
      <w:r>
        <w:rPr>
          <w:rFonts w:ascii="Times New Roman" w:cs="Times New Roman" w:eastAsia="Times New Roman" w:hAnsi="Times New Roman"/>
          <w:b/>
          <w:bCs/>
          <w:caps w:val="false"/>
          <w:sz w:val="24"/>
          <w:szCs w:val="24"/>
        </w:rPr>
        <w:t xml:space="preserve">42 U.S.C. § 1983 — FOURTEENTH AMENDMENT PROCEDURAL DUE PROCESS</w:t>
      </w:r>
    </w:p>
    <w:p>
      <w:pPr>
        <w:spacing w:after="200" w:before="0" w:line="480"/>
        <w:jc w:val="center"/>
      </w:pPr>
      <w:r>
        <w:rPr>
          <w:rFonts w:ascii="Times New Roman" w:cs="Times New Roman" w:eastAsia="Times New Roman" w:hAnsi="Times New Roman"/>
          <w:b w:val="false"/>
          <w:bCs w:val="false"/>
          <w:i/>
          <w:iCs/>
          <w:caps w:val="false"/>
          <w:sz w:val="24"/>
          <w:szCs w:val="24"/>
        </w:rPr>
        <w:t xml:space="preserve">(Against Defendant Candelaria in Her Individual Capacity)</w:t>
      </w:r>
    </w:p>
    <w:p>
      <w:pPr>
        <w:spacing w:after="200" w:line="480"/>
        <w:ind w:firstLine="720"/>
        <w:jc w:val="left"/>
      </w:pPr>
      <w:r>
        <w:rPr>
          <w:rFonts w:ascii="Times New Roman" w:cs="Times New Roman" w:eastAsia="Times New Roman" w:hAnsi="Times New Roman"/>
          <w:sz w:val="24"/>
          <w:szCs w:val="24"/>
        </w:rPr>
        <w:t xml:space="preserve">47. </w:t>
      </w:r>
      <w:r>
        <w:rPr>
          <w:rFonts w:ascii="Times New Roman" w:cs="Times New Roman" w:eastAsia="Times New Roman" w:hAnsi="Times New Roman"/>
          <w:sz w:val="24"/>
          <w:szCs w:val="24"/>
        </w:rPr>
        <w:t xml:space="preserve">Plaintiff incorporates by reference each and every allegation in the preceding paragraphs as if fully set forth herein.</w:t>
      </w:r>
    </w:p>
    <w:p>
      <w:pPr>
        <w:spacing w:after="200" w:line="480"/>
        <w:ind w:firstLine="720"/>
        <w:jc w:val="left"/>
      </w:pPr>
      <w:r>
        <w:rPr>
          <w:rFonts w:ascii="Times New Roman" w:cs="Times New Roman" w:eastAsia="Times New Roman" w:hAnsi="Times New Roman"/>
          <w:sz w:val="24"/>
          <w:szCs w:val="24"/>
        </w:rPr>
        <w:t xml:space="preserve">48. </w:t>
      </w:r>
      <w:r>
        <w:rPr>
          <w:rFonts w:ascii="Times New Roman" w:cs="Times New Roman" w:eastAsia="Times New Roman" w:hAnsi="Times New Roman"/>
          <w:sz w:val="24"/>
          <w:szCs w:val="24"/>
        </w:rPr>
        <w:t xml:space="preserve">Plaintiff’s Class A CDL constitutes a protected property interest under the Due Process Clause of the Fourteenth Amendment. </w:t>
      </w:r>
      <w:r>
        <w:rPr>
          <w:rFonts w:ascii="Times New Roman" w:cs="Times New Roman" w:eastAsia="Times New Roman" w:hAnsi="Times New Roman"/>
          <w:i/>
          <w:iCs/>
          <w:sz w:val="24"/>
          <w:szCs w:val="24"/>
        </w:rPr>
        <w:t xml:space="preserve">Bell v. Burson</w:t>
      </w:r>
      <w:r>
        <w:rPr>
          <w:rFonts w:ascii="Times New Roman" w:cs="Times New Roman" w:eastAsia="Times New Roman" w:hAnsi="Times New Roman"/>
          <w:sz w:val="24"/>
          <w:szCs w:val="24"/>
        </w:rPr>
        <w:t xml:space="preserve">, 402 U.S. 535, 539 (1971); </w:t>
      </w:r>
      <w:r>
        <w:rPr>
          <w:rFonts w:ascii="Times New Roman" w:cs="Times New Roman" w:eastAsia="Times New Roman" w:hAnsi="Times New Roman"/>
          <w:i/>
          <w:iCs/>
          <w:sz w:val="24"/>
          <w:szCs w:val="24"/>
        </w:rPr>
        <w:t xml:space="preserve">Mackey v. Montrym</w:t>
      </w:r>
      <w:r>
        <w:rPr>
          <w:rFonts w:ascii="Times New Roman" w:cs="Times New Roman" w:eastAsia="Times New Roman" w:hAnsi="Times New Roman"/>
          <w:sz w:val="24"/>
          <w:szCs w:val="24"/>
        </w:rPr>
        <w:t xml:space="preserve">, 443 U.S. 1, 10–11 (1979).</w:t>
      </w:r>
    </w:p>
    <w:p>
      <w:pPr>
        <w:spacing w:after="200" w:line="480"/>
        <w:ind w:firstLine="720"/>
        <w:jc w:val="left"/>
      </w:pPr>
      <w:r>
        <w:rPr>
          <w:rFonts w:ascii="Times New Roman" w:cs="Times New Roman" w:eastAsia="Times New Roman" w:hAnsi="Times New Roman"/>
          <w:sz w:val="24"/>
          <w:szCs w:val="24"/>
        </w:rPr>
        <w:t xml:space="preserve">49. </w:t>
      </w:r>
      <w:r>
        <w:rPr>
          <w:rFonts w:ascii="Times New Roman" w:cs="Times New Roman" w:eastAsia="Times New Roman" w:hAnsi="Times New Roman"/>
          <w:sz w:val="24"/>
          <w:szCs w:val="24"/>
        </w:rPr>
        <w:t xml:space="preserve">Defendant Candelaria, acting under color of state law, deprived Plaintiff of this protected property interest without adequate procedural due process in violation of the Fourteenth Amendment to the United States Constitution.</w:t>
      </w:r>
    </w:p>
    <w:p>
      <w:pPr>
        <w:spacing w:after="200" w:line="480"/>
        <w:ind w:firstLine="720"/>
        <w:jc w:val="left"/>
      </w:pPr>
      <w:r>
        <w:rPr>
          <w:rFonts w:ascii="Times New Roman" w:cs="Times New Roman" w:eastAsia="Times New Roman" w:hAnsi="Times New Roman"/>
          <w:sz w:val="24"/>
          <w:szCs w:val="24"/>
        </w:rPr>
        <w:t xml:space="preserve">50. </w:t>
      </w:r>
      <w:r>
        <w:rPr>
          <w:rFonts w:ascii="Times New Roman" w:cs="Times New Roman" w:eastAsia="Times New Roman" w:hAnsi="Times New Roman"/>
          <w:sz w:val="24"/>
          <w:szCs w:val="24"/>
        </w:rPr>
        <w:t xml:space="preserve">Candelaria’s deprivation of Plaintiff’s due process rights was accomplished through multiple, independently sufficient constitutional violations: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(a) Jurisdictional Nullity: Candelaria sustained a suspension based on an arrest that had been formally nullified by the arresting agency’s own Detention Certificate under Penal Code § 849(b)(1), thereby exercising adjudicative power over a matter where the statutory predicate—“lawful arrest”—no longer existed as a matter of law;</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(b) Structural Bias: Candelaria presided over the hearing within a framework requiring her to simultaneously serve as the DMV’s prosecuting advocate and the trier of fact—a dual role explicitly condemned as a due process violation in California DUI Lawyers Ass’n v. DMV and Knudsen v. DMV;</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(c) Deliberate Indifference to Exculpatory Evidence: Candelaria entirely failed to address the Detention Certificate, dismissed the dashcam contradictions without analysis, ignored binding Mercer precedent, and ratified demonstrably false sworn testimony;</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(d) Irrebuttable Presumption: Candelaria applied an irrebuttable presumption of official regularity to the officer’s sworn statement, shielding the State’s case from any meaningful challenge regardless of the objective evidence presented.</w:t>
      </w:r>
    </w:p>
    <w:p>
      <w:pPr>
        <w:spacing w:after="200" w:line="480"/>
        <w:ind w:firstLine="720"/>
        <w:jc w:val="left"/>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Under the balancing test established in </w:t>
      </w:r>
      <w:r>
        <w:rPr>
          <w:rFonts w:ascii="Times New Roman" w:cs="Times New Roman" w:eastAsia="Times New Roman" w:hAnsi="Times New Roman"/>
          <w:i/>
          <w:iCs/>
          <w:sz w:val="24"/>
          <w:szCs w:val="24"/>
        </w:rPr>
        <w:t xml:space="preserve">Mathews v. Eldridge</w:t>
      </w:r>
      <w:r>
        <w:rPr>
          <w:rFonts w:ascii="Times New Roman" w:cs="Times New Roman" w:eastAsia="Times New Roman" w:hAnsi="Times New Roman"/>
          <w:sz w:val="24"/>
          <w:szCs w:val="24"/>
        </w:rPr>
        <w:t xml:space="preserve">, 424 U.S. 319 (1976), the deprivation was constitutionally intolerable: (1) Plaintiff’s private interest—his sole source of income—was exceptionally high; (2) the risk of erroneous deprivation was absolute when the adjudicator ignored legally binding documents and objective evidence; and (3) the government had zero legitimate interest in sustaining a suspension based on an arrest that its own agencies had formally repudiated.</w:t>
      </w:r>
    </w:p>
    <w:p>
      <w:pPr>
        <w:spacing w:after="200" w:line="480"/>
        <w:ind w:firstLine="720"/>
        <w:jc w:val="left"/>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As a direct and proximate result of Candelaria’s unconstitutional conduct, Plaintiff has suffered and continues to suffer compensatory damages, including lost wages, out-of-pocket expenses, emotional distress, and consequential economic harm.</w:t>
      </w:r>
    </w:p>
    <w:p>
      <w:pPr>
        <w:spacing w:after="200" w:line="480"/>
        <w:ind w:firstLine="720"/>
        <w:jc w:val="left"/>
      </w:pPr>
      <w:r>
        <w:rPr>
          <w:rFonts w:ascii="Times New Roman" w:cs="Times New Roman" w:eastAsia="Times New Roman" w:hAnsi="Times New Roman"/>
          <w:sz w:val="24"/>
          <w:szCs w:val="24"/>
        </w:rPr>
        <w:t xml:space="preserve">53. </w:t>
      </w:r>
      <w:r>
        <w:rPr>
          <w:rFonts w:ascii="Times New Roman" w:cs="Times New Roman" w:eastAsia="Times New Roman" w:hAnsi="Times New Roman"/>
          <w:sz w:val="24"/>
          <w:szCs w:val="24"/>
        </w:rPr>
        <w:t xml:space="preserve">Candelaria’s conduct was motivated by reckless and callous indifference to Plaintiff’s federally protected constitutional rights, warranting an award of punitive damages pursuant to </w:t>
      </w:r>
      <w:r>
        <w:rPr>
          <w:rFonts w:ascii="Times New Roman" w:cs="Times New Roman" w:eastAsia="Times New Roman" w:hAnsi="Times New Roman"/>
          <w:i/>
          <w:iCs/>
          <w:sz w:val="24"/>
          <w:szCs w:val="24"/>
        </w:rPr>
        <w:t xml:space="preserve">Smith v. Wade</w:t>
      </w:r>
      <w:r>
        <w:rPr>
          <w:rFonts w:ascii="Times New Roman" w:cs="Times New Roman" w:eastAsia="Times New Roman" w:hAnsi="Times New Roman"/>
          <w:sz w:val="24"/>
          <w:szCs w:val="24"/>
        </w:rPr>
        <w:t xml:space="preserve">, 461 U.S. 30 (1983). Candelaria knowingly sustained a suspension based on an arrest formally nullified by a Detention Certificate, knowingly ratified demonstrably false sworn testimony contradicted by objective audio-visual evidence, actively ignored binding appellate precedent, and participated in a hearing structure already declared unconstitutional by the California Court of Appeal.</w:t>
      </w:r>
    </w:p>
    <w:p>
      <w:pPr>
        <w:spacing w:after="200" w:before="200" w:line="480"/>
        <w:jc w:val="center"/>
      </w:pPr>
      <w:r>
        <w:rPr>
          <w:rFonts w:ascii="Times New Roman" w:cs="Times New Roman" w:eastAsia="Times New Roman" w:hAnsi="Times New Roman"/>
          <w:b/>
          <w:bCs/>
          <w:caps w:val="false"/>
          <w:sz w:val="24"/>
          <w:szCs w:val="24"/>
        </w:rPr>
        <w:t xml:space="preserve">COUNT II</w:t>
      </w:r>
    </w:p>
    <w:p>
      <w:pPr>
        <w:spacing w:after="200" w:before="200" w:line="480"/>
        <w:jc w:val="center"/>
      </w:pPr>
      <w:r>
        <w:rPr>
          <w:rFonts w:ascii="Times New Roman" w:cs="Times New Roman" w:eastAsia="Times New Roman" w:hAnsi="Times New Roman"/>
          <w:b/>
          <w:bCs/>
          <w:caps w:val="false"/>
          <w:sz w:val="24"/>
          <w:szCs w:val="24"/>
        </w:rPr>
        <w:t xml:space="preserve">42 U.S.C. § 1983 — DECLARATORY RELIEF</w:t>
      </w:r>
    </w:p>
    <w:p>
      <w:pPr>
        <w:spacing w:after="200" w:before="0" w:line="480"/>
        <w:jc w:val="center"/>
      </w:pPr>
      <w:r>
        <w:rPr>
          <w:rFonts w:ascii="Times New Roman" w:cs="Times New Roman" w:eastAsia="Times New Roman" w:hAnsi="Times New Roman"/>
          <w:b w:val="false"/>
          <w:bCs w:val="false"/>
          <w:i/>
          <w:iCs/>
          <w:caps w:val="false"/>
          <w:sz w:val="24"/>
          <w:szCs w:val="24"/>
        </w:rPr>
        <w:t xml:space="preserve">(Against Defendant Gordon in His Official Capacity)</w:t>
      </w:r>
    </w:p>
    <w:p>
      <w:pPr>
        <w:spacing w:after="200" w:line="480"/>
        <w:ind w:firstLine="720"/>
        <w:jc w:val="left"/>
      </w:pPr>
      <w:r>
        <w:rPr>
          <w:rFonts w:ascii="Times New Roman" w:cs="Times New Roman" w:eastAsia="Times New Roman" w:hAnsi="Times New Roman"/>
          <w:sz w:val="24"/>
          <w:szCs w:val="24"/>
        </w:rPr>
        <w:t xml:space="preserve">54. </w:t>
      </w:r>
      <w:r>
        <w:rPr>
          <w:rFonts w:ascii="Times New Roman" w:cs="Times New Roman" w:eastAsia="Times New Roman" w:hAnsi="Times New Roman"/>
          <w:sz w:val="24"/>
          <w:szCs w:val="24"/>
        </w:rPr>
        <w:t xml:space="preserve">Plaintiff incorporates by reference each and every allegation in the preceding paragraphs as if fully set forth herein.</w:t>
      </w:r>
    </w:p>
    <w:p>
      <w:pPr>
        <w:spacing w:after="200" w:line="480"/>
        <w:ind w:firstLine="720"/>
        <w:jc w:val="left"/>
      </w:pPr>
      <w:r>
        <w:rPr>
          <w:rFonts w:ascii="Times New Roman" w:cs="Times New Roman" w:eastAsia="Times New Roman" w:hAnsi="Times New Roman"/>
          <w:sz w:val="24"/>
          <w:szCs w:val="24"/>
        </w:rPr>
        <w:t xml:space="preserve">55. </w:t>
      </w:r>
      <w:r>
        <w:rPr>
          <w:rFonts w:ascii="Times New Roman" w:cs="Times New Roman" w:eastAsia="Times New Roman" w:hAnsi="Times New Roman"/>
          <w:sz w:val="24"/>
          <w:szCs w:val="24"/>
        </w:rPr>
        <w:t xml:space="preserve">An actual, justiciable controversy exists between the parties regarding whether the APS hearing conducted on January 24, 2025, and the resulting Notification of Findings and Decision dated February 11, 2025, violated Plaintiff’s procedural due process rights under the Fourteenth Amendment.</w:t>
      </w:r>
    </w:p>
    <w:p>
      <w:pPr>
        <w:spacing w:after="200" w:line="480"/>
        <w:ind w:firstLine="720"/>
        <w:jc w:val="left"/>
      </w:pPr>
      <w:r>
        <w:rPr>
          <w:rFonts w:ascii="Times New Roman" w:cs="Times New Roman" w:eastAsia="Times New Roman" w:hAnsi="Times New Roman"/>
          <w:sz w:val="24"/>
          <w:szCs w:val="24"/>
        </w:rPr>
        <w:t xml:space="preserve">56. </w:t>
      </w:r>
      <w:r>
        <w:rPr>
          <w:rFonts w:ascii="Times New Roman" w:cs="Times New Roman" w:eastAsia="Times New Roman" w:hAnsi="Times New Roman"/>
          <w:sz w:val="24"/>
          <w:szCs w:val="24"/>
        </w:rPr>
        <w:t xml:space="preserve">Pursuant to 28 U.S.C. §§ 2201 and 2202, Plaintiff seeks a declaratory judgment that:</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(a) The APS hearing as conducted violated the Due Process Clause of the Fourteenth Amendment because the hearing officer served simultaneously as the DMV’s prosecuting advocate and the trier of fact, creating an unconstitutional structural bias;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(b) The DMV lacked statutory authority to sustain the license suspension because the “lawful arrest” predicate required by Vehicle Code §§ 13353 and 13353.2 was destroyed by the Penal Code § 849(b)(1) Detention Certificate;</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(c) The DMV’s application of an irrebuttable presumption of official regularity to override objective contrary evidence violates procedural due process.</w:t>
      </w:r>
    </w:p>
    <w:p>
      <w:pPr>
        <w:spacing w:after="200" w:line="480"/>
        <w:ind w:firstLine="720"/>
        <w:jc w:val="left"/>
      </w:pPr>
      <w:r>
        <w:rPr>
          <w:rFonts w:ascii="Times New Roman" w:cs="Times New Roman" w:eastAsia="Times New Roman" w:hAnsi="Times New Roman"/>
          <w:sz w:val="24"/>
          <w:szCs w:val="24"/>
        </w:rPr>
        <w:t xml:space="preserve">57. </w:t>
      </w:r>
      <w:r>
        <w:rPr>
          <w:rFonts w:ascii="Times New Roman" w:cs="Times New Roman" w:eastAsia="Times New Roman" w:hAnsi="Times New Roman"/>
          <w:sz w:val="24"/>
          <w:szCs w:val="24"/>
        </w:rPr>
        <w:t xml:space="preserve">This declaratory relief is sought against Director Gordon in his official capacity under the Ex parte Young doctrine. The ongoing suspension constitutes a continuing violation of federal law, authorizing prospective equitable relief notwithstanding the Eleventh Amendment.</w:t>
      </w:r>
    </w:p>
    <w:p>
      <w:pPr>
        <w:spacing w:after="200" w:before="200" w:line="480"/>
        <w:jc w:val="center"/>
      </w:pPr>
      <w:r>
        <w:rPr>
          <w:rFonts w:ascii="Times New Roman" w:cs="Times New Roman" w:eastAsia="Times New Roman" w:hAnsi="Times New Roman"/>
          <w:b/>
          <w:bCs/>
          <w:caps w:val="false"/>
          <w:sz w:val="24"/>
          <w:szCs w:val="24"/>
        </w:rPr>
        <w:t xml:space="preserve">COUNT III</w:t>
      </w:r>
    </w:p>
    <w:p>
      <w:pPr>
        <w:spacing w:after="200" w:before="200" w:line="480"/>
        <w:jc w:val="center"/>
      </w:pPr>
      <w:r>
        <w:rPr>
          <w:rFonts w:ascii="Times New Roman" w:cs="Times New Roman" w:eastAsia="Times New Roman" w:hAnsi="Times New Roman"/>
          <w:b/>
          <w:bCs/>
          <w:caps w:val="false"/>
          <w:sz w:val="24"/>
          <w:szCs w:val="24"/>
        </w:rPr>
        <w:t xml:space="preserve">42 U.S.C. § 1983 — INJUNCTIVE RELIEF</w:t>
      </w:r>
    </w:p>
    <w:p>
      <w:pPr>
        <w:spacing w:after="200" w:before="0" w:line="480"/>
        <w:jc w:val="center"/>
      </w:pPr>
      <w:r>
        <w:rPr>
          <w:rFonts w:ascii="Times New Roman" w:cs="Times New Roman" w:eastAsia="Times New Roman" w:hAnsi="Times New Roman"/>
          <w:b w:val="false"/>
          <w:bCs w:val="false"/>
          <w:i/>
          <w:iCs/>
          <w:caps w:val="false"/>
          <w:sz w:val="24"/>
          <w:szCs w:val="24"/>
        </w:rPr>
        <w:t xml:space="preserve">(Against Defendant Gordon in His Official Capacity — Ex parte Young)</w:t>
      </w:r>
    </w:p>
    <w:p>
      <w:pPr>
        <w:spacing w:after="200" w:line="480"/>
        <w:ind w:firstLine="720"/>
        <w:jc w:val="left"/>
      </w:pPr>
      <w:r>
        <w:rPr>
          <w:rFonts w:ascii="Times New Roman" w:cs="Times New Roman" w:eastAsia="Times New Roman" w:hAnsi="Times New Roman"/>
          <w:sz w:val="24"/>
          <w:szCs w:val="24"/>
        </w:rPr>
        <w:t xml:space="preserve">58. </w:t>
      </w:r>
      <w:r>
        <w:rPr>
          <w:rFonts w:ascii="Times New Roman" w:cs="Times New Roman" w:eastAsia="Times New Roman" w:hAnsi="Times New Roman"/>
          <w:sz w:val="24"/>
          <w:szCs w:val="24"/>
        </w:rPr>
        <w:t xml:space="preserve">Plaintiff incorporates by reference each and every allegation in the preceding paragraphs as if fully set forth herein.</w:t>
      </w:r>
    </w:p>
    <w:p>
      <w:pPr>
        <w:spacing w:after="200" w:line="480"/>
        <w:ind w:firstLine="720"/>
        <w:jc w:val="left"/>
      </w:pPr>
      <w:r>
        <w:rPr>
          <w:rFonts w:ascii="Times New Roman" w:cs="Times New Roman" w:eastAsia="Times New Roman" w:hAnsi="Times New Roman"/>
          <w:sz w:val="24"/>
          <w:szCs w:val="24"/>
        </w:rPr>
        <w:t xml:space="preserve">59. </w:t>
      </w:r>
      <w:r>
        <w:rPr>
          <w:rFonts w:ascii="Times New Roman" w:cs="Times New Roman" w:eastAsia="Times New Roman" w:hAnsi="Times New Roman"/>
          <w:sz w:val="24"/>
          <w:szCs w:val="24"/>
        </w:rPr>
        <w:t xml:space="preserve">The suspension of Plaintiff’s CDL constitutes an ongoing deprivation of a constitutionally protected property interest. Each day the suspension remains in effect, Plaintiff suffers continuing harm: he is barred from his profession, denied his primary source of income, and subjected to an ongoing constitutional violation. This continuing deprivation satisfies the Ex parte Young requirement of an “ongoing violation of federal law.”</w:t>
      </w:r>
    </w:p>
    <w:p>
      <w:pPr>
        <w:spacing w:after="200" w:line="480"/>
        <w:ind w:firstLine="720"/>
        <w:jc w:val="left"/>
      </w:pPr>
      <w:r>
        <w:rPr>
          <w:rFonts w:ascii="Times New Roman" w:cs="Times New Roman" w:eastAsia="Times New Roman" w:hAnsi="Times New Roman"/>
          <w:sz w:val="24"/>
          <w:szCs w:val="24"/>
        </w:rPr>
        <w:t xml:space="preserve">60. </w:t>
      </w:r>
      <w:r>
        <w:rPr>
          <w:rFonts w:ascii="Times New Roman" w:cs="Times New Roman" w:eastAsia="Times New Roman" w:hAnsi="Times New Roman"/>
          <w:sz w:val="24"/>
          <w:szCs w:val="24"/>
        </w:rPr>
        <w:t xml:space="preserve">Plaintiff seeks injunctive relief against Director Gordon in his official capacity, including:</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(a) An order vacating the February 11, 2025 Notification of Findings and Decision in APS Case No. 34739340;</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(b) An order directing the immediate reinstatement of Plaintiff’s Class A CDL, free of the penalties imposed by the unconstitutional suspension;</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(c) An order prohibiting the DMV from imposing the $125.00 reissue fee and the SR-22 proof of financial responsibility requirement stemming from the unconstitutional suspension;</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(d) An order requiring that any new hearing, if one is conducted, be held before a neutral decisionmaker who does not simultaneously serve as the DMV’s prosecuting advocate.</w:t>
      </w:r>
    </w:p>
    <w:p>
      <w:pPr>
        <w:spacing w:after="200" w:line="480"/>
        <w:ind w:firstLine="720"/>
        <w:jc w:val="left"/>
      </w:pPr>
      <w:r>
        <w:rPr>
          <w:rFonts w:ascii="Times New Roman" w:cs="Times New Roman" w:eastAsia="Times New Roman" w:hAnsi="Times New Roman"/>
          <w:sz w:val="24"/>
          <w:szCs w:val="24"/>
        </w:rPr>
        <w:t xml:space="preserve">61. </w:t>
      </w:r>
      <w:r>
        <w:rPr>
          <w:rFonts w:ascii="Times New Roman" w:cs="Times New Roman" w:eastAsia="Times New Roman" w:hAnsi="Times New Roman"/>
          <w:sz w:val="24"/>
          <w:szCs w:val="24"/>
        </w:rPr>
        <w:t xml:space="preserve">Plaintiff has no adequate remedy at law for the ongoing deprivation. Each day of suspension causes irreparable economic and professional harm. The balance of equities favors Plaintiff, as the State has no legitimate interest in maintaining a suspension based on an arrest it has formally repudiated. The public interest is served by ensuring that state administrative agencies comply with constitutional due process requirements.</w:t>
      </w:r>
    </w:p>
    <w:p>
      <w:pPr>
        <w:spacing w:after="200" w:before="200" w:line="480"/>
        <w:jc w:val="center"/>
      </w:pPr>
      <w:r>
        <w:rPr>
          <w:rFonts w:ascii="Times New Roman" w:cs="Times New Roman" w:eastAsia="Times New Roman" w:hAnsi="Times New Roman"/>
          <w:b/>
          <w:bCs/>
          <w:caps w:val="false"/>
          <w:sz w:val="24"/>
          <w:szCs w:val="24"/>
        </w:rPr>
        <w:t xml:space="preserve">PRAYER FOR RELIEF</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WHEREFORE, Plaintiff respectfully requests that this Court enter judgment in his favor and against Defendants as follows:</w:t>
      </w:r>
    </w:p>
    <w:p>
      <w:pPr>
        <w:spacing w:after="200" w:before="400" w:line="480"/>
        <w:jc w:val="left"/>
      </w:pPr>
      <w:r>
        <w:rPr>
          <w:rFonts w:ascii="Times New Roman" w:cs="Times New Roman" w:eastAsia="Times New Roman" w:hAnsi="Times New Roman"/>
          <w:b/>
          <w:bCs/>
          <w:sz w:val="24"/>
          <w:szCs w:val="24"/>
        </w:rPr>
        <w:t xml:space="preserve">As to Defendant Candelaria (Individual Capacity):</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A. Compensatory damages in an amount to be proven at trial, including but not limited to lost wages, lost earning capacity, consequential economic damages, and damages for emotional distress, humiliation, and mental anguish;</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B. Punitive damages in an amount sufficient to punish Defendant Candelaria’s willful and reckless disregard for Plaintiff’s constitutional rights and to deter similar conduct in the future, pursuant to Smith v. Wade, 461 U.S. 30 (1983), and as warranted by Defendant’s deliberate indifference to Plaintiff’s clearly established rights;</w:t>
      </w:r>
    </w:p>
    <w:p>
      <w:pPr>
        <w:spacing w:after="200" w:before="400" w:line="480"/>
        <w:jc w:val="left"/>
      </w:pPr>
      <w:r>
        <w:rPr>
          <w:rFonts w:ascii="Times New Roman" w:cs="Times New Roman" w:eastAsia="Times New Roman" w:hAnsi="Times New Roman"/>
          <w:b/>
          <w:bCs/>
          <w:sz w:val="24"/>
          <w:szCs w:val="24"/>
        </w:rPr>
        <w:t xml:space="preserve">As to Defendant Gordon (Official Capacity):</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C. A declaratory judgment that the APS hearing conducted on January 24, 2025, and the resulting Notification of Findings and Decision dated February 11, 2025, violated Plaintiff’s procedural due process rights under the Fourteenth Amendment;</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D. A declaratory judgment that the DMV lacks statutory authority to sustain a license suspension when the “lawful arrest” predicate has been destroyed by the arresting agency’s issuance of a Penal Code § 849(b)(1) Detention Certificate;</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 A permanent injunction vacating the February 11, 2025 Order of Suspension and directing the immediate reinstatement of Plaintiff’s Class A CDL, free of all penalties imposed by the unconstitutional suspension, including the $125.00 reissue fee and the SR-22 proof of financial responsibility requirement;</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F. An injunction requiring that any new hearing, if one is conducted, be held before a neutral decisionmaker who does not simultaneously serve as the DMV’s prosecuting advocate;</w:t>
      </w:r>
    </w:p>
    <w:p>
      <w:pPr>
        <w:spacing w:after="200" w:before="400" w:line="480"/>
        <w:jc w:val="left"/>
      </w:pPr>
      <w:r>
        <w:rPr>
          <w:rFonts w:ascii="Times New Roman" w:cs="Times New Roman" w:eastAsia="Times New Roman" w:hAnsi="Times New Roman"/>
          <w:b/>
          <w:bCs/>
          <w:sz w:val="24"/>
          <w:szCs w:val="24"/>
        </w:rPr>
        <w:t xml:space="preserve">As to All Defendants:</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G. Reasonable attorney’s fees and costs pursuant to 42 U.S.C. § 1988, to the extent applicable;</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H. Pre-judgment and post-judgment interest as permitted by law;</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I. Such other and further relief as this Court deems just, equitable, and proper.</w:t>
      </w:r>
    </w:p>
    <w:p>
      <w:pPr>
        <w:spacing w:after="200" w:before="200" w:line="480"/>
        <w:jc w:val="center"/>
      </w:pPr>
      <w:r>
        <w:rPr>
          <w:rFonts w:ascii="Times New Roman" w:cs="Times New Roman" w:eastAsia="Times New Roman" w:hAnsi="Times New Roman"/>
          <w:b/>
          <w:bCs/>
          <w:caps w:val="false"/>
          <w:sz w:val="24"/>
          <w:szCs w:val="24"/>
        </w:rPr>
        <w:t xml:space="preserve">DEMAND FOR JURY TRIAL</w:t>
      </w:r>
    </w:p>
    <w:p>
      <w:pPr>
        <w:spacing w:after="200" w:line="480"/>
        <w:ind w:firstLine="720"/>
        <w:jc w:val="left"/>
      </w:pPr>
      <w:r>
        <w:rPr>
          <w:rFonts w:ascii="Times New Roman" w:cs="Times New Roman" w:eastAsia="Times New Roman" w:hAnsi="Times New Roman"/>
          <w:sz w:val="24"/>
          <w:szCs w:val="24"/>
        </w:rPr>
        <w:t xml:space="preserve">68. </w:t>
      </w:r>
      <w:r>
        <w:rPr>
          <w:rFonts w:ascii="Times New Roman" w:cs="Times New Roman" w:eastAsia="Times New Roman" w:hAnsi="Times New Roman"/>
          <w:sz w:val="24"/>
          <w:szCs w:val="24"/>
        </w:rPr>
        <w:t xml:space="preserve">Plaintiff demands a trial by jury on all claims and issues so triable pursuant to the Seventh Amendment to the United States Constitution and Rule 38 of the Federal Rules of Civil Procedure.</w:t>
      </w:r>
    </w:p>
    <w:p>
      <w:pPr>
        <w:spacing w:after="0" w:line="240"/>
      </w:pPr>
    </w:p>
    <w:p>
      <w:pPr>
        <w:spacing w:after="0" w:line="240"/>
      </w:pPr>
    </w:p>
    <w:p>
      <w:pPr>
        <w:spacing w:after="200" w:before="0" w:line="240"/>
        <w:jc w:val="right"/>
      </w:pPr>
      <w:r>
        <w:rPr>
          <w:rFonts w:ascii="Times New Roman" w:cs="Times New Roman" w:eastAsia="Times New Roman" w:hAnsi="Times New Roman"/>
          <w:b w:val="false"/>
          <w:bCs w:val="false"/>
          <w:i w:val="false"/>
          <w:iCs w:val="false"/>
          <w:caps w:val="false"/>
          <w:sz w:val="24"/>
          <w:szCs w:val="24"/>
        </w:rPr>
        <w:t xml:space="preserve">Dated: ___________________</w:t>
      </w:r>
    </w:p>
    <w:p>
      <w:pPr>
        <w:spacing w:after="0" w:line="240"/>
      </w:pPr>
    </w:p>
    <w:p>
      <w:pPr>
        <w:spacing w:after="200" w:before="0" w:line="240"/>
        <w:jc w:val="right"/>
      </w:pPr>
      <w:r>
        <w:rPr>
          <w:rFonts w:ascii="Times New Roman" w:cs="Times New Roman" w:eastAsia="Times New Roman" w:hAnsi="Times New Roman"/>
          <w:b w:val="false"/>
          <w:bCs w:val="false"/>
          <w:i w:val="false"/>
          <w:iCs w:val="false"/>
          <w:caps w:val="false"/>
          <w:sz w:val="24"/>
          <w:szCs w:val="24"/>
        </w:rPr>
        <w:t xml:space="preserve">________________________________________</w:t>
      </w:r>
    </w:p>
    <w:p>
      <w:pPr>
        <w:spacing w:after="200" w:before="0" w:line="240"/>
        <w:jc w:val="right"/>
      </w:pPr>
      <w:r>
        <w:rPr>
          <w:rFonts w:ascii="Times New Roman" w:cs="Times New Roman" w:eastAsia="Times New Roman" w:hAnsi="Times New Roman"/>
          <w:b w:val="false"/>
          <w:bCs w:val="false"/>
          <w:i w:val="false"/>
          <w:iCs w:val="false"/>
          <w:caps w:val="false"/>
          <w:sz w:val="24"/>
          <w:szCs w:val="24"/>
        </w:rPr>
        <w:t xml:space="preserve">Brendan Ngehsi Newanforbi, Plaintiff Pro Se</w:t>
      </w:r>
    </w:p>
    <w:p>
      <w:pPr>
        <w:spacing w:after="0" w:before="0" w:line="240"/>
        <w:jc w:val="right"/>
      </w:pPr>
      <w:r>
        <w:rPr>
          <w:rFonts w:ascii="Times New Roman" w:cs="Times New Roman" w:eastAsia="Times New Roman" w:hAnsi="Times New Roman"/>
          <w:b w:val="false"/>
          <w:bCs w:val="false"/>
          <w:i w:val="false"/>
          <w:iCs w:val="false"/>
          <w:caps w:val="false"/>
          <w:sz w:val="24"/>
          <w:szCs w:val="24"/>
        </w:rPr>
        <w:t xml:space="preserve">1455 Cat Tail Drive</w:t>
      </w:r>
    </w:p>
    <w:p>
      <w:pPr>
        <w:spacing w:after="0" w:before="0" w:line="240"/>
        <w:jc w:val="right"/>
      </w:pPr>
      <w:r>
        <w:rPr>
          <w:rFonts w:ascii="Times New Roman" w:cs="Times New Roman" w:eastAsia="Times New Roman" w:hAnsi="Times New Roman"/>
          <w:b w:val="false"/>
          <w:bCs w:val="false"/>
          <w:i w:val="false"/>
          <w:iCs w:val="false"/>
          <w:caps w:val="false"/>
          <w:sz w:val="24"/>
          <w:szCs w:val="24"/>
        </w:rPr>
        <w:t xml:space="preserve">Stockton, California 95204</w:t>
      </w:r>
    </w:p>
    <w:p>
      <w:pPr>
        <w:spacing w:after="200" w:before="0" w:line="240"/>
        <w:jc w:val="right"/>
      </w:pPr>
      <w:r>
        <w:rPr>
          <w:rFonts w:ascii="Times New Roman" w:cs="Times New Roman" w:eastAsia="Times New Roman" w:hAnsi="Times New Roman"/>
          <w:b w:val="false"/>
          <w:bCs w:val="false"/>
          <w:i w:val="false"/>
          <w:iCs w:val="false"/>
          <w:caps w:val="false"/>
          <w:sz w:val="24"/>
          <w:szCs w:val="24"/>
        </w:rPr>
        <w:t xml:space="preserve">Email: bnn.cdl@gmail.com</w:t>
      </w:r>
    </w:p>
    <w:p>
      <w:pPr>
        <w:spacing w:after="0" w:line="240"/>
      </w:pPr>
    </w:p>
    <w:p>
      <w:pPr>
        <w:spacing w:after="200" w:before="200" w:line="480"/>
        <w:jc w:val="center"/>
      </w:pPr>
      <w:r>
        <w:rPr>
          <w:rFonts w:ascii="Times New Roman" w:cs="Times New Roman" w:eastAsia="Times New Roman" w:hAnsi="Times New Roman"/>
          <w:b/>
          <w:bCs/>
          <w:caps w:val="false"/>
          <w:sz w:val="24"/>
          <w:szCs w:val="24"/>
        </w:rPr>
        <w:t xml:space="preserve">EXHIBIT INDEX</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Exhibit A: Detention Certificate issued by Dublin CHP under Penal Code § 849(b)(1), dated November 5, 2024, CHP Case No. RJ68845</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Exhibit B: CHP Dashcam Video Transcript with timestamped audio entries, November 1, 2024</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Exhibit C: Notification of Findings and Decision issued by Defendant Candelaria, dated February 11, 2025, APS Case No. 34739340</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Exhibit D: DS-367 Officer’s Statement / Arrest Investigation Report filed by Officer Santiago Meza-Gonzalez</w:t>
      </w:r>
    </w:p>
    <w:p>
      <w:pPr>
        <w:spacing w:after="200" w:before="0" w:line="480"/>
        <w:ind w:firstLine="720"/>
        <w:jc w:val="left"/>
      </w:pPr>
      <w:r>
        <w:rPr>
          <w:rFonts w:ascii="Times New Roman" w:cs="Times New Roman" w:eastAsia="Times New Roman" w:hAnsi="Times New Roman"/>
          <w:b w:val="false"/>
          <w:bCs w:val="false"/>
          <w:i w:val="false"/>
          <w:iCs w:val="false"/>
          <w:caps w:val="false"/>
          <w:sz w:val="24"/>
          <w:szCs w:val="24"/>
        </w:rPr>
        <w:t xml:space="preserve">Exhibit E: Centerline Drivers, LLC Wage Notice dated October 31, 2024, documenting Plaintiff’s employment terms, hourly rates, and route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2026-03-20T16:18:36.961Z</dcterms:created>
  <dcterms:modified xsi:type="dcterms:W3CDTF">2026-03-20T16:18:36.962Z</dcterms:modified>
</cp:coreProperties>
</file>

<file path=docProps/custom.xml><?xml version="1.0" encoding="utf-8"?>
<Properties xmlns="http://schemas.openxmlformats.org/officeDocument/2006/custom-properties" xmlns:vt="http://schemas.openxmlformats.org/officeDocument/2006/docPropsVTypes"/>
</file>