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3B" w:rsidRPr="00592BFE" w:rsidRDefault="00A86E3B" w:rsidP="00570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02DD" w:rsidRPr="00592BFE" w:rsidRDefault="005702DD" w:rsidP="00570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02DD" w:rsidRPr="00592BFE" w:rsidRDefault="005702DD" w:rsidP="005702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BFE">
        <w:rPr>
          <w:rFonts w:ascii="Times New Roman" w:hAnsi="Times New Roman" w:cs="Times New Roman"/>
          <w:b/>
          <w:sz w:val="24"/>
          <w:szCs w:val="24"/>
        </w:rPr>
        <w:t>LINH KIỆN SỬ DỤNG (DEMO)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670"/>
        <w:gridCol w:w="1791"/>
        <w:gridCol w:w="5614"/>
        <w:gridCol w:w="5670"/>
      </w:tblGrid>
      <w:tr w:rsidR="005702DD" w:rsidRPr="00592BFE" w:rsidTr="001C1523">
        <w:tc>
          <w:tcPr>
            <w:tcW w:w="670" w:type="dxa"/>
          </w:tcPr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91" w:type="dxa"/>
          </w:tcPr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b/>
                <w:sz w:val="24"/>
                <w:szCs w:val="24"/>
              </w:rPr>
              <w:t>TÊN LINH KIỆN</w:t>
            </w:r>
          </w:p>
        </w:tc>
        <w:tc>
          <w:tcPr>
            <w:tcW w:w="5614" w:type="dxa"/>
          </w:tcPr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b/>
                <w:sz w:val="24"/>
                <w:szCs w:val="24"/>
              </w:rPr>
              <w:t>MÔ TẢ CHỨC NĂNG</w:t>
            </w:r>
          </w:p>
        </w:tc>
        <w:tc>
          <w:tcPr>
            <w:tcW w:w="5670" w:type="dxa"/>
          </w:tcPr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b/>
                <w:sz w:val="24"/>
                <w:szCs w:val="24"/>
              </w:rPr>
              <w:t>THÔNG TIN LINH KIỆN</w:t>
            </w:r>
          </w:p>
        </w:tc>
      </w:tr>
      <w:tr w:rsidR="005702DD" w:rsidRPr="00592BFE" w:rsidTr="001C1523">
        <w:tc>
          <w:tcPr>
            <w:tcW w:w="670" w:type="dxa"/>
          </w:tcPr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</w:tcPr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HLK-LD2410 5V Radar 24GHz</w:t>
            </w:r>
          </w:p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4" w:type="dxa"/>
          </w:tcPr>
          <w:p w:rsidR="005702DD" w:rsidRPr="00592BFE" w:rsidRDefault="005702DD" w:rsidP="005702D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qua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thái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tiêu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C1523" w:rsidRPr="00592BFE" w:rsidRDefault="005702DD" w:rsidP="005702DD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Nguyên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hoạt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độ</w:t>
            </w:r>
            <w:r w:rsidR="001C1523"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ng</w:t>
            </w:r>
            <w:proofErr w:type="spellEnd"/>
            <w:r w:rsidR="001C1523"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:</w:t>
            </w:r>
          </w:p>
          <w:p w:rsidR="005702DD" w:rsidRPr="00592BFE" w:rsidRDefault="001C1523" w:rsidP="005702D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ử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bước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sóng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tục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chế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tần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FMCW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tiêu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đã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đó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xử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tín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radar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thuật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toán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cơ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chính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cơ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trạng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thái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ngồi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yên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đứng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yên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nín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thở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..</w:t>
            </w:r>
            <w:proofErr w:type="gramEnd"/>
            <w:r w:rsidR="005702DD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). </w:t>
            </w:r>
          </w:p>
          <w:p w:rsidR="005702DD" w:rsidRPr="00592BFE" w:rsidRDefault="005702DD" w:rsidP="005702D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Ngoài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còn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tính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phụ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khoảng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tiêu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702DD" w:rsidRPr="00592BFE" w:rsidRDefault="005702DD" w:rsidP="005702DD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diện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: </w:t>
            </w:r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Hai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chân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UART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đọc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ghi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nhạy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mềm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hãng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chân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I/O 3.3V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relay, SSR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bật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nhau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vi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đọc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702DD" w:rsidRPr="00592BFE" w:rsidRDefault="005702DD" w:rsidP="005702DD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Ưu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điểm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: </w:t>
            </w:r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nhạy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loại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hồng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ngoại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radar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ngay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ngồi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yên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xuất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tín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tục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quãng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riêng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mềm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hãng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xem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tùy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nhạy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mục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đích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nhau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khả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xuyên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vật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phù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giấu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kín</w:t>
            </w:r>
            <w:proofErr w:type="spellEnd"/>
          </w:p>
          <w:p w:rsidR="005702DD" w:rsidRPr="00592BFE" w:rsidRDefault="005702DD" w:rsidP="005702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những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ưu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điểm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trên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HLK-LD2410 5V Radar 24GHz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mở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cửa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chào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chống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trộm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bật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đèn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hành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phòng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vệ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…</w:t>
            </w:r>
          </w:p>
        </w:tc>
        <w:tc>
          <w:tcPr>
            <w:tcW w:w="5670" w:type="dxa"/>
          </w:tcPr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lastRenderedPageBreak/>
              <w:t>Cảm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radar mini 24GHz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độ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nhạy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cao</w:t>
            </w:r>
            <w:proofErr w:type="spellEnd"/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Nhận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diện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trạng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thái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chuyển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động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và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bị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động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của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con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người</w:t>
            </w:r>
            <w:proofErr w:type="spellEnd"/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Tần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số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làm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việc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24GHz ~ 24.25Ghz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Điện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áp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cấp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5 ~ 12VDC (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khuyên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dùng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5V)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Khoảng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cách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cảm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0.7m ~ 6m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Góc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làm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việc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60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độ</w:t>
            </w:r>
            <w:proofErr w:type="spellEnd"/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Giao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diện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UART, IO 3.3V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Tín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hiệu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ra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3.3V</w:t>
            </w:r>
          </w:p>
          <w:p w:rsidR="005702DD" w:rsidRPr="00592BFE" w:rsidRDefault="005702DD" w:rsidP="005702DD">
            <w:pPr>
              <w:numPr>
                <w:ilvl w:val="1"/>
                <w:numId w:val="1"/>
              </w:numPr>
              <w:shd w:val="clear" w:color="auto" w:fill="FFFFFF"/>
              <w:ind w:left="96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Xuất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mức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cao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3.3V: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khi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có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người</w:t>
            </w:r>
            <w:proofErr w:type="spellEnd"/>
          </w:p>
          <w:p w:rsidR="005702DD" w:rsidRPr="00592BFE" w:rsidRDefault="005702DD" w:rsidP="005702DD">
            <w:pPr>
              <w:numPr>
                <w:ilvl w:val="1"/>
                <w:numId w:val="1"/>
              </w:numPr>
              <w:shd w:val="clear" w:color="auto" w:fill="FFFFFF"/>
              <w:spacing w:before="60"/>
              <w:ind w:left="96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Xuất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mức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thấp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0V: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khi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không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có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người</w:t>
            </w:r>
            <w:proofErr w:type="spellEnd"/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Trọng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lượng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~1g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Kích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thước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35.5x7x3.5mm (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dài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x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rộng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x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cao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)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Nhiệt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độ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làm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việc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-40°C ~ 85°C</w:t>
            </w:r>
          </w:p>
          <w:p w:rsidR="005702DD" w:rsidRPr="00592BFE" w:rsidRDefault="005702DD" w:rsidP="005702DD">
            <w:pPr>
              <w:numPr>
                <w:ilvl w:val="0"/>
                <w:numId w:val="1"/>
              </w:numPr>
              <w:shd w:val="clear" w:color="auto" w:fill="FFFFFF"/>
              <w:spacing w:before="60"/>
              <w:ind w:left="48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Bộ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sản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phẩm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gồm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1 x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Cảm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hiện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diện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con </w:t>
            </w:r>
            <w:proofErr w:type="spellStart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người</w:t>
            </w:r>
            <w:proofErr w:type="spellEnd"/>
            <w:r w:rsidRPr="00592BF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HLK-LD2410</w:t>
            </w:r>
          </w:p>
          <w:p w:rsidR="005702DD" w:rsidRPr="00592BFE" w:rsidRDefault="005702DD" w:rsidP="00570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2DD" w:rsidRPr="00592BFE" w:rsidTr="001C1523">
        <w:tc>
          <w:tcPr>
            <w:tcW w:w="670" w:type="dxa"/>
          </w:tcPr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91" w:type="dxa"/>
          </w:tcPr>
          <w:p w:rsidR="001C1523" w:rsidRPr="00592BFE" w:rsidRDefault="001C1523" w:rsidP="001C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le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cắt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Module Relay 1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Kênh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5V-220V 10A </w:t>
            </w:r>
          </w:p>
          <w:p w:rsidR="001C1523" w:rsidRPr="00592BFE" w:rsidRDefault="001C1523" w:rsidP="001C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4" w:type="dxa"/>
          </w:tcPr>
          <w:p w:rsidR="005702DD" w:rsidRPr="00592BFE" w:rsidRDefault="001C1523" w:rsidP="001C15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Đóng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đèn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670" w:type="dxa"/>
          </w:tcPr>
          <w:p w:rsidR="001C1523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Tính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DC5V </w:t>
            </w:r>
          </w:p>
          <w:p w:rsidR="001C1523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Mặc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</w:p>
          <w:p w:rsidR="001C1523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+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Bật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0,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 </w:t>
            </w:r>
          </w:p>
          <w:p w:rsidR="001C1523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Thay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đổi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J1, J0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thay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đổi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C1523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điểm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relay 220V 10A </w:t>
            </w:r>
            <w:proofErr w:type="gram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Lưu</w:t>
            </w:r>
            <w:proofErr w:type="spellEnd"/>
            <w:proofErr w:type="gram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ý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điểm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phải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NC :</w:t>
            </w:r>
            <w:proofErr w:type="gram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đóng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NO: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mở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C1523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VCC, GND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VSS</w:t>
            </w:r>
            <w:proofErr w:type="gram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 ,</w:t>
            </w:r>
            <w:proofErr w:type="gram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VSS-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Relay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Nếu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muốn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thì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riêng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702DD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Nếu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cần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Jump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Chốt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2.54MM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VCC -- VSS+ ; GND -- VSS-</w:t>
            </w:r>
          </w:p>
        </w:tc>
      </w:tr>
      <w:tr w:rsidR="005702DD" w:rsidRPr="00592BFE" w:rsidTr="001C1523">
        <w:tc>
          <w:tcPr>
            <w:tcW w:w="670" w:type="dxa"/>
          </w:tcPr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</w:tcPr>
          <w:p w:rsidR="005702DD" w:rsidRPr="00592BFE" w:rsidRDefault="001C1523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Vi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atmega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  <w:tc>
          <w:tcPr>
            <w:tcW w:w="5614" w:type="dxa"/>
          </w:tcPr>
          <w:p w:rsidR="005702DD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– le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đếm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:rsidR="005702DD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: 2.7 – 5V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I/O: 32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Analog:8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Timer: 3</w:t>
            </w:r>
          </w:p>
          <w:p w:rsidR="001C1523" w:rsidRPr="00592BFE" w:rsidRDefault="001C1523" w:rsidP="001C152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: UART, I2C, SPI</w:t>
            </w:r>
          </w:p>
          <w:p w:rsidR="001C1523" w:rsidRPr="00592BFE" w:rsidRDefault="001C1523" w:rsidP="001C152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2DD" w:rsidRPr="00592BFE" w:rsidTr="001C1523">
        <w:tc>
          <w:tcPr>
            <w:tcW w:w="670" w:type="dxa"/>
          </w:tcPr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91" w:type="dxa"/>
          </w:tcPr>
          <w:p w:rsidR="005A1B24" w:rsidRPr="00592BFE" w:rsidRDefault="005A1B24" w:rsidP="005A1B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Đèn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sợi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đốt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25W</w:t>
            </w:r>
          </w:p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4" w:type="dxa"/>
          </w:tcPr>
          <w:p w:rsidR="005702DD" w:rsidRPr="00592BFE" w:rsidRDefault="005A1B24" w:rsidP="005A1B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5670" w:type="dxa"/>
          </w:tcPr>
          <w:p w:rsidR="005702DD" w:rsidRPr="00592BFE" w:rsidRDefault="005A1B24" w:rsidP="005A1B2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25W – 220V</w:t>
            </w:r>
          </w:p>
        </w:tc>
      </w:tr>
      <w:tr w:rsidR="005702DD" w:rsidRPr="00592BFE" w:rsidTr="001C1523">
        <w:tc>
          <w:tcPr>
            <w:tcW w:w="670" w:type="dxa"/>
          </w:tcPr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1" w:type="dxa"/>
          </w:tcPr>
          <w:p w:rsidR="005A1B24" w:rsidRPr="00592BFE" w:rsidRDefault="005A1B24" w:rsidP="005A1B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trở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</w:p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4" w:type="dxa"/>
          </w:tcPr>
          <w:p w:rsidR="005702DD" w:rsidRPr="00592BFE" w:rsidRDefault="005A1B24" w:rsidP="005A1B2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=&gt;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5702DD" w:rsidRPr="00592BFE" w:rsidRDefault="005A1B24" w:rsidP="005A1B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</w:tr>
      <w:tr w:rsidR="005702DD" w:rsidRPr="00592BFE" w:rsidTr="001C1523">
        <w:tc>
          <w:tcPr>
            <w:tcW w:w="670" w:type="dxa"/>
          </w:tcPr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B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1" w:type="dxa"/>
          </w:tcPr>
          <w:p w:rsidR="005A1B24" w:rsidRPr="00592BFE" w:rsidRDefault="005A1B24" w:rsidP="005A1B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XH – M131 DC</w:t>
            </w:r>
          </w:p>
          <w:p w:rsidR="005702DD" w:rsidRPr="00592BFE" w:rsidRDefault="005702DD" w:rsidP="001C1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4" w:type="dxa"/>
          </w:tcPr>
          <w:p w:rsidR="005A1B24" w:rsidRPr="00592BFE" w:rsidRDefault="005A1B24" w:rsidP="001C1523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Mô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tả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: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Phiên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bản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ổn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mô-đun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12V,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chức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trì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hoãn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kéo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rơle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92BFE" w:rsidRPr="00592BFE" w:rsidRDefault="005A1B24" w:rsidP="00592BFE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: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qua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điểm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van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chiết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kèm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tất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loại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tất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loại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đèn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bật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ban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đêm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ban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ngày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hóa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592BFE" w:rsidRPr="00592BFE" w:rsidRDefault="005A1B24" w:rsidP="001C1523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Đặc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điểm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: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trở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kèm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tải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trực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nhạy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bit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phân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khởi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rơle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lập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chiết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này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mô-đun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rơle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này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rơle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12V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kế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bóng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dẫn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bảng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ổn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cậ</w:t>
            </w:r>
            <w:r w:rsidR="00592BFE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proofErr w:type="spellEnd"/>
            <w:r w:rsidR="00592BFE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92BFE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="00592BFE"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truyền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optocoupler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bảo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vệ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chip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cậy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bốn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lỗ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cố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dễ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dàng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lắp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đặt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92BFE" w:rsidRPr="00592BFE" w:rsidRDefault="005A1B24" w:rsidP="001C1523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bookmarkStart w:id="0" w:name="_GoBack"/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lastRenderedPageBreak/>
              <w:t>Hướng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dẫn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: </w:t>
            </w:r>
          </w:p>
          <w:bookmarkEnd w:id="0"/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Mô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đun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nhạy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cảm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nhất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92BFE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đặt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khởi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bình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bật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bên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ngoài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trị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ngưỡng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đã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đặt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le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sẽ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đóng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702DD" w:rsidRPr="00592BFE" w:rsidRDefault="005A1B24" w:rsidP="00592BF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Tương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đương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tắc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khiển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kép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cuộn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dây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rơle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phổ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dẫn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vô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tuyến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phổ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biến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đóng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dẫn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cuối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670" w:type="dxa"/>
          </w:tcPr>
          <w:p w:rsidR="005A1B24" w:rsidRPr="00592BFE" w:rsidRDefault="005A1B24" w:rsidP="005A1B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áp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12V DC </w:t>
            </w:r>
          </w:p>
          <w:p w:rsidR="005A1B24" w:rsidRPr="00592BFE" w:rsidRDefault="005A1B24" w:rsidP="005A1B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Dòng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&gt; 100mA </w:t>
            </w:r>
          </w:p>
          <w:p w:rsidR="005702DD" w:rsidRPr="00592BFE" w:rsidRDefault="005A1B24" w:rsidP="005A1B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Tải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250V 10A AC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30V 10A DC (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dòng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điện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nhỏ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phạm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vi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này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592B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5702DD" w:rsidRPr="00592BFE" w:rsidRDefault="005702DD" w:rsidP="005702D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702DD" w:rsidRPr="00592BFE" w:rsidSect="005702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A1F"/>
    <w:multiLevelType w:val="hybridMultilevel"/>
    <w:tmpl w:val="D27A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4A11"/>
    <w:multiLevelType w:val="hybridMultilevel"/>
    <w:tmpl w:val="F938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B72"/>
    <w:multiLevelType w:val="hybridMultilevel"/>
    <w:tmpl w:val="4172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4A7F"/>
    <w:multiLevelType w:val="hybridMultilevel"/>
    <w:tmpl w:val="6C56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A3CD8"/>
    <w:multiLevelType w:val="hybridMultilevel"/>
    <w:tmpl w:val="F8543424"/>
    <w:lvl w:ilvl="0" w:tplc="7678559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15541"/>
    <w:multiLevelType w:val="hybridMultilevel"/>
    <w:tmpl w:val="AF74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55B63"/>
    <w:multiLevelType w:val="hybridMultilevel"/>
    <w:tmpl w:val="37E8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C6694"/>
    <w:multiLevelType w:val="hybridMultilevel"/>
    <w:tmpl w:val="DB32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A60CE"/>
    <w:multiLevelType w:val="hybridMultilevel"/>
    <w:tmpl w:val="FB4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942FB"/>
    <w:multiLevelType w:val="multilevel"/>
    <w:tmpl w:val="D78C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21A1E"/>
    <w:multiLevelType w:val="hybridMultilevel"/>
    <w:tmpl w:val="4E7C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DD"/>
    <w:rsid w:val="001C1523"/>
    <w:rsid w:val="002755EF"/>
    <w:rsid w:val="005635E5"/>
    <w:rsid w:val="005702DD"/>
    <w:rsid w:val="00592BFE"/>
    <w:rsid w:val="005A1B24"/>
    <w:rsid w:val="00721A9D"/>
    <w:rsid w:val="008154F2"/>
    <w:rsid w:val="00A86E3B"/>
    <w:rsid w:val="00C14172"/>
    <w:rsid w:val="00C50F9C"/>
    <w:rsid w:val="00D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2D6E"/>
  <w15:chartTrackingRefBased/>
  <w15:docId w15:val="{A68540DD-A416-4979-9D22-E2794C22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02D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2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PHI HUNG 20181506</dc:creator>
  <cp:keywords/>
  <dc:description/>
  <cp:lastModifiedBy>NGUYEN BA PHI HUNG 20181506</cp:lastModifiedBy>
  <cp:revision>2</cp:revision>
  <dcterms:created xsi:type="dcterms:W3CDTF">2023-04-06T01:24:00Z</dcterms:created>
  <dcterms:modified xsi:type="dcterms:W3CDTF">2023-04-06T01:53:00Z</dcterms:modified>
</cp:coreProperties>
</file>