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Sarabun" w:cs="Sarabun" w:eastAsia="Sarabun" w:hAnsi="Sarabun"/>
          <w:b/>
          <w:bCs/>
          <w:color w:val="1E293B"/>
          <w:sz w:val="64"/>
          <w:szCs w:val="64"/>
        </w:rPr>
        <w:t xml:space="preserve">BENZ</w:t>
      </w:r>
    </w:p>
    <w:p>
      <w:pPr>
        <w:spacing w:after="60"/>
        <w:jc w:val="center"/>
      </w:pPr>
      <w:r>
        <w:rPr>
          <w:rFonts w:ascii="Sarabun" w:cs="Sarabun" w:eastAsia="Sarabun" w:hAnsi="Sarabun"/>
          <w:b/>
          <w:bCs/>
          <w:color w:val="2563EB"/>
          <w:sz w:val="30"/>
          <w:szCs w:val="30"/>
        </w:rPr>
        <w:t xml:space="preserve">ระบบติดตามใบกำกับภาษีซื้อและใบหัก ณ ที่จ่าย</w:t>
      </w:r>
    </w:p>
    <w:p>
      <w:pPr>
        <w:spacing w:after="300"/>
        <w:jc w:val="center"/>
      </w:pPr>
      <w:r>
        <w:rPr>
          <w:rFonts w:ascii="Sarabun" w:cs="Sarabun" w:eastAsia="Sarabun" w:hAnsi="Sarabun"/>
          <w:color w:val="475569"/>
          <w:sz w:val="24"/>
          <w:szCs w:val="24"/>
        </w:rPr>
        <w:t xml:space="preserve">เอกสารสรุปสำหรับการรีวิวโปรเจกต์ (Project Review Summary)</w:t>
      </w:r>
    </w:p>
    <w:p>
      <w:pPr>
        <w:spacing w:after="40"/>
        <w:jc w:val="center"/>
      </w:pPr>
      <w:r>
        <w:rPr>
          <w:rFonts w:ascii="Sarabun" w:cs="Sarabun" w:eastAsia="Sarabun" w:hAnsi="Sarabun"/>
          <w:color w:val="475569"/>
          <w:sz w:val="20"/>
          <w:szCs w:val="20"/>
        </w:rPr>
        <w:t xml:space="preserve">วันที่จัดทำ: 2 กันยายน 2569</w:t>
      </w:r>
    </w:p>
    <w:p>
      <w:pPr>
        <w:spacing w:after="40"/>
        <w:jc w:val="center"/>
      </w:pPr>
      <w:r>
        <w:rPr>
          <w:rFonts w:ascii="Sarabun" w:cs="Sarabun" w:eastAsia="Sarabun" w:hAnsi="Sarabun"/>
          <w:color w:val="475569"/>
          <w:sz w:val="20"/>
          <w:szCs w:val="20"/>
        </w:rPr>
        <w:t xml:space="preserve">ผู้จัดทำ/ผู้รับผิดชอบ: Ben (newbenz74@gmail.com)</w:t>
      </w:r>
    </w:p>
    <w:p>
      <w:pPr>
        <w:spacing w:after="400"/>
        <w:jc w:val="center"/>
      </w:pPr>
      <w:r>
        <w:rPr>
          <w:rFonts w:ascii="Sarabun" w:cs="Sarabun" w:eastAsia="Sarabun" w:hAnsi="Sarabun"/>
          <w:color w:val="475569"/>
          <w:sz w:val="20"/>
          <w:szCs w:val="20"/>
        </w:rPr>
        <w:t xml:space="preserve">URL: tax-invoice-tracker-r7vg.vercel.app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Sarabun" w:cs="Sarabun" w:eastAsia="Sarabun" w:hAnsi="Sarabun"/>
          <w:b/>
          <w:bCs/>
          <w:color w:val="1E293B"/>
        </w:rPr>
        <w:t xml:space="preserve">1. Project Summary — สรุปภาพรวมและวัตถุประสงค์ของโปรเจกต์</w:t>
      </w:r>
    </w:p>
    <w:p>
      <w:pPr>
        <w:spacing w:after="160" w:before="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BENZ คือระบบติดตามใบกำกับภาษีซื้อและใบหัก ณ ที่จ่าย (Tax Invoice &amp; Withholding Tax Tracker) พัฒนาขึ้นเพื่อทดแทนการทำงานแบบเดิมที่พึ่งพาไฟล์ Excel และเอกสารกระดาษกระจัดกระจายของฝ่ายบัญชี ด้วยระบบกลางบนเว็บที่ให้ทุกคนในทีมเข้าถึงข้อมูลชุดเดียวกันแบบเรียลไทม์ รองรับการทำงานได้พร้อมกันหลายบริษัทในระบบเดียว (multi-tenant) โดยแบ่งสิทธิ์การเข้าถึงข้อมูลตามบริษัทอย่างเข้มงวด</w:t>
      </w:r>
    </w:p>
    <w:p>
      <w:pPr>
        <w:spacing w:after="100" w:before="0"/>
      </w:pPr>
      <w:r>
        <w:rPr>
          <w:rFonts w:ascii="Sarabun" w:cs="Sarabun" w:eastAsia="Sarabun" w:hAnsi="Sarabun"/>
          <w:b/>
          <w:bCs/>
          <w:color w:val="1E293B"/>
          <w:sz w:val="22"/>
          <w:szCs w:val="22"/>
        </w:rPr>
        <w:t xml:space="preserve">วัตถุประสงค์หลัก: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ลดความผิดพลาดจากการกรอกข้อมูลซ้ำและการคำนวณด้วยมือ (ภาษีหัก ณ ที่จ่าย, ยอดสุทธิที่ต้องจ่าย, เลขที่ใบหักฯ)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ติดตามสถานะใบกำกับภาษีซื้อโดยอัตโนมัติ ป้องกันการยื่นภาษีซื้อเกินกำหนดเวลา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ออกหนังสือรับรองการหักภาษี ณ ที่จ่าย (50 ทวิ) เป็น PDF พร้อมเลขที่รันอัตโนมัติ และส่งให้คู่ค้าทางอีเมลได้ในคลิกเดียว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กระทบยอดรายการธนาคารกับบัญชีแยกประเภท (GL) ได้เร็วขึ้นด้วยการจับคู่อัตโนมัติ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แยกข้อมูลแต่ละบริษัทออกจากกันอย่างปลอดภัยในระบบเดียว พร้อมช่องทางให้ลูกค้าภายนอกดูใบหักฯ ของตัวเองได้โดยไม่ต้องเข้าระบบภายใน</w:t>
      </w:r>
    </w:p>
    <w:p>
      <w:pPr>
        <w:spacing w:after="100" w:before="120"/>
      </w:pPr>
      <w:r>
        <w:rPr>
          <w:rFonts w:ascii="Sarabun" w:cs="Sarabun" w:eastAsia="Sarabun" w:hAnsi="Sarabun"/>
          <w:b/>
          <w:bCs/>
          <w:color w:val="1E293B"/>
          <w:sz w:val="22"/>
          <w:szCs w:val="22"/>
        </w:rPr>
        <w:t xml:space="preserve">เทคโนโลยีหลักที่ใช้: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Frontend/Backend: Next.js 16 (App Router) + React 19 +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ฐานข้อมูล/Auth: Supabase (PostgreSQL, Authentication, Row Level Security, Storage)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UI: Tailwind CSS v4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โฮสติ้ง: Vercel (Production URL: tax-invoice-tracker-r7vg.vercel.app)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อีเมล: Gmail SMTP (nodemailer) สำหรับส่งใบหัก ณ ที่จ่ายอัตโนมัติ</w:t>
      </w:r>
    </w:p>
    <w:p>
      <w:pPr>
        <w:spacing w:after="100" w:before="120"/>
      </w:pPr>
      <w:r>
        <w:rPr>
          <w:rFonts w:ascii="Sarabun" w:cs="Sarabun" w:eastAsia="Sarabun" w:hAnsi="Sarabun"/>
          <w:b/>
          <w:bCs/>
          <w:color w:val="1E293B"/>
          <w:sz w:val="22"/>
          <w:szCs w:val="22"/>
        </w:rPr>
        <w:t xml:space="preserve">สถานะการใช้งานปัจจุบัน (ข้อมูลจริงในระบบ ณ วันที่จัดทำเอกสาร):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9 บริษัทที่ลงทะเบียนใช้งานในระบบ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ใบกำกับภาษีซื้อบันทึกแล้ว 92 รายการ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คู่ค้า/ผู้ติดต่อในสมุดรายชื่อ 188 ราย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ใบหัก ณ ที่จ่ายออกแล้ว 10 ฉบับ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รอบกระทบยอดธนาคารที่บันทึกไว้ 1 รอบ (รายการธนาคาร 365 รายการ, รายการ GL 280 รายการ, จับคู่แล้ว 273 คู่)</w:t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Sarabun" w:cs="Sarabun" w:eastAsia="Sarabun" w:hAnsi="Sarabun"/>
          <w:b/>
          <w:bCs/>
          <w:color w:val="1E293B"/>
        </w:rPr>
        <w:t xml:space="preserve">2. Before–After Workflow — ขั้นตอนการทำงานก่อนและหลังใช้เครื่องมือ</w:t>
      </w:r>
    </w:p>
    <w:p>
      <w:pPr>
        <w:spacing w:after="160" w:before="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เปรียบเทียบวิธีการทำงานของฝ่ายบัญชีก่อนและหลังนำระบบ BENZ มาใช้งาน แบ่งตามงานหลัก 6 ด้าน: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600"/>
      </w:tblGrid>
      <w:tr>
        <w:trPr>
          <w:cantSplit/>
          <w:tblHeader/>
        </w:trPr>
        <w:tc>
          <w:tcPr>
            <w:tcW w:type="dxa" w:w="24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งาน</w:t>
            </w:r>
          </w:p>
        </w:tc>
        <w:tc>
          <w:tcPr>
            <w:tcW w:type="dxa" w:w="36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ก่อนใช้ระบบ (Before)</w:t>
            </w:r>
          </w:p>
        </w:tc>
        <w:tc>
          <w:tcPr>
            <w:tcW w:type="dxa" w:w="36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หลังใช้ระบบ (After)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บันทึก/ติดตามใบกำกับภาษีซื้อ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จดบันทึกในไฟล์ Excel แยกไฟล์ต่อเดือน ต้องไล่เช็คด้วยตาว่าใบไหนใกล้ครบกำหนด เสี่ยงยื่นภาษีซื้อเกินเวลาโดยไม่รู้ตัว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บันทึกในระบบครั้งเดียว สถานะ (รอรับ/เกินกำหนด/ได้รับแล้ว) อัปเดตอัตโนมัติตามวันที่ พร้อมตัวกรองและรายงานใบที่เกินกำหนด</w:t>
            </w:r>
          </w:p>
        </w:tc>
      </w:tr>
      <w:tr>
        <w:trPr>
          <w:cantSplit/>
        </w:trPr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ออกใบหัก ณ ที่จ่าย</w:t>
            </w:r>
          </w:p>
        </w:tc>
        <w:tc>
          <w:tcPr>
            <w:tcW w:type="dxa" w:w="3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พิมพ์ในโปรแกรม Word/เอกสารกระดาษ กำหนดเลขที่เอกสารเอง เสี่ยงเลขซ้ำหรือเรียงลำดับผิด คำนวณยอดหักภาษีด้วยมือ</w:t>
            </w:r>
          </w:p>
        </w:tc>
        <w:tc>
          <w:tcPr>
            <w:tcW w:type="dxa" w:w="3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ออกจากระบบโดยตรง เลขที่รันอัตโนมัติต่อบริษัท/ประเภทฟอร์ม/เดือนแบบไม่ซ้ำ คำนวณยอดอัตโนมัติ ได้ไฟล์ PDF ทันที และส่งอีเมลแนบไฟล์ให้คู่ค้าได้จากปุ่มเดียว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กระทบยอดธนาคาร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เทียบ statement ธนาคารกับ GL ด้วยมือทีละบรรทัดในไฟล์ Excel ใช้เวลานาน เสี่ยงจับคู่ผิดหรือตกหล่น ไม่มีประวัติเก็บย้อนหลังเป็นระบบ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อัปโหลดไฟล์ทั้งสองฝั่ง ระบบจับคู่อัตโนมัติให้ก่อน แล้วปรับคู่ที่เหลือด้วยมือ (ลากหรือดับเบิลคลิก) เก็บประวัติทุกรอบไว้ค้นดูย้อนหลังได้</w:t>
            </w:r>
          </w:p>
        </w:tc>
      </w:tr>
      <w:tr>
        <w:trPr>
          <w:cantSplit/>
        </w:trPr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ข้อมูลหลายบริษัท</w:t>
            </w:r>
          </w:p>
        </w:tc>
        <w:tc>
          <w:tcPr>
            <w:tcW w:type="dxa" w:w="3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ต้องแยกไฟล์/โฟลเดอร์เองต่อบริษัท เสี่ยงข้อมูลบริษัทหนึ่งปนกับอีกบริษัทหนึ่งหากทำงานพร้อมกันหลายไฟล์</w:t>
            </w:r>
          </w:p>
        </w:tc>
        <w:tc>
          <w:tcPr>
            <w:tcW w:type="dxa" w:w="3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สลับบริษัทได้จากเมนูเดียว ระบบกันข้อมูลแต่ละบริษัทไม่ให้เห็นข้ามกันในระดับฐานข้อมูล (RLS) ไม่ใช่แค่ระดับหน้าจอ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สมุดรายชื่อคู่ค้า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พิมพ์ชื่อ/เลขผู้เสียภาษีซ้ำทุกครั้งที่บันทึกเอกสารใหม่ เสี่ยงพิมพ์ผิด/สะกดไม่ตรงกันในแต่ละไฟล์</w:t>
            </w:r>
          </w:p>
        </w:tc>
        <w:tc>
          <w:tcPr>
            <w:tcW w:type="dxa" w:w="3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บันทึกคู่ค้าไว้ครั้งเดียว เลือกใช้ซ้ำได้ทุกครั้ง นำเข้า/ส่งออกเป็น Excel ได้เป็นชุด</w:t>
            </w:r>
          </w:p>
        </w:tc>
      </w:tr>
      <w:tr>
        <w:trPr>
          <w:cantSplit/>
        </w:trPr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ผู้ใช้ภายนอก (ลูกค้า) ดูใบหักฯ</w:t>
            </w:r>
          </w:p>
        </w:tc>
        <w:tc>
          <w:tcPr>
            <w:tcW w:type="dxa" w:w="3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ต้องส่งไฟล์ PDF ให้ทางอีเมล/Line เป็นรายฉบับ ไม่มีที่ให้ลูกค้าย้อนดูใบเก่าเอง</w:t>
            </w:r>
          </w:p>
        </w:tc>
        <w:tc>
          <w:tcPr>
            <w:tcW w:type="dxa" w:w="3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ลูกค้าที่ได้รับสิทธิ์เข้าพอร์ทัลแยกต่างหาก (/external) ดู/ดาวน์โหลดใบหักฯ ของบริษัทตัวเองย้อนหลังได้เอง โดยเห็นเฉพาะข้อมูลที่ได้รับอนุญาต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Sarabun" w:cs="Sarabun" w:eastAsia="Sarabun" w:hAnsi="Sarabun"/>
          <w:b/>
          <w:bCs/>
          <w:color w:val="1E293B"/>
        </w:rPr>
        <w:t xml:space="preserve">3. Workflow Diagram — แผนภาพแสดงขั้นตอนการทำงาน</w:t>
      </w:r>
    </w:p>
    <w:p>
      <w:pPr>
        <w:spacing w:after="160" w:before="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แผนภาพด้านล่างสรุปขั้นตอนการทำงานหลักของระบบ ตั้งแต่เข้าสู่ระบบ เลือกบริษัท ไปจนถึง 3 กลุ่มงานหลัก (ใบกำกับภาษีซื้อ/ใบหักฯ, กระทบยอดธนาคาร, สมุดรายชื่อ/รายงาน) และช่องทางสำหรับผู้ใช้ภายนอก:</w:t>
      </w:r>
    </w:p>
    <w:p>
      <w:pPr>
        <w:spacing w:after="20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Sarabun" w:cs="Sarabun" w:eastAsia="Sarabun" w:hAnsi="Sarabun"/>
          <w:b/>
          <w:bCs/>
          <w:color w:val="1E293B"/>
        </w:rPr>
        <w:t xml:space="preserve">4. Test Cases &amp; Results — กรณีทดสอบและผลการทดสอบ</w:t>
      </w:r>
    </w:p>
    <w:p>
      <w:pPr>
        <w:spacing w:after="160" w:before="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ระบบมีการทดสอบอัตโนมัติหลายระดับ รันก่อนส่งมอบทุกฟีเจอร์และก่อน deploy ทุกครั้ง ผลการทดสอบล่าสุดสรุปได้ดังนี้: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2200"/>
      </w:tblGrid>
      <w:tr>
        <w:trPr>
          <w:cantSplit/>
          <w:tblHeader/>
        </w:trPr>
        <w:tc>
          <w:tcPr>
            <w:tcW w:type="dxa" w:w="24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ประเภทการทดสอบ</w:t>
            </w:r>
          </w:p>
        </w:tc>
        <w:tc>
          <w:tcPr>
            <w:tcW w:type="dxa" w:w="24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เครื่องมือ</w:t>
            </w:r>
          </w:p>
        </w:tc>
        <w:tc>
          <w:tcPr>
            <w:tcW w:type="dxa" w:w="26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ขอบเขต</w:t>
            </w:r>
          </w:p>
        </w:tc>
        <w:tc>
          <w:tcPr>
            <w:tcW w:type="dxa" w:w="22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ผลล่าสุด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Unit Tests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Vitest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25 ไฟล์ / 501 เทสต์เคส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ผ่านทั้งหมด 501/501 (ล่าสุด 2 ก.ย. 2569)</w:t>
            </w:r>
          </w:p>
        </w:tc>
      </w:tr>
      <w:tr>
        <w:trPr>
          <w:cantSplit/>
        </w:trPr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Type Check</w:t>
            </w:r>
          </w:p>
        </w:tc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TypeScript (tsc --noEmit)</w:t>
            </w:r>
          </w:p>
        </w:tc>
        <w:tc>
          <w:tcPr>
            <w:tcW w:type="dxa" w:w="2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ทั้งโปรเจกต์</w:t>
            </w:r>
          </w:p>
        </w:tc>
        <w:tc>
          <w:tcPr>
            <w:tcW w:type="dxa" w:w="22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ผ่าน ไม่มี type error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Lint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ESLint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ทั้งโปรเจกต์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ผ่าน ไม่มี error/warning</w:t>
            </w:r>
          </w:p>
        </w:tc>
      </w:tr>
      <w:tr>
        <w:trPr>
          <w:cantSplit/>
        </w:trPr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E2E Tests</w:t>
            </w:r>
          </w:p>
        </w:tc>
        <w:tc>
          <w:tcPr>
            <w:tcW w:type="dxa" w:w="2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15 test suite ครอบคลุม workflow หลัก</w:t>
            </w:r>
          </w:p>
        </w:tc>
        <w:tc>
          <w:tcPr>
            <w:tcW w:type="dxa" w:w="22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รันก่อนปล่อยฟีเจอร์ใหญ่แต่ละครั้ง</w:t>
            </w:r>
          </w:p>
        </w:tc>
      </w:tr>
      <w:tr>
        <w:trPr>
          <w:cantSplit/>
        </w:trPr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Manual/DB Verification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SQL rollback dry-run + Supabase Advisors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ทุกครั้งที่แก้ schema/migration (24 migration)</w:t>
            </w:r>
          </w:p>
        </w:tc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ตรวจสอบก่อน apply เข้า production เสมอ</w:t>
            </w:r>
          </w:p>
        </w:tc>
      </w:tr>
    </w:tbl>
    <w:p>
      <w:pPr>
        <w:spacing w:after="100" w:before="260"/>
      </w:pPr>
      <w:r>
        <w:rPr>
          <w:rFonts w:ascii="Sarabun" w:cs="Sarabun" w:eastAsia="Sarabun" w:hAnsi="Sarabun"/>
          <w:b/>
          <w:bCs/>
          <w:color w:val="1E293B"/>
          <w:sz w:val="22"/>
          <w:szCs w:val="22"/>
        </w:rPr>
        <w:t xml:space="preserve">รายละเอียดความครอบคลุมของ Unit Tests (ตัวอย่างโมดูลหลัก จากทั้งหมด 25 ไฟล์):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600"/>
      </w:tblGrid>
      <w:tr>
        <w:trPr>
          <w:cantSplit/>
          <w:tblHeader/>
        </w:trPr>
        <w:tc>
          <w:tcPr>
            <w:tcW w:type="dxa" w:w="34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โมดูล</w:t>
            </w:r>
          </w:p>
        </w:tc>
        <w:tc>
          <w:tcPr>
            <w:tcW w:type="dxa" w:w="16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จำนวนเทสต์</w:t>
            </w:r>
          </w:p>
        </w:tc>
        <w:tc>
          <w:tcPr>
            <w:tcW w:type="dxa" w:w="4600"/>
            <w:shd w:fill="1E29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ตรรกะใบกำกับภาษีซื้อ/ใบหักฯ (invoiceLogic)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77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คำนวณยอดสุทธิ, ตรวจสอบสถานะเกินกำหนด, validation ฟอร์ม</w:t>
            </w:r>
          </w:p>
        </w:tc>
      </w:tr>
      <w:tr>
        <w:trPr>
          <w:cantSplit/>
        </w:trPr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นำเข้าไฟล์คู่ค้า (contactExcelImport)</w:t>
            </w:r>
          </w:p>
        </w:tc>
        <w:tc>
          <w:tcPr>
            <w:tcW w:type="dxa" w:w="1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36</w:t>
            </w:r>
          </w:p>
        </w:tc>
        <w:tc>
          <w:tcPr>
            <w:tcW w:type="dxa" w:w="4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อ่าน/ตรวจสอบไฟล์ Excel สมุดรายชื่อ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นำเข้าใบกำกับภาษีซื้อจาก Excel (excelImport)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62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แปลงวันที่ พ.ศ., ตรวจรูปแบบไฟล์, จับคู่คอลัมน์</w:t>
            </w:r>
          </w:p>
        </w:tc>
      </w:tr>
      <w:tr>
        <w:trPr>
          <w:cantSplit/>
        </w:trPr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ตรรกะสมุดรายชื่อ (contactLogic)</w:t>
            </w:r>
          </w:p>
        </w:tc>
        <w:tc>
          <w:tcPr>
            <w:tcW w:type="dxa" w:w="1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50</w:t>
            </w:r>
          </w:p>
        </w:tc>
        <w:tc>
          <w:tcPr>
            <w:tcW w:type="dxa" w:w="4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validation ข้อมูลคู่ค้า, การจัดรูปแบบ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อ่านไฟล์กระทบยอดธนาคาร (bankReconcileParse)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แปลงไฟล์ statement/GL หลายรูปแบบ</w:t>
            </w:r>
          </w:p>
        </w:tc>
      </w:tr>
      <w:tr>
        <w:trPr>
          <w:cantSplit/>
        </w:trPr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ภาษีซื้อเกินกำหนด (overduePurchaseTaxLogic)</w:t>
            </w:r>
          </w:p>
        </w:tc>
        <w:tc>
          <w:tcPr>
            <w:tcW w:type="dxa" w:w="1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30</w:t>
            </w:r>
          </w:p>
        </w:tc>
        <w:tc>
          <w:tcPr>
            <w:tcW w:type="dxa" w:w="4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คำนวณวันครบกำหนด, การจัดกลุ่มตามเดือน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แปลงตัวเลขเป็นตัวอักษรไทย (thaiBahtText)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24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ใช้พิมพ์จำนวนเงินเป็นตัวหนังสือใน PDF</w:t>
            </w:r>
          </w:p>
        </w:tc>
      </w:tr>
      <w:tr>
        <w:trPr>
          <w:cantSplit/>
        </w:trPr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วันที่ไทย/พ.ศ. (thaiDate)</w:t>
            </w:r>
          </w:p>
        </w:tc>
        <w:tc>
          <w:tcPr>
            <w:tcW w:type="dxa" w:w="1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21</w:t>
            </w:r>
          </w:p>
        </w:tc>
        <w:tc>
          <w:tcPr>
            <w:tcW w:type="dxa" w:w="4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แปลงวันที่ ค.ศ./พ.ศ. สองทาง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ตรรกะใบหัก ณ ที่จ่าย (whtCertificateLogic)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รูปแบบเลขที่เอกสาร, การคำนวณภาษี</w:t>
            </w:r>
          </w:p>
        </w:tc>
      </w:tr>
      <w:tr>
        <w:trPr>
          <w:cantSplit/>
        </w:trPr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สรุปภาษีมูลค่าเพิ่มรายเดือน (vatReportLogic)</w:t>
            </w:r>
          </w:p>
        </w:tc>
        <w:tc>
          <w:tcPr>
            <w:tcW w:type="dxa" w:w="1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17</w:t>
            </w:r>
          </w:p>
        </w:tc>
        <w:tc>
          <w:tcPr>
            <w:tcW w:type="dxa" w:w="4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คำนวณสรุป VAT ซื้อ-ขาย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จับคู่รายการกระทบยอดด้วยมือ (bankReconcileManualMatch)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ตรรกะจับคู่/ยกเลิกจับคู่</w:t>
            </w:r>
          </w:p>
        </w:tc>
      </w:tr>
      <w:tr>
        <w:trPr>
          <w:cantSplit/>
        </w:trPr>
        <w:tc>
          <w:tcPr>
            <w:tcW w:type="dxa" w:w="34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ตรรกะกระทบยอดธนาคาร (bankReconcileLogic)</w:t>
            </w:r>
          </w:p>
        </w:tc>
        <w:tc>
          <w:tcPr>
            <w:tcW w:type="dxa" w:w="1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4600"/>
            <w:shd w:fill="F1F5F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คำนวณยอดรวม, สถานะจับคู่</w:t>
            </w:r>
          </w:p>
        </w:tc>
      </w:tr>
      <w:tr>
        <w:trPr>
          <w:cantSplit/>
        </w:trPr>
        <w:tc>
          <w:tcPr>
            <w:tcW w:type="dxa" w:w="3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อื่นๆ (PDF, อีเมล, บริษัท, export, ผู้ช่วย AI ฯลฯ)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102</w:t>
            </w:r>
          </w:p>
        </w:tc>
        <w:tc>
          <w:tcPr>
            <w:tcW w:type="dxa" w:w="4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ครอบคลุมทุกโมดูลย่อยที่เหลือใน lib/</w:t>
            </w:r>
          </w:p>
        </w:tc>
      </w:tr>
    </w:tbl>
    <w:p>
      <w:pPr>
        <w:spacing w:after="160" w:before="200"/>
      </w:pPr>
      <w:r>
        <w:rPr>
          <w:rFonts w:ascii="Sarabun" w:cs="Sarabun" w:eastAsia="Sarabun" w:hAnsi="Sarabun"/>
          <w:color w:val="1E293B"/>
          <w:sz w:val="22"/>
          <w:szCs w:val="22"/>
        </w:rPr>
        <w:t xml:space="preserve">นอกจากนี้ทุกฟีเจอร์ที่แตะฐานข้อมูลจะทดสอบผ่าน SQL แบบ rollback (BEGIN...ROLLBACK) กับข้อมูลจริงก่อนเขียนจริงเสมอ และตรวจสอบ Supabase Security/Performance Advisors หลังแก้ schema ทุกครั้ง เพื่อจับปัญหาด้าน RLS หรือ performance ตั้งแต่ก่อนใช้งานจริง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Sarabun" w:cs="Sarabun" w:eastAsia="Sarabun" w:hAnsi="Sarabun"/>
          <w:b/>
          <w:bCs/>
          <w:color w:val="1E293B"/>
        </w:rPr>
        <w:t xml:space="preserve">5. Security Information — ข้อมูลด้านความปลอดภัยและสิทธิ์การเข้าถึง</w:t>
      </w:r>
    </w:p>
    <w:p>
      <w:pPr>
        <w:spacing w:after="100" w:before="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5.1 การยืนยันตัวตน (Authentication)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ใช้ Supabase Auth (อีเมล/รหัสผ่าน) สำหรับผู้ใช้ทุกคน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แยกช่องทางล็อกอินเป็น 2 ระบบอิสระต่อกัน: /login สำหรับพนักงานภายใน และ /external/login สำหรับลูกค้าภายนอก — คนละสิทธิ์ คนละขอบเขตข้อมูลกันโดยสิ้นเชิง</w:t>
      </w:r>
    </w:p>
    <w:p>
      <w:pPr>
        <w:spacing w:after="100" w:before="20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5.2 การแบ่งแยกข้อมูลรายบริษัท (Data Isolation)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เปิดใช้ Row Level Security (RLS) ครบทั้ง 12 ตารางหลักในฐานข้อมูล ไม่มีตารางใดเปิดกว้างแบบไม่กรองสิทธิ์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ทุกคำสั่งอ่าน/เขียนข้อมูลถูกกรองผ่านฟังก์ชัน is_company_member() ที่ตรวจสอบว่า auth.uid() ของผู้ใช้ปัจจุบันเป็นสมาชิกของบริษัทที่ร้องขอข้อมูลจริงหรือไม่ — บังคับใช้ที่ระดับฐานข้อมูล ไม่ใช่แค่ซ่อนปุ่มในหน้าเว็บ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ผู้ใช้ที่ไม่ได้เป็นสมาชิกของบริษัทใดเลย จะไม่สามารถอ่านข้อมูลบริษัทใดๆ ได้เลยแม้จะยิง request ตรงมาที่ API ก็ตาม</w:t>
      </w:r>
    </w:p>
    <w:p>
      <w:pPr>
        <w:spacing w:after="100" w:before="20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5.3 สิทธิ์ผู้ดูแลระบบ (Admin Control)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การอนุมัติสมาชิกใหม่เข้าบริษัทจำกัดให้ทำได้เฉพาะบัญชีแอดมิน (Ben) เพียงคนเดียวเท่านั้น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บังคับด้วยฟังก์ชันฝั่งเซิร์ฟเวอร์ (SECURITY DEFINER) ที่เช็ค auth.uid() เทียบกับ user id ของแอดมินตรงๆ ก่อนอนุญาตทุกครั้ง — ต่อให้เรียก API ตรงข้ามหน้าเว็บก็ยังถูกปฏิเสธถ้าไม่ใช่แอดมิน</w:t>
      </w:r>
    </w:p>
    <w:p>
      <w:pPr>
        <w:spacing w:after="100" w:before="20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5.4 พอร์ทัลผู้ใช้ภายนอก (External Viewer)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ผู้ใช้ภายนอกสมัครเองผ่าน /external/login ได้ แต่จะยังไม่เห็นข้อมูลใดๆ จนกว่าแอดมินจะให้สิทธิ์เป็นรายบริษัท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เห็นได้เฉพาะใบหัก ณ ที่จ่ายของบริษัทที่ได้รับอนุญาตเท่านั้น มองไม่เห็นฟีเจอร์อื่นของระบบภายในเลย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แอดมินถอนสิทธิ์รายบริษัทได้ทันทีทุกเมื่อ โดยไม่ต้องลบบัญชีผู้ใช้ทิ้ง</w:t>
      </w:r>
    </w:p>
    <w:p>
      <w:pPr>
        <w:spacing w:after="100" w:before="20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5.5 การจัดการข้อมูลลับ (Secrets)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คีย์ Supabase และ Gmail App Password เก็บเป็น Environment Variables เท่านั้น ไม่ถูก commit เข้า 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ต้องตั้งค่าแยกกันระหว่างเครื่อง dev (.env.local) กับเซิร์ฟเวอร์ production บน Vercel (Project Settings &gt; Environment Variables) — เป็นจุดที่ต้องตรวจสอบให้ตรงกันทุกครั้งที่เพิ่มตัวแปรใหม่</w:t>
      </w:r>
    </w:p>
    <w:p>
      <w:pPr>
        <w:spacing w:after="100" w:before="200"/>
      </w:pPr>
      <w:r>
        <w:rPr>
          <w:rFonts w:ascii="Sarabun" w:cs="Sarabun" w:eastAsia="Sarabun" w:hAnsi="Sarabun"/>
          <w:b/>
          <w:bCs/>
          <w:color w:val="2563EB"/>
          <w:sz w:val="23"/>
          <w:szCs w:val="23"/>
        </w:rPr>
        <w:t xml:space="preserve">5.6 ผลตรวจสอบล่าสุดจาก Supabase Security Advisor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พบคำเตือนทั้งหมด 8 รายการ — 7 รายการเป็นฟังก์ชัน SECURITY DEFINER ที่ตรวจสิทธิ์ auth.uid() ภายในตัวเองอยู่แล้ว (เช่น approve_member, grant/revoke_external_wht_viewer_company) จึงเป็นพฤติกรรมที่ตั้งใจออกแบบไว้ ไม่ใช่ช่องโหว่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1 รายการเป็นข้อเสนอแนะที่ยังไม่ได้เปิดใช้: "Leaked Password Protection" (เช็ครหัสผ่านที่รั่วไหลกับฐานข้อมูล HaveIBeenPwned) — แนะนำให้เปิดใช้เพิ่มความปลอดภัยของบัญชีผู้ใช้</w:t>
      </w:r>
    </w:p>
    <w:p>
      <w:pPr>
        <w:spacing w:after="100" w:before="200"/>
      </w:pPr>
      <w:r>
        <w:rPr>
          <w:rFonts w:ascii="Sarabun" w:cs="Sarabun" w:eastAsia="Sarabun" w:hAnsi="Sarabun"/>
          <w:b/>
          <w:bCs/>
          <w:color w:val="DC2626"/>
          <w:sz w:val="23"/>
          <w:szCs w:val="23"/>
        </w:rPr>
        <w:t xml:space="preserve">5.7 งานด้านความปลอดภัยที่อยู่ระหว่างดำเนินการ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arabun" w:cs="Sarabun" w:eastAsia="Sarabun" w:hAnsi="Sarabun"/>
          <w:color w:val="334155"/>
          <w:sz w:val="21"/>
          <w:szCs w:val="21"/>
        </w:rPr>
        <w:t xml:space="preserve">ตัวแปร GMAIL_USER/GMAIL_APP_PASSWORD สำหรับส่งอีเมลใบหักฯ ยังตั้งค่าไว้เฉพาะบนเครื่อง dev เท่านั้น อยู่ระหว่างนำไปตั้งค่าเพิ่มในสภาพแวดล้อม production บน Vercel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180" w:before="360"/>
      </w:pPr>
      <w:r>
        <w:rPr>
          <w:rFonts w:ascii="Sarabun" w:cs="Sarabun" w:eastAsia="Sarabun" w:hAnsi="Sarabun"/>
          <w:b/>
          <w:bCs/>
          <w:color w:val="1E293B"/>
        </w:rPr>
        <w:t xml:space="preserve">6. Owner — ผู้รับผิดชอบหลักของโปรเจกต์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rPr>
          <w:cantSplit/>
        </w:trPr>
        <w:tc>
          <w:tcPr>
            <w:tcW w:type="dxa" w:w="2800"/>
            <w:shd w:fill="DBEA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293B"/>
                <w:sz w:val="20"/>
                <w:szCs w:val="20"/>
              </w:rPr>
              <w:t xml:space="preserve">ชื่อผู้รับผิดชอบ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Ben</w:t>
            </w:r>
          </w:p>
        </w:tc>
      </w:tr>
      <w:tr>
        <w:trPr>
          <w:cantSplit/>
        </w:trPr>
        <w:tc>
          <w:tcPr>
            <w:tcW w:type="dxa" w:w="2800"/>
            <w:shd w:fill="DBEA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293B"/>
                <w:sz w:val="20"/>
                <w:szCs w:val="20"/>
              </w:rPr>
              <w:t xml:space="preserve">อีเมล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newbenz74@gmail.com</w:t>
            </w:r>
          </w:p>
        </w:tc>
      </w:tr>
      <w:tr>
        <w:trPr>
          <w:cantSplit/>
        </w:trPr>
        <w:tc>
          <w:tcPr>
            <w:tcW w:type="dxa" w:w="2800"/>
            <w:shd w:fill="DBEA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293B"/>
                <w:sz w:val="20"/>
                <w:szCs w:val="20"/>
              </w:rPr>
              <w:t xml:space="preserve">บทบาท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เจ้าของระบบ / ผู้ดูแลระบบ (Admin) — บัญชีเดียวในระบบที่มีสิทธิ์อนุมัติสมาชิกใหม่, ให้/ถอนสิทธิ์ผู้ใช้ภายนอกรายบริษัท, และตัดสินใจด้านการตั้งค่าระบบทั้งหมด</w:t>
            </w:r>
          </w:p>
        </w:tc>
      </w:tr>
      <w:tr>
        <w:trPr>
          <w:cantSplit/>
        </w:trPr>
        <w:tc>
          <w:tcPr>
            <w:tcW w:type="dxa" w:w="2800"/>
            <w:shd w:fill="DBEAFE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1E293B"/>
                <w:sz w:val="20"/>
                <w:szCs w:val="20"/>
              </w:rPr>
              <w:t xml:space="preserve">ขอบเขตความรับผิดชอบ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color w:val="1E293B"/>
                <w:sz w:val="20"/>
                <w:szCs w:val="20"/>
              </w:rPr>
              <w:t xml:space="preserve">กำหนดทิศทางฟีเจอร์, ตรวจสอบและอนุมัติการเปลี่ยนแปลงฐานข้อมูล (migration) ก่อนนำขึ้นใช้งานจริงทุกครั้ง, ดูแลการตั้งค่าบริษัทและผู้ใช้งานทั้งหมด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arabun" w:cs="Sarabun" w:eastAsia="Sarabun" w:hAnsi="Sarabun"/>
        <w:color w:val="94A3B8"/>
        <w:sz w:val="16"/>
        <w:szCs w:val="16"/>
      </w:rPr>
      <w:t xml:space="preserve">หน้า </w:t>
    </w:r>
    <w:r>
      <w:rPr>
        <w:rFonts w:ascii="Sarabun" w:cs="Sarabun" w:eastAsia="Sarabun" w:hAnsi="Sarabun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94A3B8"/>
        <w:sz w:val="16"/>
        <w:szCs w:val="16"/>
      </w:rPr>
      <w:t xml:space="preserve"> / </w:t>
    </w:r>
    <w:r>
      <w:rPr>
        <w:rFonts w:ascii="Sarabun" w:cs="Sarabun" w:eastAsia="Sarabun" w:hAnsi="Sarabun"/>
        <w:color w:val="94A3B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arabun" w:cs="Sarabun" w:eastAsia="Sarabun" w:hAnsi="Sarabun"/>
        <w:color w:val="94A3B8"/>
        <w:sz w:val="16"/>
        <w:szCs w:val="16"/>
      </w:rPr>
      <w:t xml:space="preserve">BENZ — Tax Invoice &amp; WHT Tracker | เอกสารสรุปสำหรับการรีวิวโปรเจกต์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be08e7c444ac9c0c287c790dbf8802ca4f88a5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2026-09-02T02:35:10.530Z</dcterms:created>
  <dcterms:modified xsi:type="dcterms:W3CDTF">2026-09-02T02:35:10.530Z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