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u w:val="single"/>
        </w:rPr>
      </w:pPr>
      <w:r>
        <w:rPr>
          <w:b/>
          <w:bCs/>
          <w:sz w:val="36"/>
          <w:szCs w:val="36"/>
          <w:u w:val="single"/>
        </w:rPr>
        <w:t>Abstract</w:t>
      </w:r>
    </w:p>
    <w:p>
      <w:pPr>
        <w:pStyle w:val="Normal"/>
        <w:spacing w:lineRule="auto" w:line="240"/>
        <w:rPr>
          <w:sz w:val="28"/>
          <w:szCs w:val="28"/>
        </w:rPr>
      </w:pPr>
      <w:r>
        <w:rPr>
          <w:sz w:val="28"/>
          <w:szCs w:val="28"/>
        </w:rPr>
        <w:t>The process of loaning credit by banks helps individuals and business to grow financially and make large payments and investments upfront that they might not have been able to make by themselves. This helps the economy by maintaining cash flows during the lean periods. However, crediting a loan comes with a risk that the client or the business might not be able to repay the loan in the future leading to loan defaults. To mitigate this issue, banks for a long time have conducted background financial checks on clients manually. In 21</w:t>
      </w:r>
      <w:r>
        <w:rPr>
          <w:sz w:val="28"/>
          <w:szCs w:val="28"/>
          <w:vertAlign w:val="superscript"/>
        </w:rPr>
        <w:t>st</w:t>
      </w:r>
      <w:r>
        <w:rPr>
          <w:sz w:val="28"/>
          <w:szCs w:val="28"/>
        </w:rPr>
        <w:t xml:space="preserve"> century, with adequate data and resources machine learning models can be trained to perform the same task reducing time and effort to make the decision whether to disburse the loan or not.</w:t>
      </w:r>
    </w:p>
    <w:p>
      <w:pPr>
        <w:pStyle w:val="Normal"/>
        <w:spacing w:lineRule="auto" w:line="240"/>
        <w:rPr>
          <w:sz w:val="28"/>
          <w:szCs w:val="28"/>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loans using historical financial data like credit and debit card data, bank account transactions, previous credit history, current bank loans and income of the client.</w:t>
      </w:r>
    </w:p>
    <w:p>
      <w:pPr>
        <w:pStyle w:val="Normal"/>
        <w:spacing w:lineRule="auto" w:line="240"/>
        <w:rPr>
          <w:sz w:val="28"/>
          <w:szCs w:val="28"/>
        </w:rPr>
      </w:pPr>
      <w:r>
        <w:rPr>
          <w:sz w:val="28"/>
          <w:szCs w:val="28"/>
        </w:rPr>
        <w:t>This study makes use of the Credit Risk Model Stability data available on Kaggle provided by the Home Credit finance provider, founded in 1997. The research is a comparative analysis between different types of algorithms in machine learning. Results of this study can be scaled and applied to a real world dataset and holds the immense potential to revolutionise the financial industry.</w:t>
      </w:r>
    </w:p>
    <w:p>
      <w:pPr>
        <w:pStyle w:val="Normal"/>
        <w:spacing w:lineRule="auto" w:line="240"/>
        <w:rPr>
          <w:i/>
          <w:i/>
          <w:iCs/>
          <w:sz w:val="24"/>
          <w:szCs w:val="24"/>
        </w:rPr>
      </w:pPr>
      <w:r>
        <w:rPr>
          <w:i/>
          <w:iCs/>
          <w:sz w:val="24"/>
          <w:szCs w:val="24"/>
        </w:rPr>
        <w:t>Keywords – credit; loan default; gradient-boosting; bayesian-learning; machine-learning</w:t>
        <w:softHyphen/>
      </w:r>
      <w:r>
        <w:br w:type="page"/>
      </w:r>
    </w:p>
    <w:p>
      <w:pPr>
        <w:pStyle w:val="Normal"/>
        <w:spacing w:lineRule="auto" w:line="240" w:before="0" w:after="160"/>
        <w:rPr>
          <w:u w:val="single"/>
        </w:rPr>
      </w:pPr>
      <w:r>
        <w:rPr>
          <w:b/>
          <w:bCs/>
          <w:sz w:val="36"/>
          <w:szCs w:val="36"/>
          <w:u w:val="single"/>
        </w:rPr>
        <w:t>Introduction</w:t>
      </w:r>
    </w:p>
    <w:p>
      <w:pPr>
        <w:pStyle w:val="Normal"/>
        <w:spacing w:lineRule="auto" w:line="240"/>
        <w:rPr>
          <w:sz w:val="28"/>
          <w:szCs w:val="28"/>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240"/>
        <w:rPr>
          <w:sz w:val="28"/>
          <w:szCs w:val="28"/>
        </w:rPr>
      </w:pPr>
      <w:r>
        <w:rPr>
          <w:sz w:val="28"/>
          <w:szCs w:val="28"/>
        </w:rPr>
        <w:t>To address the challenge, this paper leverages a combination of eight different Machine Learning (ML) and Deep Learning (DL) algorithms to predict the likelihood of loan default. These algorithms include Random Forest, Decision Tree, K- Nearest Neighbours, Gaussian Naïve Bayes, XGBoost, Light Gradient Boosting Machine (LGBM) , Ada Boost and Long Short Term Memory(LSTM). Use of machine learning methods in this ever-changing financial sector can be attributed to two major reasons. The first reason is, with the advancement of technology and increasing online transactions, banks are now able collect more data than ever from internal and external data sources which can be easily processed by teaching a computer to do it. The second reason is the success of ML models in similar applications like stock price prediction and credit card fraud detection in the banking sector.</w:t>
      </w:r>
    </w:p>
    <w:p>
      <w:pPr>
        <w:pStyle w:val="Normal"/>
        <w:spacing w:lineRule="auto" w:line="240"/>
        <w:rPr>
          <w:sz w:val="28"/>
          <w:szCs w:val="28"/>
        </w:rPr>
      </w:pPr>
      <w:r>
        <w:rPr>
          <w:sz w:val="28"/>
          <w:szCs w:val="28"/>
        </w:rPr>
        <w:t>This explorative research uses real-world banking data provided by the Home Credit, an international consumer finance provider on Kaggle. The dataset consists of masked data of actual clients split into 32 training and 36 testing csv files. For each client id, there exists a dependent target class having values, 0 (client repays the loan) and 1 (client defaults the loan) that is to be predicted. After collecting the required data, we apply data mining, preprocessing and feature engineering  methods to create a cleaned dataset to be fed to a machine learning model. We compare the performance of 8 ML &amp; DL algorithms, out of which gradient boosting machines achieve nearly 99% accuracy, thus showcasing the promise of scaling these models to a real-world use case in the banking industry.</w:t>
      </w:r>
      <w:r>
        <w:br w:type="page"/>
      </w:r>
    </w:p>
    <w:p>
      <w:pPr>
        <w:pStyle w:val="Normal"/>
        <w:spacing w:lineRule="auto" w:line="240" w:before="0" w:after="160"/>
        <w:rPr>
          <w:u w:val="single"/>
        </w:rPr>
      </w:pPr>
      <w:r>
        <w:rPr>
          <w:b/>
          <w:bCs/>
          <w:sz w:val="36"/>
          <w:szCs w:val="36"/>
          <w:u w:val="single"/>
        </w:rPr>
        <w:t>Literature Survey</w:t>
      </w:r>
    </w:p>
    <w:p>
      <w:pPr>
        <w:pStyle w:val="Normal"/>
        <w:spacing w:lineRule="auto" w:line="240"/>
        <w:rPr>
          <w:sz w:val="28"/>
          <w:szCs w:val="28"/>
        </w:rPr>
      </w:pPr>
      <w:r>
        <w:rPr>
          <w:sz w:val="28"/>
          <w:szCs w:val="28"/>
        </w:rPr>
        <w:t>This section discusses in brief about some of the work that has already been done on creating Machine Learning models using various algorithms to help decrease the credit card default and help the banking authorities and financial firms select an eligible candidate with low credit risk.</w:t>
      </w:r>
    </w:p>
    <w:p>
      <w:pPr>
        <w:pStyle w:val="Normal"/>
        <w:spacing w:lineRule="auto" w:line="240"/>
        <w:rPr>
          <w:sz w:val="28"/>
          <w:szCs w:val="28"/>
        </w:rPr>
      </w:pPr>
      <w:r>
        <w:rPr>
          <w:sz w:val="28"/>
          <w:szCs w:val="28"/>
        </w:rPr>
        <w:t>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Mehul Madaan et al. In [2], compared Random Forest and Decision Tree algorithms to predict loan default. The conclusion of [2] is that Random Forest with an accuracy of 80% outperformed Decision Tree algorithm that gave an accuracy of 73%. The dataset that they used had biased data.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 followed by XGBoost. Theoneste Ndayisenga in his [8] has mentioned the use of Logistic Regression, Decision Tree, Support Vector Machines, Random Forest, KNN, Gausian Naive Bayes, Gradient Boosting and XG Boost. The result of the analysis of these algorithms shows that Gradient Boosting (≈ 81%) is the best model to predict bank default followed by XG Boost (≈ 80%).</w:t>
      </w:r>
    </w:p>
    <w:p>
      <w:pPr>
        <w:pStyle w:val="Normal"/>
        <w:spacing w:lineRule="auto" w:line="240"/>
        <w:rPr/>
      </w:pPr>
      <w:r>
        <w:rPr>
          <w:sz w:val="28"/>
          <w:szCs w:val="28"/>
        </w:rPr>
        <w:t xml:space="preserve">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 </w:t>
      </w:r>
    </w:p>
    <w:p>
      <w:pPr>
        <w:pStyle w:val="Normal"/>
        <w:spacing w:lineRule="auto" w:line="240"/>
        <w:rPr>
          <w:sz w:val="28"/>
          <w:szCs w:val="28"/>
        </w:rPr>
      </w:pPr>
      <w:r>
        <w:rPr>
          <w:sz w:val="28"/>
          <w:szCs w:val="28"/>
        </w:rPr>
      </w:r>
      <w:r>
        <w:br w:type="page"/>
      </w:r>
    </w:p>
    <w:p>
      <w:pPr>
        <w:pStyle w:val="Normal"/>
        <w:spacing w:lineRule="auto" w:line="240" w:before="0" w:after="160"/>
        <w:rPr>
          <w:u w:val="single"/>
        </w:rPr>
      </w:pPr>
      <w:r>
        <w:rPr>
          <w:b/>
          <w:bCs/>
          <w:sz w:val="36"/>
          <w:szCs w:val="36"/>
          <w:u w:val="single"/>
        </w:rPr>
        <w:t>Methodology</w:t>
      </w:r>
    </w:p>
    <w:p>
      <w:pPr>
        <w:pStyle w:val="Normal"/>
        <w:numPr>
          <w:ilvl w:val="0"/>
          <w:numId w:val="1"/>
        </w:numPr>
        <w:spacing w:lineRule="auto" w:line="240"/>
        <w:rPr>
          <w:u w:val="single"/>
        </w:rPr>
      </w:pPr>
      <w:r>
        <w:rPr>
          <w:b/>
          <w:bCs/>
          <w:sz w:val="28"/>
          <w:szCs w:val="28"/>
          <w:u w:val="single"/>
        </w:rPr>
        <w:t>Data Collection</w:t>
      </w:r>
    </w:p>
    <w:p>
      <w:pPr>
        <w:pStyle w:val="Normal"/>
        <w:spacing w:lineRule="auto" w:line="240"/>
        <w:ind w:hanging="0" w:left="720" w:right="0"/>
        <w:rPr>
          <w:sz w:val="28"/>
          <w:szCs w:val="28"/>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consists of data collected for a particular case id from two types of sources: internal and external data sources. </w:t>
      </w:r>
    </w:p>
    <w:p>
      <w:pPr>
        <w:pStyle w:val="Normal"/>
        <w:spacing w:lineRule="auto" w:line="240"/>
        <w:ind w:hanging="0" w:left="720" w:right="0"/>
        <w:rPr>
          <w:sz w:val="28"/>
          <w:szCs w:val="28"/>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240"/>
        <w:rPr>
          <w:u w:val="single"/>
        </w:rPr>
      </w:pPr>
      <w:r>
        <w:rPr>
          <w:b/>
          <w:bCs/>
          <w:sz w:val="28"/>
          <w:szCs w:val="28"/>
          <w:u w:val="single"/>
        </w:rPr>
        <w:t>Data mining</w:t>
      </w:r>
    </w:p>
    <w:p>
      <w:pPr>
        <w:pStyle w:val="Normal"/>
        <w:spacing w:lineRule="auto" w:line="240"/>
        <w:ind w:hanging="0" w:left="720" w:right="0"/>
        <w:rPr>
          <w:b w:val="false"/>
          <w:bCs w:val="false"/>
          <w:sz w:val="28"/>
          <w:szCs w:val="28"/>
        </w:rPr>
      </w:pPr>
      <w:r>
        <w:rPr>
          <w:b w:val="false"/>
          <w:bCs w:val="false"/>
          <w:sz w:val="28"/>
          <w:szCs w:val="28"/>
        </w:rPr>
        <w:t>The csv files extracted from the dataset are needed to be merged together and converted into a format that can fed into the machine learning models. To merge all the files together, a “train_base.csv” file is provided that contains the target variable. The files were merged into a single dataset using the python library, polars. Polars is a python library written in Rust and uses a multi-threaded query engine for fast and effective parallel execution.</w:t>
      </w:r>
    </w:p>
    <w:p>
      <w:pPr>
        <w:pStyle w:val="Normal"/>
        <w:numPr>
          <w:ilvl w:val="0"/>
          <w:numId w:val="1"/>
        </w:numPr>
        <w:spacing w:lineRule="auto" w:line="240"/>
        <w:rPr>
          <w:u w:val="single"/>
        </w:rPr>
      </w:pPr>
      <w:r>
        <w:rPr>
          <w:b/>
          <w:bCs/>
          <w:sz w:val="28"/>
          <w:szCs w:val="28"/>
          <w:u w:val="single"/>
        </w:rPr>
        <w:t>Preprocessing</w:t>
      </w:r>
    </w:p>
    <w:p>
      <w:pPr>
        <w:pStyle w:val="Normal"/>
        <w:spacing w:lineRule="auto" w:line="240"/>
        <w:ind w:hanging="0" w:left="720" w:right="0"/>
        <w:rPr>
          <w:sz w:val="28"/>
          <w:szCs w:val="28"/>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numerical data by assigning a unique index value to each unique string value in a column. </w:t>
      </w:r>
    </w:p>
    <w:p>
      <w:pPr>
        <w:pStyle w:val="Normal"/>
        <w:spacing w:lineRule="auto" w:line="240"/>
        <w:ind w:hanging="0" w:left="720" w:right="0"/>
        <w:rPr>
          <w:sz w:val="28"/>
          <w:szCs w:val="28"/>
        </w:rPr>
      </w:pPr>
      <w:r>
        <w:rPr>
          <w:sz w:val="28"/>
          <w:szCs w:val="28"/>
        </w:rPr>
        <w:t>Another data preprocessing technique known as standard scaling is used. Standard scaling is also known as Z-score normalisation. The numerical features of the dataset are scaled to have a mean of 0 and standard deviation of 1. The formula for standard scaling is:</w:t>
      </w:r>
    </w:p>
    <w:p>
      <w:pPr>
        <w:pStyle w:val="Normal"/>
        <w:jc w:val="center"/>
        <w:rPr>
          <w:sz w:val="28"/>
          <w:szCs w:val="28"/>
        </w:rPr>
      </w:pPr>
      <w:r>
        <w:rPr>
          <w:sz w:val="28"/>
          <w:szCs w:val="28"/>
        </w:rPr>
        <w:t>z = (x−μ) / σ</w:t>
      </w:r>
    </w:p>
    <w:p>
      <w:pPr>
        <w:pStyle w:val="BodyText"/>
        <w:rPr/>
      </w:pPr>
      <w:r>
        <w:rPr/>
        <w:tab/>
      </w:r>
      <w:r>
        <w:rPr>
          <w:sz w:val="28"/>
          <w:szCs w:val="28"/>
        </w:rPr>
        <w:t xml:space="preserve">where, x = original value of the feature </w:t>
      </w:r>
    </w:p>
    <w:p>
      <w:pPr>
        <w:pStyle w:val="BodyText"/>
        <w:rPr>
          <w:sz w:val="28"/>
          <w:szCs w:val="28"/>
        </w:rPr>
      </w:pPr>
      <w:r>
        <w:rPr>
          <w:sz w:val="28"/>
          <w:szCs w:val="28"/>
        </w:rPr>
        <w:tab/>
        <w:tab/>
        <w:t xml:space="preserve">   μ = mean of the feature values</w:t>
      </w:r>
    </w:p>
    <w:p>
      <w:pPr>
        <w:pStyle w:val="BodyText"/>
        <w:rPr>
          <w:sz w:val="28"/>
          <w:szCs w:val="28"/>
        </w:rPr>
      </w:pPr>
      <w:r>
        <w:rPr>
          <w:sz w:val="28"/>
          <w:szCs w:val="28"/>
        </w:rPr>
        <w:tab/>
        <w:tab/>
        <w:t xml:space="preserve">   σ = standard deviation of the feature values</w:t>
      </w:r>
    </w:p>
    <w:p>
      <w:pPr>
        <w:pStyle w:val="BodyText"/>
        <w:rPr>
          <w:sz w:val="28"/>
          <w:szCs w:val="28"/>
        </w:rPr>
      </w:pPr>
      <w:r>
        <w:rPr>
          <w:sz w:val="28"/>
          <w:szCs w:val="28"/>
        </w:rPr>
        <w:tab/>
        <w:t xml:space="preserve">Standard scaling is used to normalise distribution of  values, </w:t>
        <w:tab/>
        <w:t xml:space="preserve">reduces dominance of a single feature or multiple features in </w:t>
        <w:tab/>
        <w:t>the dataset and improves converge rate of the model.</w:t>
      </w:r>
    </w:p>
    <w:p>
      <w:pPr>
        <w:pStyle w:val="Normal"/>
        <w:numPr>
          <w:ilvl w:val="0"/>
          <w:numId w:val="1"/>
        </w:numPr>
        <w:spacing w:lineRule="auto" w:line="240"/>
        <w:rPr>
          <w:u w:val="single"/>
        </w:rPr>
      </w:pPr>
      <w:r>
        <w:rPr>
          <w:b/>
          <w:bCs/>
          <w:sz w:val="28"/>
          <w:szCs w:val="28"/>
          <w:u w:val="single"/>
        </w:rPr>
        <w:t>Feature Engineering</w:t>
      </w:r>
    </w:p>
    <w:p>
      <w:pPr>
        <w:pStyle w:val="Normal"/>
        <w:spacing w:lineRule="auto" w:line="240"/>
        <w:ind w:hanging="0" w:left="720" w:right="0"/>
        <w:rPr>
          <w:b w:val="false"/>
          <w:bCs w:val="false"/>
          <w:sz w:val="28"/>
          <w:szCs w:val="28"/>
        </w:rPr>
      </w:pPr>
      <w:r>
        <w:rPr>
          <w:b w:val="false"/>
          <w:bCs w:val="false"/>
          <w:sz w:val="28"/>
          <w:szCs w:val="28"/>
        </w:rPr>
        <w:t xml:space="preserve">The final dataset after cleaning and preprocessing consists of 303 independent features, 1 target variable and over 15 lakh records. The size of the dataset was reduced from 15 lakh records to 1 lakh records so that dataset is balanced and there is equal representation between the two classes. Faster convergence and improved training times can be achieved using an algorithm called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 </w:t>
      </w:r>
    </w:p>
    <w:p>
      <w:pPr>
        <w:pStyle w:val="Normal"/>
        <w:numPr>
          <w:ilvl w:val="0"/>
          <w:numId w:val="1"/>
        </w:numPr>
        <w:spacing w:lineRule="auto" w:line="240"/>
        <w:rPr>
          <w:i w:val="false"/>
          <w:i w:val="false"/>
          <w:iCs w:val="false"/>
          <w:u w:val="single"/>
        </w:rPr>
      </w:pPr>
      <w:r>
        <w:rPr>
          <w:b/>
          <w:bCs/>
          <w:i w:val="false"/>
          <w:iCs w:val="false"/>
          <w:sz w:val="28"/>
          <w:szCs w:val="28"/>
          <w:u w:val="single"/>
        </w:rPr>
        <w:t>Proposed Model</w:t>
      </w:r>
    </w:p>
    <w:p>
      <w:pPr>
        <w:pStyle w:val="Normal"/>
        <w:spacing w:lineRule="auto" w:line="240"/>
        <w:ind w:hanging="0" w:left="720" w:right="0"/>
        <w:rPr>
          <w:b w:val="false"/>
          <w:bCs w:val="false"/>
          <w:sz w:val="28"/>
          <w:szCs w:val="28"/>
        </w:rPr>
      </w:pPr>
      <w:r>
        <w:rPr>
          <w:b w:val="false"/>
          <w:bCs w:val="false"/>
          <w:sz w:val="28"/>
          <w:szCs w:val="28"/>
        </w:rPr>
        <w:t>The architecture of the model proposed is as follows:</w:t>
      </w:r>
    </w:p>
    <w:p>
      <w:pPr>
        <w:pStyle w:val="Normal"/>
        <w:spacing w:lineRule="auto" w:line="240"/>
        <w:ind w:hanging="0" w:left="720" w:right="0"/>
        <w:rPr>
          <w:shd w:fill="FFFF00" w:val="clear"/>
        </w:rPr>
      </w:pPr>
      <w:r>
        <w:rPr>
          <w:b w:val="false"/>
          <w:bCs w:val="false"/>
          <w:sz w:val="28"/>
          <w:szCs w:val="28"/>
          <w:shd w:fill="FFFF00" w:val="clear"/>
        </w:rPr>
        <w:t>&lt;Diagram/flowchart&gt;</w:t>
      </w:r>
    </w:p>
    <w:p>
      <w:pPr>
        <w:pStyle w:val="Normal"/>
        <w:spacing w:lineRule="auto" w:line="240"/>
        <w:ind w:hanging="0" w:left="720" w:right="0"/>
        <w:rPr>
          <w:b w:val="false"/>
          <w:bCs w:val="false"/>
          <w:sz w:val="28"/>
          <w:szCs w:val="28"/>
        </w:rPr>
      </w:pPr>
      <w:r>
        <w:rPr>
          <w:b w:val="false"/>
          <w:bCs w:val="false"/>
          <w:sz w:val="28"/>
          <w:szCs w:val="28"/>
        </w:rPr>
        <w:t xml:space="preserve">Given the nature of the dataset, the machine learning algorithms used for comparative analysis in this study are: ensemble learning, gradient boosting, bayesian learning, lazy learning and deep learning algorithms. The dataset is divided into 75:25 training and testing data respectively. </w:t>
      </w:r>
    </w:p>
    <w:p>
      <w:pPr>
        <w:pStyle w:val="Normal"/>
        <w:numPr>
          <w:ilvl w:val="0"/>
          <w:numId w:val="2"/>
        </w:numPr>
        <w:spacing w:lineRule="auto" w:line="240"/>
        <w:rPr>
          <w:u w:val="single"/>
        </w:rPr>
      </w:pPr>
      <w:r>
        <w:rPr>
          <w:b/>
          <w:bCs/>
          <w:sz w:val="28"/>
          <w:szCs w:val="28"/>
          <w:u w:val="single"/>
        </w:rPr>
        <w:t>Decision Tree</w:t>
      </w:r>
    </w:p>
    <w:p>
      <w:pPr>
        <w:pStyle w:val="Normal"/>
        <w:spacing w:lineRule="auto" w:line="240"/>
        <w:ind w:hanging="0" w:left="1440" w:right="0"/>
        <w:rPr>
          <w:b w:val="false"/>
          <w:bCs w:val="false"/>
          <w:sz w:val="28"/>
          <w:szCs w:val="28"/>
        </w:rPr>
      </w:pPr>
      <w:r>
        <w:rPr>
          <w:b w:val="false"/>
          <w:bCs w:val="false"/>
          <w:sz w:val="28"/>
          <w:szCs w:val="28"/>
        </w:rPr>
        <w:t>Decision tree is a heirarchical structure that can be used for both, regression as well as classification tasks. Each internal node represents a decision taken based on a feature and leaf nodes represent the output of the model. It splits the dataset features recursively into subsets based on the feature that best divides the data into separate classes. The dataset is divided at each step such that it maximises the information gain.</w:t>
      </w:r>
    </w:p>
    <w:p>
      <w:pPr>
        <w:pStyle w:val="Normal"/>
        <w:spacing w:lineRule="auto" w:line="240"/>
        <w:ind w:hanging="0" w:left="1440" w:right="0"/>
        <w:jc w:val="center"/>
        <w:rPr>
          <w:b w:val="false"/>
          <w:bCs w:val="false"/>
          <w:sz w:val="28"/>
          <w:szCs w:val="28"/>
        </w:rPr>
      </w:pPr>
      <w:r>
        <w:rPr>
          <w:b w:val="false"/>
          <w:bCs w:val="false"/>
          <w:i/>
          <w:iCs/>
          <w:sz w:val="22"/>
          <w:szCs w:val="22"/>
          <w:u w:val="none"/>
        </w:rPr>
        <w:drawing>
          <wp:anchor behindDoc="0" distT="0" distB="0" distL="0" distR="0" simplePos="0" locked="0" layoutInCell="0" allowOverlap="1" relativeHeight="4">
            <wp:simplePos x="0" y="0"/>
            <wp:positionH relativeFrom="column">
              <wp:posOffset>1054100</wp:posOffset>
            </wp:positionH>
            <wp:positionV relativeFrom="paragraph">
              <wp:posOffset>-92075</wp:posOffset>
            </wp:positionV>
            <wp:extent cx="4688205" cy="49149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688205" cy="491490"/>
                    </a:xfrm>
                    <a:prstGeom prst="rect">
                      <a:avLst/>
                    </a:prstGeom>
                  </pic:spPr>
                </pic:pic>
              </a:graphicData>
            </a:graphic>
          </wp:anchor>
        </w:drawing>
        <w:t xml:space="preserve">Fig 1. </w:t>
      </w:r>
      <w:r>
        <w:rPr>
          <w:b w:val="false"/>
          <w:bCs w:val="false"/>
          <w:i/>
          <w:iCs/>
          <w:sz w:val="22"/>
          <w:szCs w:val="22"/>
          <w:u w:val="none"/>
        </w:rPr>
        <w:t xml:space="preserve">Formula for </w:t>
      </w:r>
      <w:r>
        <w:rPr>
          <w:b w:val="false"/>
          <w:bCs w:val="false"/>
          <w:i/>
          <w:iCs/>
          <w:sz w:val="22"/>
          <w:szCs w:val="22"/>
          <w:u w:val="none"/>
        </w:rPr>
        <w:drawing>
          <wp:anchor behindDoc="0" distT="0" distB="0" distL="0" distR="0" simplePos="0" locked="0" layoutInCell="0" allowOverlap="1" relativeHeight="5">
            <wp:simplePos x="0" y="0"/>
            <wp:positionH relativeFrom="column">
              <wp:posOffset>1200150</wp:posOffset>
            </wp:positionH>
            <wp:positionV relativeFrom="paragraph">
              <wp:posOffset>735965</wp:posOffset>
            </wp:positionV>
            <wp:extent cx="4467225" cy="45275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467225" cy="452755"/>
                    </a:xfrm>
                    <a:prstGeom prst="rect">
                      <a:avLst/>
                    </a:prstGeom>
                  </pic:spPr>
                </pic:pic>
              </a:graphicData>
            </a:graphic>
          </wp:anchor>
        </w:drawing>
      </w:r>
      <w:r>
        <w:rPr>
          <w:b w:val="false"/>
          <w:bCs w:val="false"/>
          <w:i/>
          <w:iCs/>
          <w:sz w:val="22"/>
          <w:szCs w:val="22"/>
          <w:u w:val="none"/>
        </w:rPr>
        <w:t>entropy calculation</w:t>
      </w:r>
    </w:p>
    <w:p>
      <w:pPr>
        <w:pStyle w:val="Normal"/>
        <w:numPr>
          <w:ilvl w:val="0"/>
          <w:numId w:val="0"/>
        </w:numPr>
        <w:spacing w:lineRule="auto" w:line="240"/>
        <w:ind w:hanging="0" w:left="1440"/>
        <w:jc w:val="center"/>
        <w:rPr>
          <w:b w:val="false"/>
          <w:bCs w:val="false"/>
          <w:i/>
          <w:i/>
          <w:iCs/>
          <w:sz w:val="22"/>
          <w:szCs w:val="22"/>
          <w:u w:val="none"/>
        </w:rPr>
      </w:pPr>
      <w:r>
        <w:rPr>
          <w:b w:val="false"/>
          <w:bCs w:val="false"/>
          <w:i/>
          <w:iCs/>
          <w:sz w:val="22"/>
          <w:szCs w:val="22"/>
          <w:u w:val="none"/>
        </w:rPr>
        <w:t>Fig</w:t>
      </w:r>
      <w:r>
        <w:rPr>
          <w:b w:val="false"/>
          <w:bCs w:val="false"/>
          <w:i/>
          <w:iCs/>
          <w:sz w:val="22"/>
          <w:szCs w:val="22"/>
          <w:u w:val="none"/>
        </w:rPr>
        <w:t>2</w:t>
      </w:r>
      <w:r>
        <w:rPr>
          <w:b w:val="false"/>
          <w:bCs w:val="false"/>
          <w:i/>
          <w:iCs/>
          <w:sz w:val="22"/>
          <w:szCs w:val="22"/>
          <w:u w:val="none"/>
        </w:rPr>
        <w:t xml:space="preserve">. </w:t>
      </w:r>
      <w:r>
        <w:rPr>
          <w:b w:val="false"/>
          <w:bCs w:val="false"/>
          <w:i/>
          <w:iCs/>
          <w:sz w:val="22"/>
          <w:szCs w:val="22"/>
          <w:u w:val="none"/>
        </w:rPr>
        <w:t>Information gain calculation</w:t>
      </w:r>
    </w:p>
    <w:p>
      <w:pPr>
        <w:pStyle w:val="Normal"/>
        <w:numPr>
          <w:ilvl w:val="0"/>
          <w:numId w:val="2"/>
        </w:numPr>
        <w:spacing w:lineRule="auto" w:line="240"/>
        <w:rPr>
          <w:u w:val="single"/>
        </w:rPr>
      </w:pPr>
      <w:r>
        <w:rPr>
          <w:b/>
          <w:bCs/>
          <w:sz w:val="28"/>
          <w:szCs w:val="28"/>
          <w:u w:val="single"/>
        </w:rPr>
        <w:t>Random Forest</w:t>
      </w:r>
    </w:p>
    <w:p>
      <w:pPr>
        <w:pStyle w:val="Normal"/>
        <w:spacing w:lineRule="auto" w:line="240"/>
        <w:ind w:hanging="0" w:left="1440" w:right="0"/>
        <w:rPr>
          <w:b w:val="false"/>
          <w:bCs w:val="false"/>
          <w:sz w:val="28"/>
          <w:szCs w:val="28"/>
        </w:rPr>
      </w:pPr>
      <w:r>
        <w:rPr>
          <w:b w:val="false"/>
          <w:bCs w:val="false"/>
          <w:sz w:val="28"/>
          <w:szCs w:val="28"/>
        </w:rPr>
        <w:t>Random forest is an ensemble learning algorithm that builds multiple decision trees during model training. The output of a random forest model for a classification task is based on voting of the various decision trees and for a regression task, the output is the mean of the output of the internal decision trees. It is indifferent to noisy data and generalises the model reducing overfitting.</w:t>
      </w:r>
    </w:p>
    <w:p>
      <w:pPr>
        <w:pStyle w:val="Normal"/>
        <w:numPr>
          <w:ilvl w:val="0"/>
          <w:numId w:val="2"/>
        </w:numPr>
        <w:spacing w:lineRule="auto" w:line="240"/>
        <w:rPr>
          <w:u w:val="single"/>
        </w:rPr>
      </w:pPr>
      <w:r>
        <w:rPr>
          <w:b/>
          <w:bCs/>
          <w:sz w:val="28"/>
          <w:szCs w:val="28"/>
          <w:u w:val="single"/>
        </w:rPr>
        <w:t>Gradient Boosting</w:t>
      </w:r>
    </w:p>
    <w:p>
      <w:pPr>
        <w:pStyle w:val="Normal"/>
        <w:spacing w:lineRule="auto" w:line="240"/>
        <w:ind w:hanging="0" w:left="1440" w:right="0"/>
        <w:rPr>
          <w:b w:val="false"/>
          <w:bCs w:val="false"/>
          <w:sz w:val="28"/>
          <w:szCs w:val="28"/>
        </w:rPr>
      </w:pPr>
      <w:r>
        <w:rPr>
          <w:b w:val="false"/>
          <w:bCs w:val="false"/>
          <w:sz w:val="28"/>
          <w:szCs w:val="28"/>
        </w:rPr>
        <w:t>Gradient boosting is a boosting technique in which a strong model is built by sequential learning of multipe weak learning models. It combines weak learner models and optimises them to minimise the value of a loss function. Gradient boosting algorithms used in this study are: XGBoost, Ada Boost and LightGBM</w:t>
      </w:r>
    </w:p>
    <w:p>
      <w:pPr>
        <w:pStyle w:val="Normal"/>
        <w:numPr>
          <w:ilvl w:val="0"/>
          <w:numId w:val="2"/>
        </w:numPr>
        <w:spacing w:lineRule="auto" w:line="240"/>
        <w:rPr>
          <w:u w:val="single"/>
        </w:rPr>
      </w:pPr>
      <w:r>
        <w:rPr>
          <w:b/>
          <w:bCs/>
          <w:sz w:val="28"/>
          <w:szCs w:val="28"/>
          <w:u w:val="single"/>
        </w:rPr>
        <w:t>Gaussian Naive Bayes</w:t>
      </w:r>
    </w:p>
    <w:p>
      <w:pPr>
        <w:pStyle w:val="Normal"/>
        <w:spacing w:lineRule="auto" w:line="240"/>
        <w:ind w:hanging="0" w:left="1440" w:right="0"/>
        <w:rPr>
          <w:b w:val="false"/>
          <w:bCs w:val="false"/>
          <w:sz w:val="28"/>
          <w:szCs w:val="28"/>
        </w:rPr>
      </w:pPr>
      <w:r>
        <w:rPr>
          <w:b w:val="false"/>
          <w:bCs w:val="false"/>
          <w:sz w:val="28"/>
          <w:szCs w:val="28"/>
        </w:rPr>
        <w:t>Gaussian Naive Bayes is a probabilistic classifier algorithm that is based on the Bayes’ theorem. It takes into consideration that the input features are independent and they follow a Gaussian (normal) distribution curve. It works by calculating the probability for each class for a set of input features and returns the class with maximum probability.</w:t>
      </w:r>
    </w:p>
    <w:p>
      <w:pPr>
        <w:pStyle w:val="Normal"/>
        <w:spacing w:lineRule="auto" w:line="240"/>
        <w:ind w:hanging="0" w:left="1440" w:right="0"/>
        <w:rPr>
          <w:b w:val="false"/>
          <w:bCs w:val="false"/>
          <w:sz w:val="28"/>
          <w:szCs w:val="28"/>
        </w:rPr>
      </w:pPr>
      <w:r>
        <w:rPr>
          <w:b w:val="false"/>
          <w:bCs w:val="false"/>
          <w:sz w:val="28"/>
          <w:szCs w:val="28"/>
        </w:rPr>
      </w:r>
    </w:p>
    <w:p>
      <w:pPr>
        <w:pStyle w:val="Normal"/>
        <w:numPr>
          <w:ilvl w:val="0"/>
          <w:numId w:val="2"/>
        </w:numPr>
        <w:spacing w:lineRule="auto" w:line="240"/>
        <w:rPr>
          <w:u w:val="single"/>
        </w:rPr>
      </w:pPr>
      <w:r>
        <w:rPr>
          <w:b/>
          <w:bCs/>
          <w:sz w:val="28"/>
          <w:szCs w:val="28"/>
          <w:u w:val="single"/>
        </w:rPr>
        <w:t>K-Nearest Neighbours</w:t>
      </w:r>
    </w:p>
    <w:p>
      <w:pPr>
        <w:pStyle w:val="Normal"/>
        <w:spacing w:lineRule="auto" w:line="240"/>
        <w:ind w:hanging="0" w:left="1440" w:right="0"/>
        <w:rPr>
          <w:b w:val="false"/>
          <w:bCs w:val="false"/>
          <w:sz w:val="28"/>
          <w:szCs w:val="28"/>
        </w:rPr>
      </w:pPr>
      <w:r>
        <w:rPr>
          <w:b w:val="false"/>
          <w:bCs w:val="false"/>
          <w:sz w:val="28"/>
          <w:szCs w:val="28"/>
        </w:rPr>
        <w:t xml:space="preserve">K-nearest neighbours is a lazy learning algorithm that  allots a class label to a data point based on the majority of its k-nearest neighbours calculated using a distance metric from the given point. It does not store the dataset in memory and is simple to implement. </w:t>
      </w:r>
    </w:p>
    <w:p>
      <w:pPr>
        <w:pStyle w:val="Normal"/>
        <w:numPr>
          <w:ilvl w:val="0"/>
          <w:numId w:val="2"/>
        </w:numPr>
        <w:spacing w:lineRule="auto" w:line="240"/>
        <w:rPr>
          <w:u w:val="single"/>
        </w:rPr>
      </w:pPr>
      <w:r>
        <w:rPr>
          <w:b/>
          <w:bCs/>
          <w:sz w:val="28"/>
          <w:szCs w:val="28"/>
          <w:u w:val="single"/>
        </w:rPr>
        <w:t>Long-Short Term Memory (LSTM)</w:t>
      </w:r>
    </w:p>
    <w:p>
      <w:pPr>
        <w:pStyle w:val="Normal"/>
        <w:spacing w:lineRule="auto" w:line="240"/>
        <w:ind w:hanging="0" w:left="1440" w:right="0"/>
        <w:rPr>
          <w:b w:val="false"/>
          <w:bCs w:val="false"/>
          <w:sz w:val="28"/>
          <w:szCs w:val="28"/>
        </w:rPr>
      </w:pPr>
      <w:r>
        <w:rPr>
          <w:b w:val="false"/>
          <w:bCs w:val="false"/>
          <w:sz w:val="28"/>
          <w:szCs w:val="28"/>
        </w:rPr>
        <w:t>LSTM is a type of Recurrent Neural Network (RNN) architecture that helps to capture long term and sequential data. It consists of memory cell, input gate, output gate and a forget gate to help retain important information throughout the model training phase.</w:t>
      </w:r>
    </w:p>
    <w:p>
      <w:pPr>
        <w:pStyle w:val="Normal"/>
        <w:numPr>
          <w:ilvl w:val="0"/>
          <w:numId w:val="1"/>
        </w:numPr>
        <w:spacing w:lineRule="auto" w:line="240"/>
        <w:rPr>
          <w:u w:val="single"/>
        </w:rPr>
      </w:pPr>
      <w:r>
        <w:rPr>
          <w:b/>
          <w:bCs/>
          <w:sz w:val="28"/>
          <w:szCs w:val="28"/>
          <w:u w:val="single"/>
        </w:rPr>
        <w:t>Hyperparameter Tuning</w:t>
      </w:r>
    </w:p>
    <w:p>
      <w:pPr>
        <w:pStyle w:val="Normal"/>
        <w:spacing w:lineRule="auto" w:line="240"/>
        <w:ind w:hanging="0" w:left="720"/>
        <w:rPr>
          <w:b w:val="false"/>
          <w:bCs w:val="false"/>
          <w:sz w:val="28"/>
          <w:szCs w:val="28"/>
        </w:rPr>
      </w:pPr>
      <w:r>
        <w:rPr>
          <w:b w:val="false"/>
          <w:bCs w:val="false"/>
          <w:sz w:val="28"/>
          <w:szCs w:val="28"/>
        </w:rPr>
        <w:t>Hyperparameter refers to parameters of a machine learning model that are set prior to model training process. Hyperparameter tuning is the process of finding optimal values for the hyperparameters of the machine learning models.</w:t>
      </w:r>
    </w:p>
    <w:p>
      <w:pPr>
        <w:pStyle w:val="Normal"/>
        <w:spacing w:lineRule="auto" w:line="240"/>
        <w:ind w:hanging="0" w:left="720"/>
        <w:rPr>
          <w:b w:val="false"/>
          <w:bCs w:val="false"/>
          <w:sz w:val="28"/>
          <w:szCs w:val="28"/>
        </w:rPr>
      </w:pPr>
      <w:r>
        <w:rPr>
          <w:b w:val="false"/>
          <w:bCs w:val="false"/>
          <w:sz w:val="28"/>
          <w:szCs w:val="28"/>
        </w:rPr>
        <w:t xml:space="preserve">The hyperparameter selection for machine learning was done using gridsearchcv method in the scikit-learn library in python. This method allows a single machine learning model to train on a different number of combinations of hyperparameters and returns the best possible combination having the highest accuracy. In LSTM model, the hyperparameter selection was done using random search and techniques early stopping and model checkpoints along with dropout layers were used to prevent overfitting during model training. </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Cs/>
          <w:sz w:val="36"/>
          <w:szCs w:val="36"/>
          <w:u w:val="single"/>
        </w:rPr>
      </w:pPr>
      <w:r>
        <w:rPr>
          <w:b/>
          <w:bCs/>
          <w:sz w:val="36"/>
          <w:szCs w:val="36"/>
          <w:u w:val="single"/>
        </w:rPr>
        <w:t>Results</w:t>
      </w:r>
    </w:p>
    <w:p>
      <w:pPr>
        <w:pStyle w:val="Normal"/>
        <w:spacing w:lineRule="auto" w:line="240"/>
        <w:rPr>
          <w:b w:val="false"/>
          <w:bCs w:val="false"/>
          <w:sz w:val="28"/>
          <w:szCs w:val="28"/>
          <w:u w:val="none"/>
        </w:rPr>
      </w:pPr>
      <w:r>
        <w:rPr>
          <w:b w:val="false"/>
          <w:bCs w:val="false"/>
          <w:sz w:val="28"/>
          <w:szCs w:val="28"/>
          <w:u w:val="none"/>
        </w:rPr>
        <w:t xml:space="preserve">This study is a comparative analysis of the various machine learning models used to predict whether a given customer will be able to repay the loan disbursed to them given their historical and current financial credit data. </w:t>
      </w:r>
      <w:r>
        <w:rPr>
          <w:b w:val="false"/>
          <w:bCs w:val="false"/>
          <w:sz w:val="28"/>
          <w:szCs w:val="28"/>
          <w:u w:val="none"/>
          <w:shd w:fill="FFFF00" w:val="clear"/>
        </w:rPr>
        <w:t xml:space="preserve">The machine learning models used in this paper are trained on two types of datasets: standard cleaned dataset having 303 features and a smaller dataset having top 100 features from the original dataset after applying Principal Component Analysis (PCA) technique. </w:t>
      </w:r>
    </w:p>
    <w:p>
      <w:pPr>
        <w:pStyle w:val="Normal"/>
        <w:spacing w:lineRule="auto" w:line="240"/>
        <w:rPr>
          <w:b w:val="false"/>
          <w:bCs w:val="false"/>
          <w:sz w:val="28"/>
          <w:szCs w:val="28"/>
          <w:u w:val="none"/>
        </w:rPr>
      </w:pPr>
      <w:r>
        <w:rPr/>
        <w:drawing>
          <wp:inline distT="0" distB="0" distL="0" distR="0">
            <wp:extent cx="5062220" cy="26600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62220" cy="2660015"/>
                    </a:xfrm>
                    <a:prstGeom prst="rect">
                      <a:avLst/>
                    </a:prstGeom>
                  </pic:spPr>
                </pic:pic>
              </a:graphicData>
            </a:graphic>
          </wp:inline>
        </w:drawing>
      </w:r>
    </w:p>
    <w:p>
      <w:pPr>
        <w:pStyle w:val="Normal"/>
        <w:spacing w:lineRule="auto" w:line="240"/>
        <w:jc w:val="center"/>
        <w:rPr>
          <w:i/>
          <w:i/>
          <w:iCs/>
          <w:sz w:val="22"/>
          <w:szCs w:val="22"/>
        </w:rPr>
      </w:pPr>
      <w:r>
        <w:rPr>
          <w:b w:val="false"/>
          <w:bCs w:val="false"/>
          <w:i/>
          <w:iCs/>
          <w:sz w:val="22"/>
          <w:szCs w:val="22"/>
          <w:u w:val="none"/>
        </w:rPr>
        <w:t>Fig 1. Classification Matrix</w:t>
      </w:r>
    </w:p>
    <w:p>
      <w:pPr>
        <w:pStyle w:val="Normal"/>
        <w:spacing w:lineRule="auto" w:line="240"/>
        <w:rPr>
          <w:b w:val="false"/>
          <w:bCs w:val="false"/>
          <w:sz w:val="28"/>
          <w:szCs w:val="28"/>
          <w:u w:val="none"/>
        </w:rPr>
      </w:pPr>
      <w:r>
        <w:rPr>
          <w:b w:val="false"/>
          <w:bCs w:val="false"/>
          <w:sz w:val="28"/>
          <w:szCs w:val="28"/>
          <w:u w:val="none"/>
        </w:rPr>
        <w:t xml:space="preserve">The methodology used for evaluating the models is accuracy score. It is a simple model evaluation metric that calculates the ratio of correctly classified inputs (True positives and True negatives) and the total number of inputs classified by the model. </w:t>
      </w:r>
    </w:p>
    <w:p>
      <w:pPr>
        <w:pStyle w:val="Normal"/>
        <w:spacing w:lineRule="auto" w:line="240"/>
        <w:jc w:val="center"/>
        <w:rPr>
          <w:i/>
          <w:i/>
          <w:iCs/>
        </w:rPr>
      </w:pPr>
      <w:r>
        <w:rPr/>
        <w:drawing>
          <wp:inline distT="0" distB="0" distL="0" distR="0">
            <wp:extent cx="3541395" cy="9810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41395" cy="981075"/>
                    </a:xfrm>
                    <a:prstGeom prst="rect">
                      <a:avLst/>
                    </a:prstGeom>
                  </pic:spPr>
                </pic:pic>
              </a:graphicData>
            </a:graphic>
          </wp:inline>
        </w:drawing>
      </w:r>
    </w:p>
    <w:p>
      <w:pPr>
        <w:pStyle w:val="Normal"/>
        <w:spacing w:lineRule="auto" w:line="240"/>
        <w:jc w:val="center"/>
        <w:rPr>
          <w:i/>
          <w:i/>
          <w:iCs/>
        </w:rPr>
      </w:pPr>
      <w:r>
        <w:rPr>
          <w:i/>
          <w:iCs/>
        </w:rPr>
        <w:t>Fig 2. Accuracy Score</w:t>
      </w:r>
    </w:p>
    <w:p>
      <w:pPr>
        <w:pStyle w:val="Normal"/>
        <w:spacing w:lineRule="auto" w:line="240"/>
        <w:rPr>
          <w:b w:val="false"/>
          <w:bCs w:val="false"/>
          <w:sz w:val="28"/>
          <w:szCs w:val="28"/>
          <w:u w:val="none"/>
        </w:rPr>
      </w:pPr>
      <w:r>
        <w:rPr>
          <w:b w:val="false"/>
          <w:bCs w:val="false"/>
          <w:sz w:val="28"/>
          <w:szCs w:val="28"/>
          <w:u w:val="none"/>
        </w:rPr>
        <w:t xml:space="preserve">Out of the models experimented, gradient boosting models performed the best, closely followed by random forest and decision tree. Gaussian Naive Bayes and K-Nearest neighbours gave exact same results on model evaluation. LSTM model performed well as it understood the current and historical records of the clients by retaining the information but as all deep learning models, it took the longest time to train on 10 epochs. </w:t>
      </w:r>
    </w:p>
    <w:tbl>
      <w:tblPr>
        <w:tblW w:w="5000" w:type="pct"/>
        <w:jc w:val="left"/>
        <w:tblInd w:w="-5" w:type="dxa"/>
        <w:tblLayout w:type="fixed"/>
        <w:tblCellMar>
          <w:top w:w="55" w:type="dxa"/>
          <w:left w:w="55" w:type="dxa"/>
          <w:bottom w:w="55" w:type="dxa"/>
          <w:right w:w="55" w:type="dxa"/>
        </w:tblCellMar>
      </w:tblPr>
      <w:tblGrid>
        <w:gridCol w:w="1805"/>
        <w:gridCol w:w="1805"/>
        <w:gridCol w:w="1801"/>
        <w:gridCol w:w="1807"/>
        <w:gridCol w:w="1808"/>
      </w:tblGrid>
      <w:tr>
        <w:trPr/>
        <w:tc>
          <w:tcPr>
            <w:tcW w:w="1805" w:type="dxa"/>
            <w:vMerge w:val="restart"/>
            <w:tcBorders>
              <w:top w:val="single" w:sz="4" w:space="0" w:color="000000"/>
              <w:left w:val="single" w:sz="4" w:space="0" w:color="000000"/>
              <w:bottom w:val="single" w:sz="4" w:space="0" w:color="000000"/>
            </w:tcBorders>
          </w:tcPr>
          <w:p>
            <w:pPr>
              <w:pStyle w:val="TableContents"/>
              <w:spacing w:before="0" w:after="160"/>
              <w:jc w:val="center"/>
              <w:rPr>
                <w:b/>
                <w:bCs/>
              </w:rPr>
            </w:pPr>
            <w:r>
              <w:rPr>
                <w:b/>
                <w:bCs/>
              </w:rPr>
              <w:t>Models</w:t>
            </w:r>
          </w:p>
        </w:tc>
        <w:tc>
          <w:tcPr>
            <w:tcW w:w="3606" w:type="dxa"/>
            <w:gridSpan w:val="2"/>
            <w:tcBorders>
              <w:top w:val="single" w:sz="4" w:space="0" w:color="000000"/>
              <w:left w:val="single" w:sz="4" w:space="0" w:color="000000"/>
              <w:bottom w:val="single" w:sz="4" w:space="0" w:color="000000"/>
            </w:tcBorders>
          </w:tcPr>
          <w:p>
            <w:pPr>
              <w:pStyle w:val="TableContents"/>
              <w:spacing w:before="0" w:after="160"/>
              <w:jc w:val="center"/>
              <w:rPr>
                <w:b/>
                <w:bCs/>
              </w:rPr>
            </w:pPr>
            <w:r>
              <w:rPr>
                <w:b/>
                <w:bCs/>
              </w:rPr>
              <w:t>Before PCA</w:t>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b/>
                <w:bCs/>
              </w:rPr>
            </w:pPr>
            <w:r>
              <w:rPr>
                <w:b/>
                <w:bCs/>
              </w:rPr>
              <w:t>After PCA</w:t>
            </w:r>
          </w:p>
        </w:tc>
      </w:tr>
      <w:tr>
        <w:trPr/>
        <w:tc>
          <w:tcPr>
            <w:tcW w:w="1805" w:type="dxa"/>
            <w:vMerge w:val="continue"/>
            <w:tcBorders>
              <w:left w:val="single" w:sz="4" w:space="0" w:color="000000"/>
              <w:bottom w:val="single" w:sz="4" w:space="0" w:color="000000"/>
            </w:tcBorders>
          </w:tcPr>
          <w:p>
            <w:pPr>
              <w:pStyle w:val="Normal"/>
              <w:widowControl/>
              <w:suppressAutoHyphens w:val="true"/>
              <w:overflowPunct w:val="true"/>
              <w:bidi w:val="0"/>
              <w:spacing w:lineRule="auto" w:line="259" w:before="0" w:after="160"/>
              <w:jc w:val="left"/>
              <w:rPr/>
            </w:pPr>
            <w:r>
              <w:rPr/>
            </w:r>
          </w:p>
        </w:tc>
        <w:tc>
          <w:tcPr>
            <w:tcW w:w="1805" w:type="dxa"/>
            <w:tcBorders>
              <w:left w:val="single" w:sz="4" w:space="0" w:color="000000"/>
              <w:bottom w:val="single" w:sz="4" w:space="0" w:color="000000"/>
            </w:tcBorders>
          </w:tcPr>
          <w:p>
            <w:pPr>
              <w:pStyle w:val="TableContents"/>
              <w:spacing w:before="0" w:after="160"/>
              <w:jc w:val="center"/>
              <w:rPr>
                <w:b/>
                <w:bCs/>
              </w:rPr>
            </w:pPr>
            <w:r>
              <w:rPr>
                <w:b/>
                <w:bCs/>
              </w:rPr>
              <w:t>Accuracy</w:t>
            </w:r>
          </w:p>
        </w:tc>
        <w:tc>
          <w:tcPr>
            <w:tcW w:w="1801" w:type="dxa"/>
            <w:tcBorders>
              <w:left w:val="single" w:sz="4" w:space="0" w:color="000000"/>
              <w:bottom w:val="single" w:sz="4" w:space="0" w:color="000000"/>
            </w:tcBorders>
          </w:tcPr>
          <w:p>
            <w:pPr>
              <w:pStyle w:val="TableContents"/>
              <w:spacing w:before="0" w:after="160"/>
              <w:jc w:val="center"/>
              <w:rPr>
                <w:b/>
                <w:bCs/>
              </w:rPr>
            </w:pPr>
            <w:r>
              <w:rPr>
                <w:b/>
                <w:bCs/>
              </w:rPr>
              <w:t>Training Time (in seconds)</w:t>
            </w:r>
          </w:p>
        </w:tc>
        <w:tc>
          <w:tcPr>
            <w:tcW w:w="1807" w:type="dxa"/>
            <w:tcBorders>
              <w:left w:val="single" w:sz="4" w:space="0" w:color="000000"/>
              <w:bottom w:val="single" w:sz="4" w:space="0" w:color="000000"/>
            </w:tcBorders>
          </w:tcPr>
          <w:p>
            <w:pPr>
              <w:pStyle w:val="TableContents"/>
              <w:spacing w:before="0" w:after="160"/>
              <w:jc w:val="center"/>
              <w:rPr>
                <w:b/>
                <w:bCs/>
              </w:rPr>
            </w:pPr>
            <w:r>
              <w:rPr>
                <w:b/>
                <w:bCs/>
              </w:rPr>
              <w:t>Accuracy</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b/>
                <w:bCs/>
              </w:rPr>
            </w:pPr>
            <w:r>
              <w:rPr>
                <w:b/>
                <w:bCs/>
              </w:rPr>
              <w:t>Training Time (in seconds)</w:t>
            </w:r>
          </w:p>
        </w:tc>
      </w:tr>
      <w:tr>
        <w:trPr/>
        <w:tc>
          <w:tcPr>
            <w:tcW w:w="1805" w:type="dxa"/>
            <w:tcBorders>
              <w:left w:val="single" w:sz="4" w:space="0" w:color="000000"/>
              <w:bottom w:val="single" w:sz="4" w:space="0" w:color="000000"/>
            </w:tcBorders>
          </w:tcPr>
          <w:p>
            <w:pPr>
              <w:pStyle w:val="TableContents"/>
              <w:spacing w:before="0" w:after="160"/>
              <w:jc w:val="center"/>
              <w:rPr/>
            </w:pPr>
            <w:r>
              <w:rPr/>
              <w:t>XGBoost</w:t>
            </w:r>
          </w:p>
        </w:tc>
        <w:tc>
          <w:tcPr>
            <w:tcW w:w="1805" w:type="dxa"/>
            <w:tcBorders>
              <w:left w:val="single" w:sz="4" w:space="0" w:color="000000"/>
              <w:bottom w:val="single" w:sz="4" w:space="0" w:color="000000"/>
            </w:tcBorders>
          </w:tcPr>
          <w:p>
            <w:pPr>
              <w:pStyle w:val="TableContents"/>
              <w:spacing w:before="0" w:after="160"/>
              <w:jc w:val="center"/>
              <w:rPr/>
            </w:pPr>
            <w:r>
              <w:rPr/>
              <w:t>98.52%</w:t>
            </w:r>
          </w:p>
        </w:tc>
        <w:tc>
          <w:tcPr>
            <w:tcW w:w="1801" w:type="dxa"/>
            <w:tcBorders>
              <w:left w:val="single" w:sz="4" w:space="0" w:color="000000"/>
              <w:bottom w:val="single" w:sz="4" w:space="0" w:color="000000"/>
            </w:tcBorders>
          </w:tcPr>
          <w:p>
            <w:pPr>
              <w:pStyle w:val="Normal"/>
              <w:spacing w:before="0" w:after="160"/>
              <w:jc w:val="center"/>
              <w:rPr/>
            </w:pPr>
            <w:r>
              <w:rPr/>
              <w:t>4.74</w:t>
            </w:r>
          </w:p>
        </w:tc>
        <w:tc>
          <w:tcPr>
            <w:tcW w:w="1807" w:type="dxa"/>
            <w:tcBorders>
              <w:left w:val="single" w:sz="4" w:space="0" w:color="000000"/>
              <w:bottom w:val="single" w:sz="4" w:space="0" w:color="000000"/>
            </w:tcBorders>
          </w:tcPr>
          <w:p>
            <w:pPr>
              <w:pStyle w:val="TableContents"/>
              <w:spacing w:before="0" w:after="160"/>
              <w:jc w:val="center"/>
              <w:rPr/>
            </w:pPr>
            <w:r>
              <w:rPr/>
              <w:t>97.70%</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0.56</w:t>
            </w:r>
          </w:p>
        </w:tc>
      </w:tr>
      <w:tr>
        <w:trPr/>
        <w:tc>
          <w:tcPr>
            <w:tcW w:w="1805" w:type="dxa"/>
            <w:tcBorders>
              <w:left w:val="single" w:sz="4" w:space="0" w:color="000000"/>
              <w:bottom w:val="single" w:sz="4" w:space="0" w:color="000000"/>
            </w:tcBorders>
          </w:tcPr>
          <w:p>
            <w:pPr>
              <w:pStyle w:val="TableContents"/>
              <w:spacing w:before="0" w:after="160"/>
              <w:jc w:val="center"/>
              <w:rPr/>
            </w:pPr>
            <w:r>
              <w:rPr/>
              <w:t>Ada Boost</w:t>
            </w:r>
          </w:p>
        </w:tc>
        <w:tc>
          <w:tcPr>
            <w:tcW w:w="1805" w:type="dxa"/>
            <w:tcBorders>
              <w:left w:val="single" w:sz="4" w:space="0" w:color="000000"/>
              <w:bottom w:val="single" w:sz="4" w:space="0" w:color="000000"/>
            </w:tcBorders>
          </w:tcPr>
          <w:p>
            <w:pPr>
              <w:pStyle w:val="TableContents"/>
              <w:spacing w:before="0" w:after="160"/>
              <w:jc w:val="center"/>
              <w:rPr/>
            </w:pPr>
            <w:r>
              <w:rPr/>
              <w:t>97.99%</w:t>
            </w:r>
          </w:p>
        </w:tc>
        <w:tc>
          <w:tcPr>
            <w:tcW w:w="1801" w:type="dxa"/>
            <w:tcBorders>
              <w:left w:val="single" w:sz="4" w:space="0" w:color="000000"/>
              <w:bottom w:val="single" w:sz="4" w:space="0" w:color="000000"/>
            </w:tcBorders>
          </w:tcPr>
          <w:p>
            <w:pPr>
              <w:pStyle w:val="Normal"/>
              <w:spacing w:before="0" w:after="160"/>
              <w:jc w:val="center"/>
              <w:rPr/>
            </w:pPr>
            <w:r>
              <w:rPr/>
              <w:t>36.75</w:t>
            </w:r>
          </w:p>
        </w:tc>
        <w:tc>
          <w:tcPr>
            <w:tcW w:w="1807" w:type="dxa"/>
            <w:tcBorders>
              <w:left w:val="single" w:sz="4" w:space="0" w:color="000000"/>
              <w:bottom w:val="single" w:sz="4" w:space="0" w:color="000000"/>
            </w:tcBorders>
          </w:tcPr>
          <w:p>
            <w:pPr>
              <w:pStyle w:val="TableContents"/>
              <w:spacing w:before="0" w:after="160"/>
              <w:jc w:val="center"/>
              <w:rPr/>
            </w:pPr>
            <w:r>
              <w:rPr/>
              <w:t>98.10%</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4.56</w:t>
            </w:r>
          </w:p>
        </w:tc>
      </w:tr>
      <w:tr>
        <w:trPr/>
        <w:tc>
          <w:tcPr>
            <w:tcW w:w="1805" w:type="dxa"/>
            <w:tcBorders>
              <w:left w:val="single" w:sz="4" w:space="0" w:color="000000"/>
              <w:bottom w:val="single" w:sz="4" w:space="0" w:color="000000"/>
            </w:tcBorders>
          </w:tcPr>
          <w:p>
            <w:pPr>
              <w:pStyle w:val="TableContents"/>
              <w:spacing w:before="0" w:after="160"/>
              <w:jc w:val="center"/>
              <w:rPr/>
            </w:pPr>
            <w:r>
              <w:rPr/>
              <w:t>LightGBM</w:t>
            </w:r>
          </w:p>
        </w:tc>
        <w:tc>
          <w:tcPr>
            <w:tcW w:w="1805" w:type="dxa"/>
            <w:tcBorders>
              <w:left w:val="single" w:sz="4" w:space="0" w:color="000000"/>
              <w:bottom w:val="single" w:sz="4" w:space="0" w:color="000000"/>
            </w:tcBorders>
          </w:tcPr>
          <w:p>
            <w:pPr>
              <w:pStyle w:val="TableContents"/>
              <w:spacing w:before="0" w:after="160"/>
              <w:jc w:val="center"/>
              <w:rPr/>
            </w:pPr>
            <w:r>
              <w:rPr/>
              <w:t>97.30%</w:t>
            </w:r>
          </w:p>
        </w:tc>
        <w:tc>
          <w:tcPr>
            <w:tcW w:w="1801" w:type="dxa"/>
            <w:tcBorders>
              <w:left w:val="single" w:sz="4" w:space="0" w:color="000000"/>
              <w:bottom w:val="single" w:sz="4" w:space="0" w:color="000000"/>
            </w:tcBorders>
          </w:tcPr>
          <w:p>
            <w:pPr>
              <w:pStyle w:val="Normal"/>
              <w:spacing w:before="0" w:after="160"/>
              <w:jc w:val="center"/>
              <w:rPr/>
            </w:pPr>
            <w:r>
              <w:rPr/>
              <w:t>2.95</w:t>
            </w:r>
          </w:p>
        </w:tc>
        <w:tc>
          <w:tcPr>
            <w:tcW w:w="1807" w:type="dxa"/>
            <w:tcBorders>
              <w:left w:val="single" w:sz="4" w:space="0" w:color="000000"/>
              <w:bottom w:val="single" w:sz="4" w:space="0" w:color="000000"/>
            </w:tcBorders>
          </w:tcPr>
          <w:p>
            <w:pPr>
              <w:pStyle w:val="TableContents"/>
              <w:spacing w:before="0" w:after="160"/>
              <w:jc w:val="center"/>
              <w:rPr/>
            </w:pPr>
            <w:r>
              <w:rPr/>
              <w:t>97.86%</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1.50</w:t>
            </w:r>
          </w:p>
        </w:tc>
      </w:tr>
      <w:tr>
        <w:trPr/>
        <w:tc>
          <w:tcPr>
            <w:tcW w:w="1805" w:type="dxa"/>
            <w:tcBorders>
              <w:left w:val="single" w:sz="4" w:space="0" w:color="000000"/>
              <w:bottom w:val="single" w:sz="4" w:space="0" w:color="000000"/>
            </w:tcBorders>
          </w:tcPr>
          <w:p>
            <w:pPr>
              <w:pStyle w:val="TableContents"/>
              <w:spacing w:before="0" w:after="160"/>
              <w:jc w:val="center"/>
              <w:rPr/>
            </w:pPr>
            <w:r>
              <w:rPr/>
              <w:t>Random Forest</w:t>
            </w:r>
          </w:p>
        </w:tc>
        <w:tc>
          <w:tcPr>
            <w:tcW w:w="1805" w:type="dxa"/>
            <w:tcBorders>
              <w:left w:val="single" w:sz="4" w:space="0" w:color="000000"/>
              <w:bottom w:val="single" w:sz="4" w:space="0" w:color="000000"/>
            </w:tcBorders>
          </w:tcPr>
          <w:p>
            <w:pPr>
              <w:pStyle w:val="TableContents"/>
              <w:spacing w:before="0" w:after="160"/>
              <w:jc w:val="center"/>
              <w:rPr/>
            </w:pPr>
            <w:r>
              <w:rPr/>
              <w:t>96.62%</w:t>
            </w:r>
          </w:p>
        </w:tc>
        <w:tc>
          <w:tcPr>
            <w:tcW w:w="1801" w:type="dxa"/>
            <w:tcBorders>
              <w:left w:val="single" w:sz="4" w:space="0" w:color="000000"/>
              <w:bottom w:val="single" w:sz="4" w:space="0" w:color="000000"/>
            </w:tcBorders>
          </w:tcPr>
          <w:p>
            <w:pPr>
              <w:pStyle w:val="Normal"/>
              <w:spacing w:before="0" w:after="160"/>
              <w:jc w:val="center"/>
              <w:rPr/>
            </w:pPr>
            <w:r>
              <w:rPr/>
              <w:t>7.27</w:t>
            </w:r>
          </w:p>
        </w:tc>
        <w:tc>
          <w:tcPr>
            <w:tcW w:w="1807" w:type="dxa"/>
            <w:tcBorders>
              <w:left w:val="single" w:sz="4" w:space="0" w:color="000000"/>
              <w:bottom w:val="single" w:sz="4" w:space="0" w:color="000000"/>
            </w:tcBorders>
          </w:tcPr>
          <w:p>
            <w:pPr>
              <w:pStyle w:val="TableContents"/>
              <w:spacing w:before="0" w:after="160"/>
              <w:jc w:val="center"/>
              <w:rPr/>
            </w:pPr>
            <w:r>
              <w:rPr/>
              <w:t>96.18%</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18.54</w:t>
            </w:r>
          </w:p>
        </w:tc>
      </w:tr>
      <w:tr>
        <w:trPr/>
        <w:tc>
          <w:tcPr>
            <w:tcW w:w="1805" w:type="dxa"/>
            <w:tcBorders>
              <w:left w:val="single" w:sz="4" w:space="0" w:color="000000"/>
              <w:bottom w:val="single" w:sz="4" w:space="0" w:color="000000"/>
            </w:tcBorders>
          </w:tcPr>
          <w:p>
            <w:pPr>
              <w:pStyle w:val="TableContents"/>
              <w:spacing w:before="0" w:after="160"/>
              <w:jc w:val="center"/>
              <w:rPr/>
            </w:pPr>
            <w:r>
              <w:rPr/>
              <w:t>Decision Tree</w:t>
            </w:r>
          </w:p>
        </w:tc>
        <w:tc>
          <w:tcPr>
            <w:tcW w:w="1805" w:type="dxa"/>
            <w:tcBorders>
              <w:left w:val="single" w:sz="4" w:space="0" w:color="000000"/>
              <w:bottom w:val="single" w:sz="4" w:space="0" w:color="000000"/>
            </w:tcBorders>
          </w:tcPr>
          <w:p>
            <w:pPr>
              <w:pStyle w:val="TableContents"/>
              <w:spacing w:before="0" w:after="160"/>
              <w:jc w:val="center"/>
              <w:rPr/>
            </w:pPr>
            <w:r>
              <w:rPr/>
              <w:t>95.12%</w:t>
            </w:r>
          </w:p>
        </w:tc>
        <w:tc>
          <w:tcPr>
            <w:tcW w:w="1801" w:type="dxa"/>
            <w:tcBorders>
              <w:left w:val="single" w:sz="4" w:space="0" w:color="000000"/>
              <w:bottom w:val="single" w:sz="4" w:space="0" w:color="000000"/>
            </w:tcBorders>
          </w:tcPr>
          <w:p>
            <w:pPr>
              <w:pStyle w:val="Normal"/>
              <w:spacing w:before="0" w:after="160"/>
              <w:jc w:val="center"/>
              <w:rPr/>
            </w:pPr>
            <w:r>
              <w:rPr/>
              <w:t>6.68</w:t>
            </w:r>
          </w:p>
        </w:tc>
        <w:tc>
          <w:tcPr>
            <w:tcW w:w="1807" w:type="dxa"/>
            <w:tcBorders>
              <w:left w:val="single" w:sz="4" w:space="0" w:color="000000"/>
              <w:bottom w:val="single" w:sz="4" w:space="0" w:color="000000"/>
            </w:tcBorders>
          </w:tcPr>
          <w:p>
            <w:pPr>
              <w:pStyle w:val="TableContents"/>
              <w:spacing w:before="0" w:after="160"/>
              <w:jc w:val="center"/>
              <w:rPr/>
            </w:pPr>
            <w:r>
              <w:rPr/>
              <w:t>96.20%</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0.70</w:t>
            </w:r>
          </w:p>
        </w:tc>
      </w:tr>
      <w:tr>
        <w:trPr/>
        <w:tc>
          <w:tcPr>
            <w:tcW w:w="1805" w:type="dxa"/>
            <w:tcBorders>
              <w:left w:val="single" w:sz="4" w:space="0" w:color="000000"/>
              <w:bottom w:val="single" w:sz="4" w:space="0" w:color="000000"/>
            </w:tcBorders>
          </w:tcPr>
          <w:p>
            <w:pPr>
              <w:pStyle w:val="TableContents"/>
              <w:spacing w:before="0" w:after="160"/>
              <w:jc w:val="center"/>
              <w:rPr/>
            </w:pPr>
            <w:r>
              <w:rPr/>
              <w:t>Gaussian Naive Bayes</w:t>
            </w:r>
          </w:p>
        </w:tc>
        <w:tc>
          <w:tcPr>
            <w:tcW w:w="1805" w:type="dxa"/>
            <w:tcBorders>
              <w:left w:val="single" w:sz="4" w:space="0" w:color="000000"/>
              <w:bottom w:val="single" w:sz="4" w:space="0" w:color="000000"/>
            </w:tcBorders>
          </w:tcPr>
          <w:p>
            <w:pPr>
              <w:pStyle w:val="TableContents"/>
              <w:spacing w:before="0" w:after="160"/>
              <w:jc w:val="center"/>
              <w:rPr/>
            </w:pPr>
            <w:r>
              <w:rPr/>
              <w:t>93.89%</w:t>
            </w:r>
          </w:p>
        </w:tc>
        <w:tc>
          <w:tcPr>
            <w:tcW w:w="1801" w:type="dxa"/>
            <w:tcBorders>
              <w:left w:val="single" w:sz="4" w:space="0" w:color="000000"/>
              <w:bottom w:val="single" w:sz="4" w:space="0" w:color="000000"/>
            </w:tcBorders>
          </w:tcPr>
          <w:p>
            <w:pPr>
              <w:pStyle w:val="Normal"/>
              <w:spacing w:before="0" w:after="160"/>
              <w:jc w:val="center"/>
              <w:rPr/>
            </w:pPr>
            <w:r>
              <w:rPr/>
              <w:t>0.26</w:t>
            </w:r>
          </w:p>
        </w:tc>
        <w:tc>
          <w:tcPr>
            <w:tcW w:w="1807" w:type="dxa"/>
            <w:tcBorders>
              <w:left w:val="single" w:sz="4" w:space="0" w:color="000000"/>
              <w:bottom w:val="single" w:sz="4" w:space="0" w:color="000000"/>
            </w:tcBorders>
          </w:tcPr>
          <w:p>
            <w:pPr>
              <w:pStyle w:val="TableContents"/>
              <w:spacing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2.84</w:t>
            </w:r>
          </w:p>
        </w:tc>
      </w:tr>
      <w:tr>
        <w:trPr/>
        <w:tc>
          <w:tcPr>
            <w:tcW w:w="1805" w:type="dxa"/>
            <w:tcBorders>
              <w:left w:val="single" w:sz="4" w:space="0" w:color="000000"/>
              <w:bottom w:val="single" w:sz="4" w:space="0" w:color="000000"/>
            </w:tcBorders>
          </w:tcPr>
          <w:p>
            <w:pPr>
              <w:pStyle w:val="TableContents"/>
              <w:spacing w:before="0" w:after="160"/>
              <w:jc w:val="center"/>
              <w:rPr/>
            </w:pPr>
            <w:r>
              <w:rPr/>
              <w:t>K-Nearest neighbours</w:t>
            </w:r>
          </w:p>
        </w:tc>
        <w:tc>
          <w:tcPr>
            <w:tcW w:w="1805" w:type="dxa"/>
            <w:tcBorders>
              <w:left w:val="single" w:sz="4" w:space="0" w:color="000000"/>
              <w:bottom w:val="single" w:sz="4" w:space="0" w:color="000000"/>
            </w:tcBorders>
          </w:tcPr>
          <w:p>
            <w:pPr>
              <w:pStyle w:val="TableContents"/>
              <w:spacing w:before="0" w:after="160"/>
              <w:jc w:val="center"/>
              <w:rPr/>
            </w:pPr>
            <w:r>
              <w:rPr/>
              <w:t>93.89%</w:t>
            </w:r>
          </w:p>
        </w:tc>
        <w:tc>
          <w:tcPr>
            <w:tcW w:w="1801" w:type="dxa"/>
            <w:tcBorders>
              <w:left w:val="single" w:sz="4" w:space="0" w:color="000000"/>
              <w:bottom w:val="single" w:sz="4" w:space="0" w:color="000000"/>
            </w:tcBorders>
          </w:tcPr>
          <w:p>
            <w:pPr>
              <w:pStyle w:val="Normal"/>
              <w:spacing w:before="0" w:after="160"/>
              <w:jc w:val="center"/>
              <w:rPr/>
            </w:pPr>
            <w:r>
              <w:rPr/>
              <w:t>0.30</w:t>
            </w:r>
          </w:p>
        </w:tc>
        <w:tc>
          <w:tcPr>
            <w:tcW w:w="1807" w:type="dxa"/>
            <w:tcBorders>
              <w:left w:val="single" w:sz="4" w:space="0" w:color="000000"/>
              <w:bottom w:val="single" w:sz="4" w:space="0" w:color="000000"/>
            </w:tcBorders>
          </w:tcPr>
          <w:p>
            <w:pPr>
              <w:pStyle w:val="TableContents"/>
              <w:spacing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3.84</w:t>
            </w:r>
          </w:p>
        </w:tc>
      </w:tr>
      <w:tr>
        <w:trPr/>
        <w:tc>
          <w:tcPr>
            <w:tcW w:w="1805" w:type="dxa"/>
            <w:tcBorders>
              <w:left w:val="single" w:sz="4" w:space="0" w:color="000000"/>
              <w:bottom w:val="single" w:sz="4" w:space="0" w:color="000000"/>
            </w:tcBorders>
          </w:tcPr>
          <w:p>
            <w:pPr>
              <w:pStyle w:val="TableContents"/>
              <w:spacing w:before="0" w:after="160"/>
              <w:jc w:val="center"/>
              <w:rPr/>
            </w:pPr>
            <w:r>
              <w:rPr/>
              <w:t>LSTM</w:t>
            </w:r>
          </w:p>
        </w:tc>
        <w:tc>
          <w:tcPr>
            <w:tcW w:w="1805" w:type="dxa"/>
            <w:tcBorders>
              <w:left w:val="single" w:sz="4" w:space="0" w:color="000000"/>
              <w:bottom w:val="single" w:sz="4" w:space="0" w:color="000000"/>
            </w:tcBorders>
          </w:tcPr>
          <w:p>
            <w:pPr>
              <w:pStyle w:val="TableContents"/>
              <w:spacing w:before="0" w:after="160"/>
              <w:jc w:val="center"/>
              <w:rPr/>
            </w:pPr>
            <w:r>
              <w:rPr/>
              <w:t>95.49%</w:t>
            </w:r>
          </w:p>
        </w:tc>
        <w:tc>
          <w:tcPr>
            <w:tcW w:w="1801" w:type="dxa"/>
            <w:tcBorders>
              <w:left w:val="single" w:sz="4" w:space="0" w:color="000000"/>
              <w:bottom w:val="single" w:sz="4" w:space="0" w:color="000000"/>
            </w:tcBorders>
          </w:tcPr>
          <w:p>
            <w:pPr>
              <w:pStyle w:val="Normal"/>
              <w:spacing w:before="0" w:after="160"/>
              <w:jc w:val="center"/>
              <w:rPr/>
            </w:pPr>
            <w:r>
              <w:rPr/>
              <w:t>671</w:t>
            </w:r>
          </w:p>
        </w:tc>
        <w:tc>
          <w:tcPr>
            <w:tcW w:w="1807" w:type="dxa"/>
            <w:tcBorders>
              <w:left w:val="single" w:sz="4" w:space="0" w:color="000000"/>
              <w:bottom w:val="single" w:sz="4" w:space="0" w:color="000000"/>
            </w:tcBorders>
          </w:tcPr>
          <w:p>
            <w:pPr>
              <w:pStyle w:val="TableContents"/>
              <w:spacing w:before="0" w:after="160"/>
              <w:jc w:val="center"/>
              <w:rPr/>
            </w:pPr>
            <w:r>
              <w:rPr/>
              <w:t>96.00%</w:t>
            </w:r>
          </w:p>
        </w:tc>
        <w:tc>
          <w:tcPr>
            <w:tcW w:w="1808" w:type="dxa"/>
            <w:tcBorders>
              <w:left w:val="single" w:sz="4" w:space="0" w:color="000000"/>
              <w:bottom w:val="single" w:sz="4" w:space="0" w:color="000000"/>
              <w:right w:val="single" w:sz="4" w:space="0" w:color="000000"/>
            </w:tcBorders>
          </w:tcPr>
          <w:p>
            <w:pPr>
              <w:pStyle w:val="TableContents"/>
              <w:spacing w:before="0" w:after="160"/>
              <w:jc w:val="center"/>
              <w:rPr/>
            </w:pPr>
            <w:r>
              <w:rPr/>
              <w:t>622</w:t>
            </w:r>
          </w:p>
        </w:tc>
      </w:tr>
    </w:tbl>
    <w:p>
      <w:pPr>
        <w:pStyle w:val="Normal"/>
        <w:spacing w:lineRule="auto" w:line="240"/>
        <w:jc w:val="center"/>
        <w:rPr>
          <w:i/>
          <w:i/>
          <w:iCs/>
        </w:rPr>
      </w:pPr>
      <w:r>
        <w:rPr>
          <w:i/>
          <w:iCs/>
        </w:rPr>
        <w:t>Table 1. Comparison of accuracies</w:t>
      </w:r>
      <w:r>
        <w:br w:type="page"/>
      </w:r>
    </w:p>
    <w:p>
      <w:pPr>
        <w:pStyle w:val="Normal"/>
        <w:spacing w:lineRule="auto" w:line="240" w:before="0" w:after="160"/>
        <w:rPr>
          <w:b/>
          <w:bCs/>
          <w:sz w:val="32"/>
          <w:szCs w:val="32"/>
        </w:rPr>
      </w:pPr>
      <w:r>
        <w:rPr>
          <w:b/>
          <w:bCs/>
          <w:sz w:val="32"/>
          <w:szCs w:val="32"/>
        </w:rPr>
        <w:t>Conclusion and Future Work</w:t>
      </w:r>
    </w:p>
    <w:p>
      <w:pPr>
        <w:pStyle w:val="Normal"/>
        <w:spacing w:lineRule="auto" w:line="240" w:before="0" w:after="160"/>
        <w:rPr>
          <w:b w:val="false"/>
          <w:bCs w:val="false"/>
          <w:sz w:val="28"/>
          <w:szCs w:val="28"/>
        </w:rPr>
      </w:pPr>
      <w:r>
        <w:rPr>
          <w:b w:val="false"/>
          <w:bCs w:val="false"/>
          <w:sz w:val="28"/>
          <w:szCs w:val="28"/>
        </w:rPr>
        <w:t>The banking sector has supported entire economies through the process of disbursing loans to the people. It is one the major sources of income for a bank, hence, the task of accurately predicting whether a given customer will be able to repay the loan or will default the loan becomes even more crucial. Complex problems like these can be automated by harnessing the power of machine learning algorithms. Machine learning algorithms when fed with correct and sufficient amount can make up to 100% correct predictions.</w:t>
      </w:r>
    </w:p>
    <w:p>
      <w:pPr>
        <w:pStyle w:val="Normal"/>
        <w:spacing w:lineRule="auto" w:line="240" w:before="0" w:after="160"/>
        <w:rPr>
          <w:b w:val="false"/>
          <w:bCs w:val="false"/>
          <w:sz w:val="28"/>
          <w:szCs w:val="28"/>
        </w:rPr>
      </w:pPr>
      <w:r>
        <w:rPr>
          <w:b w:val="false"/>
          <w:bCs w:val="false"/>
          <w:sz w:val="28"/>
          <w:szCs w:val="28"/>
        </w:rPr>
        <w:t>In this experimental study, the performance of 8 different kinds of machine learning models is compared using accuracy as metric for evaluation. Given the nature of dataset used, gradient boosting algorithms performed the best. XGBoost and AdaBoost models performed the best (reaching almost 99%) before and after applying PCA respectively. This study showcases that machine learning models can be applied on real-world banking data to automate the process of predicting loan defaults and solve the complex problem revolutionising the banking industry forever.</w:t>
      </w:r>
    </w:p>
    <w:p>
      <w:pPr>
        <w:pStyle w:val="Normal"/>
        <w:spacing w:lineRule="auto" w:line="240" w:before="0" w:after="160"/>
        <w:rPr>
          <w:b w:val="false"/>
          <w:bCs w:val="false"/>
          <w:sz w:val="28"/>
          <w:szCs w:val="28"/>
        </w:rPr>
      </w:pPr>
      <w:r>
        <w:rPr>
          <w:b w:val="false"/>
          <w:bCs w:val="false"/>
          <w:sz w:val="28"/>
          <w:szCs w:val="28"/>
        </w:rPr>
        <w:t>Future research on this topic has the potential to scale these models to be practically applied in a real-world banking institution. Using different validation techniques and diversifying model choices, the accuracy can be improved further. Based on the results in this experimental study, it can be proved that machine learning and deep learning models have immense prospect in the financial sector.</w:t>
      </w:r>
      <w:r>
        <w:br w:type="page"/>
      </w:r>
    </w:p>
    <w:p>
      <w:pPr>
        <w:pStyle w:val="Normal"/>
        <w:spacing w:lineRule="auto" w:line="240" w:before="0" w:after="160"/>
        <w:rPr>
          <w:b/>
          <w:bCs/>
          <w:sz w:val="32"/>
          <w:szCs w:val="32"/>
        </w:rPr>
      </w:pPr>
      <w:r>
        <w:rPr>
          <w:b/>
          <w:bCs/>
          <w:sz w:val="32"/>
          <w:szCs w:val="32"/>
        </w:rPr>
        <w:t>References</w:t>
      </w:r>
    </w:p>
    <w:p>
      <w:pPr>
        <w:pStyle w:val="Normal"/>
        <w:spacing w:lineRule="auto" w:line="240"/>
        <w:rPr>
          <w:sz w:val="28"/>
          <w:szCs w:val="28"/>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240"/>
        <w:rPr>
          <w:sz w:val="28"/>
          <w:szCs w:val="28"/>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24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240"/>
        <w:rPr>
          <w:sz w:val="28"/>
          <w:szCs w:val="28"/>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240"/>
        <w:rPr>
          <w:sz w:val="28"/>
          <w:szCs w:val="28"/>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240"/>
        <w:rPr>
          <w:sz w:val="28"/>
          <w:szCs w:val="28"/>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24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24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24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6">
        <w:r>
          <w:rPr>
            <w:rStyle w:val="Hyperlink"/>
            <w:sz w:val="28"/>
            <w:szCs w:val="28"/>
          </w:rPr>
          <w:t>https://doi.org/10.1093/jjfinec/nbab010</w:t>
        </w:r>
      </w:hyperlink>
    </w:p>
    <w:p>
      <w:pPr>
        <w:pStyle w:val="Normal"/>
        <w:spacing w:lineRule="auto" w:line="240"/>
        <w:rPr/>
      </w:pPr>
      <w:r>
        <w:rPr>
          <w:sz w:val="28"/>
          <w:szCs w:val="28"/>
        </w:rPr>
        <w:t xml:space="preserve">[10]Bagga, S., Goyal, A., Gupta, N., &amp; Goyal, A. (2020). Credit Card Fraud Detection using Pipeling and Ensemble Learning. In Procedia Computer Science (Vol. 173, pp. 104–112). Elsevier BV. </w:t>
      </w:r>
      <w:hyperlink r:id="rId7">
        <w:r>
          <w:rPr>
            <w:rStyle w:val="Hyperlink"/>
            <w:sz w:val="28"/>
            <w:szCs w:val="28"/>
          </w:rPr>
          <w:t>https://doi.org/10.1016/j.procs.2020.06.014</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[11]Kim, H., Cho, H., &amp; Ryu, D. (2020). Corporate Default Predictions Using Machine Learning: Literature Review. In Sustainability (Vol. 12, Issue 16, p. 6325). MDPI AG. </w:t>
      </w:r>
      <w:hyperlink r:id="rId8">
        <w:r>
          <w:rPr>
            <w:rStyle w:val="Hyperlink"/>
            <w:sz w:val="28"/>
            <w:szCs w:val="28"/>
          </w:rPr>
          <w:t>https://doi.org/10.3390/su12166325</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[12]Zhu, L., Qiu, D., Ergu, D., Ying, C., &amp; Liu, K. (2019). A study on predicting loan default based on the random forest algorithm. In Procedia Computer Science (Vol. 162, pp. 503–513). Elsevier BV. </w:t>
      </w:r>
      <w:hyperlink r:id="rId9">
        <w:r>
          <w:rPr>
            <w:rStyle w:val="Hyperlink"/>
            <w:sz w:val="28"/>
            <w:szCs w:val="28"/>
          </w:rPr>
          <w:t>https://doi.org/10.1016/j.procs.2019.12.017</w:t>
        </w:r>
      </w:hyperlink>
    </w:p>
    <w:p>
      <w:pPr>
        <w:pStyle w:val="Normal"/>
        <w:spacing w:lineRule="auto" w:line="240"/>
        <w:rPr/>
      </w:pPr>
      <w:r>
        <w:rPr/>
      </w:r>
    </w:p>
    <w:p>
      <w:pPr>
        <w:pStyle w:val="Normal"/>
        <w:spacing w:lineRule="auto" w:line="24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name w:val="Bullets"/>
    <w:qFormat/>
    <w:rPr>
      <w:rFonts w:ascii="OpenSymbol" w:hAnsi="OpenSymbol" w:eastAsia="OpenSymbol" w:cs="OpenSymbol"/>
    </w:rPr>
  </w:style>
  <w:style w:type="character" w:styleId="Hyper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itle">
    <w:name w:val="Title"/>
    <w:basedOn w:val="Normal"/>
    <w:next w:val="Normal"/>
    <w:link w:val="TitleChar"/>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hanging="0" w:left="720" w:right="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hanging="0" w:left="864" w:right="864"/>
      <w:jc w:val="center"/>
    </w:pPr>
    <w:rPr>
      <w:i/>
      <w:iCs/>
      <w:color w:val="0F476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93/jjfinec/nbab010" TargetMode="External"/><Relationship Id="rId7" Type="http://schemas.openxmlformats.org/officeDocument/2006/relationships/hyperlink" Target="https://doi.org/10.1016/j.procs.2020.06.014" TargetMode="External"/><Relationship Id="rId8" Type="http://schemas.openxmlformats.org/officeDocument/2006/relationships/hyperlink" Target="https://doi.org/10.3390/su12166325" TargetMode="External"/><Relationship Id="rId9" Type="http://schemas.openxmlformats.org/officeDocument/2006/relationships/hyperlink" Target="https://doi.org/10.1016/j.procs.2019.12.017"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829</TotalTime>
  <Application>LibreOffice/7.6.5.2$Linux_X86_64 LibreOffice_project/60$Build-2</Application>
  <AppVersion>15.0000</AppVersion>
  <Pages>14</Pages>
  <Words>2999</Words>
  <Characters>16460</Characters>
  <CharactersWithSpaces>19355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2024-03-13T10:33:35Z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