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A3A" w:rsidP="00220A3A" w:rsidRDefault="00220A3A" w14:paraId="41F4EE4A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Do GCs with many years of preconception experience tend to agree with Q103_1 - Q103_7 more often than GCs with less years of preconception experience? </w:t>
      </w:r>
    </w:p>
    <w:p w:rsidR="00220A3A" w:rsidP="00220A3A" w:rsidRDefault="00220A3A" w14:paraId="6C667255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Is there a relation between respondents with  different years of preconception experience (Q10) and their ratings on Q103_1 - Q103_7?</w:t>
      </w:r>
    </w:p>
    <w:p w:rsidR="00220A3A" w:rsidP="00220A3A" w:rsidRDefault="00220A3A" w14:paraId="313D24D6" w14:textId="7777777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220A3A" w:rsidP="00220A3A" w:rsidRDefault="00220A3A" w14:paraId="11BAE642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Do the GCs that have encountered a patient that requested affected embryo transfer tend to agree with Q103_1 - Q103_7 more often than GCs who have not encountered a request?</w:t>
      </w:r>
    </w:p>
    <w:p w:rsidR="00220A3A" w:rsidP="00220A3A" w:rsidRDefault="00220A3A" w14:paraId="4A203483" w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Is there a relation between the ratings of  Q103_1 - Q103_7 of respondents who answered yes to Q7 and the ratings of  Q103_1 - Q103_7  of respondents who answered no to Q7?</w:t>
      </w:r>
    </w:p>
    <w:p w:rsidR="00220A3A" w:rsidP="00220A3A" w:rsidRDefault="00220A3A" w14:paraId="508B6AD1" w14:textId="7777777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220A3A" w:rsidP="00220A3A" w:rsidRDefault="00220A3A" w14:paraId="0F8DBCFB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Do the GCs that have many years of preconception experience (Q10) tend to have encountered a patient that requested embryo transfer (Q7) more than GCs that have less years of preconception experience?</w:t>
      </w:r>
    </w:p>
    <w:p w:rsidR="00220A3A" w:rsidP="00220A3A" w:rsidRDefault="00220A3A" w14:paraId="4B978F9F" w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Is there a relation between respondents with  different years of preconception experience (Q10) and their # of patient encounters (Q7)?</w:t>
      </w:r>
    </w:p>
    <w:p w:rsidR="00220A3A" w:rsidP="00220A3A" w:rsidRDefault="00220A3A" w14:paraId="106DA793" w14:textId="7777777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220A3A" w:rsidP="00220A3A" w:rsidRDefault="00220A3A" w14:paraId="59C25997" w14:textId="7777777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220A3A" w:rsidP="00220A3A" w:rsidRDefault="00220A3A" w14:paraId="0FF3CF9F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Do GCs with many years of patient-facing genetic counseling experience (Q3) tend to agree with Q103_1 - Q103_7 more often than GCs with less years of patient-facing genetic counseling experience? </w:t>
      </w:r>
    </w:p>
    <w:p w:rsidR="00220A3A" w:rsidP="28AFC33C" w:rsidRDefault="00220A3A" w14:paraId="1770D178" w14:textId="77777777" w14:noSpellErr="1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textAlignment w:val="baseline"/>
        <w:rPr>
          <w:rFonts w:ascii="Calibri" w:hAnsi="Calibri" w:cs="Calibri"/>
          <w:b w:val="1"/>
          <w:bCs w:val="1"/>
          <w:color w:val="000000"/>
          <w:sz w:val="28"/>
          <w:szCs w:val="28"/>
        </w:rPr>
      </w:pPr>
      <w:r w:rsidRPr="28AFC33C" w:rsidR="00220A3A">
        <w:rPr>
          <w:rFonts w:ascii="Calibri" w:hAnsi="Calibri" w:cs="Calibri"/>
          <w:b w:val="1"/>
          <w:bCs w:val="1"/>
          <w:color w:val="000000" w:themeColor="text1" w:themeTint="FF" w:themeShade="FF"/>
          <w:sz w:val="28"/>
          <w:szCs w:val="28"/>
        </w:rPr>
        <w:t>Is there a relation between respondents with  different years of patient-facing GC experience (Q3) and their ratings on Q103_1 - Q103_7?</w:t>
      </w:r>
    </w:p>
    <w:p w:rsidR="28AFC33C" w:rsidP="28AFC33C" w:rsidRDefault="28AFC33C" w14:paraId="565E0E72" w14:textId="21CE4A3E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0220A3A" w:rsidP="00220A3A" w:rsidRDefault="00220A3A" w14:paraId="5E209FBD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Do GCs with many years of patient-facing genetic counseling experience (Q3) tend to agree with Q103_1 - Q103_7 more often than GCs with less years of patient-facing genetic counseling experience? </w:t>
      </w:r>
    </w:p>
    <w:p w:rsidR="00220A3A" w:rsidP="00220A3A" w:rsidRDefault="00220A3A" w14:paraId="249D09E0" w14:textId="7777777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Is there a relation between Q3 answers and the corresponding ratings of Q103_1 - Q103_7? </w:t>
      </w:r>
    </w:p>
    <w:p w:rsidR="00220A3A" w:rsidP="00220A3A" w:rsidRDefault="00220A3A" w14:paraId="3790A5A6" w14:textId="7777777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220A3A" w:rsidP="00220A3A" w:rsidRDefault="00220A3A" w14:paraId="432FB1E3" w14:textId="7777777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220A3A" w:rsidP="00220A3A" w:rsidRDefault="00220A3A" w14:paraId="17C8307A" w14:textId="7777777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220A3A" w:rsidP="00220A3A" w:rsidRDefault="00220A3A" w14:paraId="75F87815" w14:textId="7229348C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220A3A" w:rsidP="00220A3A" w:rsidRDefault="00220A3A" w14:paraId="31D1CBCE" w14:textId="58847BDF">
      <w:pPr>
        <w:pStyle w:val="NormalWeb"/>
        <w:shd w:val="clear" w:color="auto" w:fill="FFFFFF"/>
        <w:spacing w:before="0" w:beforeAutospacing="0" w:after="0" w:afterAutospacing="0"/>
      </w:pPr>
    </w:p>
    <w:p w:rsidR="00220A3A" w:rsidP="00220A3A" w:rsidRDefault="00220A3A" w14:paraId="6D90F246" w14:textId="6CAB6695">
      <w:pPr>
        <w:pStyle w:val="NormalWeb"/>
        <w:shd w:val="clear" w:color="auto" w:fill="FFFFFF"/>
        <w:spacing w:before="0" w:beforeAutospacing="0" w:after="0" w:afterAutospacing="0"/>
      </w:pPr>
    </w:p>
    <w:p w:rsidR="00220A3A" w:rsidP="00220A3A" w:rsidRDefault="00220A3A" w14:paraId="068B456A" w14:textId="27F29A8C">
      <w:pPr>
        <w:pStyle w:val="NormalWeb"/>
        <w:shd w:val="clear" w:color="auto" w:fill="FFFFFF"/>
        <w:spacing w:before="0" w:beforeAutospacing="0" w:after="0" w:afterAutospacing="0"/>
      </w:pPr>
    </w:p>
    <w:p w:rsidR="00220A3A" w:rsidP="00220A3A" w:rsidRDefault="00220A3A" w14:paraId="211FB8B0" w14:textId="58FD0AE2">
      <w:pPr>
        <w:pStyle w:val="NormalWeb"/>
        <w:shd w:val="clear" w:color="auto" w:fill="FFFFFF"/>
        <w:spacing w:before="0" w:beforeAutospacing="0" w:after="0" w:afterAutospacing="0"/>
      </w:pPr>
    </w:p>
    <w:p w:rsidR="00220A3A" w:rsidP="00220A3A" w:rsidRDefault="00220A3A" w14:paraId="7E975CDC" w14:textId="77777777">
      <w:pPr>
        <w:pStyle w:val="NormalWeb"/>
        <w:shd w:val="clear" w:color="auto" w:fill="FFFFFF"/>
        <w:spacing w:before="0" w:beforeAutospacing="0" w:after="0" w:afterAutospacing="0"/>
      </w:pPr>
    </w:p>
    <w:p w:rsidR="00220A3A" w:rsidP="00220A3A" w:rsidRDefault="00220A3A" w14:paraId="5823AD92" w14:textId="7777777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220A3A" w:rsidP="00220A3A" w:rsidRDefault="00220A3A" w14:paraId="6BC6A243" w14:textId="77777777">
      <w:pPr>
        <w:pStyle w:val="NormalWeb"/>
        <w:shd w:val="clear" w:color="auto" w:fill="FFFFFF"/>
        <w:spacing w:before="0" w:beforeAutospacing="0" w:after="0" w:afterAutospacing="0"/>
      </w:pPr>
      <w:r w:rsidRPr="28AFC33C" w:rsidR="00220A3A">
        <w:rPr>
          <w:rFonts w:ascii="Calibri" w:hAnsi="Calibri" w:cs="Calibri"/>
          <w:color w:val="000000" w:themeColor="text1" w:themeTint="FF" w:themeShade="FF"/>
          <w:sz w:val="28"/>
          <w:szCs w:val="28"/>
        </w:rPr>
        <w:t>Do GCs with many years of patient-facing genetic counseling experience (Q3) tend to agree with the embryo transfer justification of “</w:t>
      </w:r>
      <w:r w:rsidRPr="28AFC33C" w:rsidR="00220A3A">
        <w:rPr>
          <w:rFonts w:ascii="Calibri" w:hAnsi="Calibri" w:cs="Calibri"/>
          <w:color w:val="FF0000"/>
          <w:sz w:val="28"/>
          <w:szCs w:val="28"/>
        </w:rPr>
        <w:t>quality of life</w:t>
      </w:r>
      <w:r w:rsidRPr="28AFC33C" w:rsidR="00220A3A">
        <w:rPr>
          <w:rFonts w:ascii="Calibri" w:hAnsi="Calibri" w:cs="Calibri"/>
          <w:color w:val="000000" w:themeColor="text1" w:themeTint="FF" w:themeShade="FF"/>
          <w:sz w:val="28"/>
          <w:szCs w:val="28"/>
        </w:rPr>
        <w:t>” across conditions (</w:t>
      </w:r>
      <w:r w:rsidRPr="28AFC33C" w:rsidR="00220A3A">
        <w:rPr>
          <w:rFonts w:ascii="Arial" w:hAnsi="Arial" w:cs="Arial"/>
          <w:color w:val="000000" w:themeColor="text1" w:themeTint="FF" w:themeShade="FF"/>
          <w:sz w:val="22"/>
          <w:szCs w:val="22"/>
        </w:rPr>
        <w:t>Q24, Q31, 32, 108, 113, 51, 110)</w:t>
      </w:r>
      <w:r w:rsidRPr="28AFC33C" w:rsidR="00220A3A">
        <w:rPr>
          <w:rFonts w:ascii="Calibri" w:hAnsi="Calibri" w:cs="Calibri"/>
          <w:color w:val="000000" w:themeColor="text1" w:themeTint="FF" w:themeShade="FF"/>
          <w:sz w:val="28"/>
          <w:szCs w:val="28"/>
        </w:rPr>
        <w:t xml:space="preserve"> more often than GCs with less years of patient-facing genetic counseling experience? </w:t>
      </w:r>
    </w:p>
    <w:p w:rsidR="28AFC33C" w:rsidP="28AFC33C" w:rsidRDefault="28AFC33C" w14:paraId="1D53B041" w14:textId="2087FAA6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220A3A" w:rsidP="00220A3A" w:rsidRDefault="00220A3A" w14:paraId="3E4BD794" w14:textId="7777777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 w:val="1"/>
          <w:bCs w:val="1"/>
          <w:color w:val="000000"/>
          <w:sz w:val="28"/>
          <w:szCs w:val="28"/>
        </w:rPr>
      </w:pPr>
      <w:r w:rsidRPr="28AFC33C" w:rsidR="00220A3A">
        <w:rPr>
          <w:rFonts w:ascii="Calibri" w:hAnsi="Calibri" w:cs="Calibri"/>
          <w:b w:val="1"/>
          <w:bCs w:val="1"/>
          <w:color w:val="000000" w:themeColor="text1" w:themeTint="FF" w:themeShade="FF"/>
          <w:sz w:val="28"/>
          <w:szCs w:val="28"/>
        </w:rPr>
        <w:t xml:space="preserve">Is there a relation between respondents with  different years of patient-facing GC experience (Q3) and their ratings on </w:t>
      </w:r>
      <w:r w:rsidRPr="28AFC33C" w:rsidR="00220A3A">
        <w:rPr>
          <w:rFonts w:ascii="Arial" w:hAnsi="Arial" w:cs="Arial"/>
          <w:color w:val="000000" w:themeColor="text1" w:themeTint="FF" w:themeShade="FF"/>
          <w:sz w:val="22"/>
          <w:szCs w:val="22"/>
        </w:rPr>
        <w:t>Q24, Q31, 32, 108, 113, 51, 110</w:t>
      </w:r>
      <w:r w:rsidRPr="28AFC33C" w:rsidR="00220A3A">
        <w:rPr>
          <w:rFonts w:ascii="Calibri" w:hAnsi="Calibri" w:cs="Calibri"/>
          <w:b w:val="1"/>
          <w:bCs w:val="1"/>
          <w:color w:val="000000" w:themeColor="text1" w:themeTint="FF" w:themeShade="FF"/>
          <w:sz w:val="28"/>
          <w:szCs w:val="28"/>
        </w:rPr>
        <w:t>?</w:t>
      </w:r>
    </w:p>
    <w:p w:rsidR="00220A3A" w:rsidP="00220A3A" w:rsidRDefault="00220A3A" w14:paraId="7E9A30B0" w14:textId="7777777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220A3A" w:rsidP="00220A3A" w:rsidRDefault="00220A3A" w14:paraId="7C4ACDAA" w14:textId="77777777">
      <w:pPr>
        <w:pStyle w:val="NormalWeb"/>
        <w:shd w:val="clear" w:color="auto" w:fill="FFFFFF"/>
        <w:spacing w:before="0" w:beforeAutospacing="0" w:after="0" w:afterAutospacing="0"/>
      </w:pPr>
      <w:r w:rsidRPr="28AFC33C" w:rsidR="00220A3A">
        <w:rPr>
          <w:rFonts w:ascii="Calibri" w:hAnsi="Calibri" w:cs="Calibri"/>
          <w:color w:val="000000" w:themeColor="text1" w:themeTint="FF" w:themeShade="FF"/>
          <w:sz w:val="28"/>
          <w:szCs w:val="28"/>
        </w:rPr>
        <w:t>Do GCs with many years of patient-facing genetic counseling experience (Q3) tend to agree with the embryo transfer justification of “</w:t>
      </w:r>
      <w:r w:rsidRPr="28AFC33C" w:rsidR="00220A3A">
        <w:rPr>
          <w:rFonts w:ascii="Calibri" w:hAnsi="Calibri" w:cs="Calibri"/>
          <w:color w:val="FF0000"/>
          <w:sz w:val="28"/>
          <w:szCs w:val="28"/>
        </w:rPr>
        <w:t>family history</w:t>
      </w:r>
      <w:r w:rsidRPr="28AFC33C" w:rsidR="00220A3A">
        <w:rPr>
          <w:rFonts w:ascii="Calibri" w:hAnsi="Calibri" w:cs="Calibri"/>
          <w:color w:val="000000" w:themeColor="text1" w:themeTint="FF" w:themeShade="FF"/>
          <w:sz w:val="28"/>
          <w:szCs w:val="28"/>
        </w:rPr>
        <w:t>” across conditions (</w:t>
      </w:r>
      <w:r w:rsidRPr="28AFC33C" w:rsidR="00220A3A">
        <w:rPr>
          <w:rFonts w:ascii="Arial" w:hAnsi="Arial" w:cs="Arial"/>
          <w:color w:val="000000" w:themeColor="text1" w:themeTint="FF" w:themeShade="FF"/>
          <w:sz w:val="22"/>
          <w:szCs w:val="22"/>
        </w:rPr>
        <w:t>Q26, 30, 37, 40, 46, 52, 58)</w:t>
      </w:r>
      <w:r w:rsidRPr="28AFC33C" w:rsidR="00220A3A">
        <w:rPr>
          <w:rFonts w:ascii="Calibri" w:hAnsi="Calibri" w:cs="Calibri"/>
          <w:color w:val="000000" w:themeColor="text1" w:themeTint="FF" w:themeShade="FF"/>
          <w:sz w:val="28"/>
          <w:szCs w:val="28"/>
        </w:rPr>
        <w:t xml:space="preserve"> more often than GCs with less years of patient-facing genetic counseling experience? </w:t>
      </w:r>
    </w:p>
    <w:p w:rsidR="28AFC33C" w:rsidP="28AFC33C" w:rsidRDefault="28AFC33C" w14:paraId="5F93EAB2" w14:textId="1F1136C8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220A3A" w:rsidP="00220A3A" w:rsidRDefault="00220A3A" w14:paraId="5CC0EB2B" w14:textId="7777777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 w:val="1"/>
          <w:bCs w:val="1"/>
          <w:color w:val="000000"/>
          <w:sz w:val="28"/>
          <w:szCs w:val="28"/>
        </w:rPr>
      </w:pPr>
      <w:r w:rsidRPr="28AFC33C" w:rsidR="00220A3A">
        <w:rPr>
          <w:rFonts w:ascii="Calibri" w:hAnsi="Calibri" w:cs="Calibri"/>
          <w:b w:val="1"/>
          <w:bCs w:val="1"/>
          <w:color w:val="000000" w:themeColor="text1" w:themeTint="FF" w:themeShade="FF"/>
          <w:sz w:val="28"/>
          <w:szCs w:val="28"/>
        </w:rPr>
        <w:t xml:space="preserve">Is there a relation between respondents with  different years of patient-facing GC experience (Q3) and their ratings on </w:t>
      </w:r>
      <w:r w:rsidRPr="28AFC33C" w:rsidR="00220A3A">
        <w:rPr>
          <w:rFonts w:ascii="Arial" w:hAnsi="Arial" w:cs="Arial"/>
          <w:color w:val="000000" w:themeColor="text1" w:themeTint="FF" w:themeShade="FF"/>
          <w:sz w:val="22"/>
          <w:szCs w:val="22"/>
        </w:rPr>
        <w:t>Q26, 30, 37, 40, 46, 52, 58</w:t>
      </w:r>
      <w:r w:rsidRPr="28AFC33C" w:rsidR="00220A3A">
        <w:rPr>
          <w:rFonts w:ascii="Calibri" w:hAnsi="Calibri" w:cs="Calibri"/>
          <w:b w:val="1"/>
          <w:bCs w:val="1"/>
          <w:color w:val="000000" w:themeColor="text1" w:themeTint="FF" w:themeShade="FF"/>
          <w:sz w:val="28"/>
          <w:szCs w:val="28"/>
        </w:rPr>
        <w:t>?</w:t>
      </w:r>
    </w:p>
    <w:p w:rsidR="00220A3A" w:rsidP="00220A3A" w:rsidRDefault="00220A3A" w14:paraId="700AA690" w14:textId="7777777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220A3A" w:rsidP="00220A3A" w:rsidRDefault="00220A3A" w14:paraId="63A4C943" w14:textId="7777777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220A3A" w:rsidP="00220A3A" w:rsidRDefault="00220A3A" w14:paraId="6BB63479" w14:textId="0FD25F2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220A3A" w:rsidP="00220A3A" w:rsidRDefault="00220A3A" w14:paraId="48080466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Do GCs with many years of patient-facing genetic counseling experience (Q3) tend to agree with the embryo transfer justification of “</w:t>
      </w:r>
      <w:r>
        <w:rPr>
          <w:rFonts w:ascii="Arial" w:hAnsi="Arial" w:cs="Arial"/>
          <w:color w:val="FF0000"/>
          <w:sz w:val="22"/>
          <w:szCs w:val="22"/>
        </w:rPr>
        <w:t>Variability</w:t>
      </w:r>
      <w:r>
        <w:rPr>
          <w:rFonts w:ascii="Calibri" w:hAnsi="Calibri" w:cs="Calibri"/>
          <w:color w:val="000000"/>
          <w:sz w:val="28"/>
          <w:szCs w:val="28"/>
        </w:rPr>
        <w:t>” across conditions (</w:t>
      </w:r>
      <w:r>
        <w:rPr>
          <w:rFonts w:ascii="Arial" w:hAnsi="Arial" w:cs="Arial"/>
          <w:color w:val="000000"/>
          <w:sz w:val="22"/>
          <w:szCs w:val="22"/>
        </w:rPr>
        <w:t>Q23, 27 33, 38, 45, 56)</w:t>
      </w:r>
      <w:r>
        <w:rPr>
          <w:rFonts w:ascii="Calibri" w:hAnsi="Calibri" w:cs="Calibri"/>
          <w:color w:val="000000"/>
          <w:sz w:val="28"/>
          <w:szCs w:val="28"/>
        </w:rPr>
        <w:t xml:space="preserve"> more often than GCs with less years of patient-facing genetic counseling experience? </w:t>
      </w:r>
    </w:p>
    <w:p w:rsidR="00220A3A" w:rsidP="00220A3A" w:rsidRDefault="00220A3A" w14:paraId="769D97A4" w14:textId="7777777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220A3A" w:rsidP="00220A3A" w:rsidRDefault="00220A3A" w14:paraId="16CF5F93" w14:textId="7777777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 w:val="1"/>
          <w:bCs w:val="1"/>
          <w:color w:val="000000"/>
          <w:sz w:val="28"/>
          <w:szCs w:val="28"/>
        </w:rPr>
      </w:pPr>
      <w:r w:rsidRPr="28AFC33C" w:rsidR="00220A3A">
        <w:rPr>
          <w:rFonts w:ascii="Calibri" w:hAnsi="Calibri" w:cs="Calibri"/>
          <w:b w:val="1"/>
          <w:bCs w:val="1"/>
          <w:color w:val="000000" w:themeColor="text1" w:themeTint="FF" w:themeShade="FF"/>
          <w:sz w:val="28"/>
          <w:szCs w:val="28"/>
        </w:rPr>
        <w:t xml:space="preserve">Is there a relation between respondents with  different years of patient-facing GC experience (Q3) and their ratings on </w:t>
      </w:r>
      <w:r w:rsidRPr="28AFC33C" w:rsidR="00220A3A">
        <w:rPr>
          <w:rFonts w:ascii="Arial" w:hAnsi="Arial" w:cs="Arial"/>
          <w:color w:val="000000" w:themeColor="text1" w:themeTint="FF" w:themeShade="FF"/>
          <w:sz w:val="22"/>
          <w:szCs w:val="22"/>
        </w:rPr>
        <w:t>Q23, 27 33, 38, 45, 56</w:t>
      </w:r>
      <w:r w:rsidRPr="28AFC33C" w:rsidR="00220A3A">
        <w:rPr>
          <w:rFonts w:ascii="Calibri" w:hAnsi="Calibri" w:cs="Calibri"/>
          <w:b w:val="1"/>
          <w:bCs w:val="1"/>
          <w:color w:val="000000" w:themeColor="text1" w:themeTint="FF" w:themeShade="FF"/>
          <w:sz w:val="28"/>
          <w:szCs w:val="28"/>
        </w:rPr>
        <w:t>?</w:t>
      </w:r>
    </w:p>
    <w:p w:rsidR="00220A3A" w:rsidP="00220A3A" w:rsidRDefault="00220A3A" w14:paraId="2C923A95" w14:textId="7777777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220A3A" w:rsidP="00220A3A" w:rsidRDefault="00220A3A" w14:paraId="00DE381B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Do GCs with many years of patient-facing genetic counseling experience (Q3) tend to agree with the embryo transfer justification of “</w:t>
      </w:r>
      <w:r>
        <w:rPr>
          <w:rFonts w:ascii="Arial" w:hAnsi="Arial" w:cs="Arial"/>
          <w:color w:val="FF0000"/>
          <w:sz w:val="22"/>
          <w:szCs w:val="22"/>
        </w:rPr>
        <w:t>reproductive autonomy</w:t>
      </w:r>
      <w:r>
        <w:rPr>
          <w:rFonts w:ascii="Calibri" w:hAnsi="Calibri" w:cs="Calibri"/>
          <w:color w:val="000000"/>
          <w:sz w:val="28"/>
          <w:szCs w:val="28"/>
        </w:rPr>
        <w:t>” across conditions (</w:t>
      </w:r>
      <w:r>
        <w:rPr>
          <w:rFonts w:ascii="Arial" w:hAnsi="Arial" w:cs="Arial"/>
          <w:color w:val="000000"/>
          <w:sz w:val="22"/>
          <w:szCs w:val="22"/>
        </w:rPr>
        <w:t>Q29, 35, 36, 41, 47, 53, 59)</w:t>
      </w:r>
      <w:r>
        <w:rPr>
          <w:rFonts w:ascii="Calibri" w:hAnsi="Calibri" w:cs="Calibri"/>
          <w:color w:val="000000"/>
          <w:sz w:val="28"/>
          <w:szCs w:val="28"/>
        </w:rPr>
        <w:t xml:space="preserve"> more often than GCs with less years of patient-facing genetic counseling experience? </w:t>
      </w:r>
    </w:p>
    <w:p w:rsidR="00220A3A" w:rsidP="00220A3A" w:rsidRDefault="00220A3A" w14:paraId="681B0C58" w14:textId="7777777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220A3A" w:rsidP="00220A3A" w:rsidRDefault="00220A3A" w14:paraId="70B57012" w14:textId="77777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 w:val="1"/>
          <w:bCs w:val="1"/>
          <w:color w:val="000000"/>
          <w:sz w:val="28"/>
          <w:szCs w:val="28"/>
        </w:rPr>
      </w:pPr>
      <w:r w:rsidRPr="28AFC33C" w:rsidR="00220A3A">
        <w:rPr>
          <w:rFonts w:ascii="Calibri" w:hAnsi="Calibri" w:cs="Calibri"/>
          <w:b w:val="1"/>
          <w:bCs w:val="1"/>
          <w:color w:val="000000" w:themeColor="text1" w:themeTint="FF" w:themeShade="FF"/>
          <w:sz w:val="28"/>
          <w:szCs w:val="28"/>
        </w:rPr>
        <w:t xml:space="preserve">Is there a relation between respondents with  different years of patient-facing GC experience (Q3) and their ratings on </w:t>
      </w:r>
      <w:r w:rsidRPr="28AFC33C" w:rsidR="00220A3A">
        <w:rPr>
          <w:rFonts w:ascii="Arial" w:hAnsi="Arial" w:cs="Arial"/>
          <w:color w:val="000000" w:themeColor="text1" w:themeTint="FF" w:themeShade="FF"/>
          <w:sz w:val="22"/>
          <w:szCs w:val="22"/>
        </w:rPr>
        <w:t>Q29, 35, 36, 41, 47, 53, 59</w:t>
      </w:r>
      <w:r w:rsidRPr="28AFC33C" w:rsidR="00220A3A">
        <w:rPr>
          <w:rFonts w:ascii="Calibri" w:hAnsi="Calibri" w:cs="Calibri"/>
          <w:b w:val="1"/>
          <w:bCs w:val="1"/>
          <w:color w:val="000000" w:themeColor="text1" w:themeTint="FF" w:themeShade="FF"/>
          <w:sz w:val="28"/>
          <w:szCs w:val="28"/>
        </w:rPr>
        <w:t>?</w:t>
      </w:r>
    </w:p>
    <w:p w:rsidR="28AFC33C" w:rsidP="28AFC33C" w:rsidRDefault="28AFC33C" w14:paraId="2D94F293" w14:textId="669D9C83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0220A3A" w:rsidP="00220A3A" w:rsidRDefault="00220A3A" w14:paraId="7B99619D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Do GCs with many years of patient-facing genetic counseling experience (Q3) tend to agree with the embryo transfer justification of “</w:t>
      </w:r>
      <w:r>
        <w:rPr>
          <w:rFonts w:ascii="Arial" w:hAnsi="Arial" w:cs="Arial"/>
          <w:color w:val="FF0000"/>
          <w:sz w:val="22"/>
          <w:szCs w:val="22"/>
        </w:rPr>
        <w:t>reproductive autonomy</w:t>
      </w:r>
      <w:r>
        <w:rPr>
          <w:rFonts w:ascii="Calibri" w:hAnsi="Calibri" w:cs="Calibri"/>
          <w:color w:val="000000"/>
          <w:sz w:val="28"/>
          <w:szCs w:val="28"/>
        </w:rPr>
        <w:t>” across conditions (</w:t>
      </w:r>
      <w:r>
        <w:rPr>
          <w:rFonts w:ascii="Arial" w:hAnsi="Arial" w:cs="Arial"/>
          <w:color w:val="000000"/>
          <w:sz w:val="22"/>
          <w:szCs w:val="22"/>
        </w:rPr>
        <w:t>Q29, 35, 36, 41, 47, 53, 59)</w:t>
      </w:r>
      <w:r>
        <w:rPr>
          <w:rFonts w:ascii="Calibri" w:hAnsi="Calibri" w:cs="Calibri"/>
          <w:color w:val="000000"/>
          <w:sz w:val="28"/>
          <w:szCs w:val="28"/>
        </w:rPr>
        <w:t xml:space="preserve"> more often than GCs with less years of patient-facing genetic counseling experience? </w:t>
      </w:r>
    </w:p>
    <w:p w:rsidR="00220A3A" w:rsidP="00220A3A" w:rsidRDefault="00220A3A" w14:paraId="4642C6A3" w14:textId="7777777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220A3A" w:rsidP="00220A3A" w:rsidRDefault="00220A3A" w14:paraId="0ACB25C6" w14:textId="7777777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 w:val="1"/>
          <w:bCs w:val="1"/>
          <w:color w:val="000000"/>
          <w:sz w:val="28"/>
          <w:szCs w:val="28"/>
        </w:rPr>
      </w:pPr>
      <w:r w:rsidRPr="28AFC33C" w:rsidR="00220A3A">
        <w:rPr>
          <w:rFonts w:ascii="Calibri" w:hAnsi="Calibri" w:cs="Calibri"/>
          <w:b w:val="1"/>
          <w:bCs w:val="1"/>
          <w:color w:val="000000" w:themeColor="text1" w:themeTint="FF" w:themeShade="FF"/>
          <w:sz w:val="28"/>
          <w:szCs w:val="28"/>
        </w:rPr>
        <w:t xml:space="preserve">Is there a relation between respondents with  different years of patient-facing GC experience (Q3) and their ratings on </w:t>
      </w:r>
      <w:r w:rsidRPr="28AFC33C" w:rsidR="00220A3A">
        <w:rPr>
          <w:rFonts w:ascii="Arial" w:hAnsi="Arial" w:cs="Arial"/>
          <w:color w:val="000000" w:themeColor="text1" w:themeTint="FF" w:themeShade="FF"/>
          <w:sz w:val="22"/>
          <w:szCs w:val="22"/>
        </w:rPr>
        <w:t>Q29, 35, 36, 41, 47, 53, 59</w:t>
      </w:r>
      <w:r w:rsidRPr="28AFC33C" w:rsidR="00220A3A">
        <w:rPr>
          <w:rFonts w:ascii="Calibri" w:hAnsi="Calibri" w:cs="Calibri"/>
          <w:b w:val="1"/>
          <w:bCs w:val="1"/>
          <w:color w:val="000000" w:themeColor="text1" w:themeTint="FF" w:themeShade="FF"/>
          <w:sz w:val="28"/>
          <w:szCs w:val="28"/>
        </w:rPr>
        <w:t>?</w:t>
      </w:r>
    </w:p>
    <w:p w:rsidR="00220A3A" w:rsidP="00220A3A" w:rsidRDefault="00220A3A" w14:paraId="2E74C624" w14:textId="7777777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220A3A" w:rsidP="00220A3A" w:rsidRDefault="00220A3A" w14:paraId="50E2292C" w14:textId="77777777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> </w:t>
      </w:r>
    </w:p>
    <w:p w:rsidR="00220A3A" w:rsidP="00220A3A" w:rsidRDefault="00220A3A" w14:paraId="0F524B83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Do GCs with many years of patient-facing genetic counseling experience (Q3) tend to agree with the embryo transfer justification of “</w:t>
      </w:r>
      <w:r>
        <w:rPr>
          <w:rFonts w:ascii="Arial" w:hAnsi="Arial" w:cs="Arial"/>
          <w:b/>
          <w:bCs/>
          <w:color w:val="FF0000"/>
          <w:sz w:val="22"/>
          <w:szCs w:val="22"/>
        </w:rPr>
        <w:t>Resources available</w:t>
      </w:r>
      <w:r>
        <w:rPr>
          <w:rFonts w:ascii="Calibri" w:hAnsi="Calibri" w:cs="Calibri"/>
          <w:color w:val="000000"/>
          <w:sz w:val="28"/>
          <w:szCs w:val="28"/>
        </w:rPr>
        <w:t>” across conditions (</w:t>
      </w:r>
      <w:r>
        <w:rPr>
          <w:rFonts w:ascii="Arial" w:hAnsi="Arial" w:cs="Arial"/>
          <w:color w:val="000000"/>
          <w:sz w:val="22"/>
          <w:szCs w:val="22"/>
        </w:rPr>
        <w:t>Q25, 107, 42, 109, 54)</w:t>
      </w:r>
      <w:r>
        <w:rPr>
          <w:rFonts w:ascii="Calibri" w:hAnsi="Calibri" w:cs="Calibri"/>
          <w:color w:val="000000"/>
          <w:sz w:val="28"/>
          <w:szCs w:val="28"/>
        </w:rPr>
        <w:t xml:space="preserve"> more often than GCs with less years of patient-facing genetic counseling experience? </w:t>
      </w:r>
    </w:p>
    <w:p w:rsidR="00220A3A" w:rsidP="00220A3A" w:rsidRDefault="00220A3A" w14:paraId="6327A1DA" w14:textId="7777777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220A3A" w:rsidP="00220A3A" w:rsidRDefault="00220A3A" w14:paraId="02790A0E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 w:val="1"/>
          <w:bCs w:val="1"/>
          <w:color w:val="000000"/>
          <w:sz w:val="28"/>
          <w:szCs w:val="28"/>
        </w:rPr>
      </w:pPr>
      <w:r w:rsidRPr="28AFC33C" w:rsidR="00220A3A">
        <w:rPr>
          <w:rFonts w:ascii="Calibri" w:hAnsi="Calibri" w:cs="Calibri"/>
          <w:b w:val="1"/>
          <w:bCs w:val="1"/>
          <w:color w:val="000000" w:themeColor="text1" w:themeTint="FF" w:themeShade="FF"/>
          <w:sz w:val="28"/>
          <w:szCs w:val="28"/>
        </w:rPr>
        <w:t xml:space="preserve">Is there a relation between respondents with  different years of patient-facing GC experience (Q3) and their ratings on </w:t>
      </w:r>
      <w:r w:rsidRPr="28AFC33C" w:rsidR="00220A3A">
        <w:rPr>
          <w:rFonts w:ascii="Arial" w:hAnsi="Arial" w:cs="Arial"/>
          <w:color w:val="000000" w:themeColor="text1" w:themeTint="FF" w:themeShade="FF"/>
          <w:sz w:val="22"/>
          <w:szCs w:val="22"/>
        </w:rPr>
        <w:t>Q25, 107, 42, 109, 54</w:t>
      </w:r>
      <w:r w:rsidRPr="28AFC33C" w:rsidR="00220A3A">
        <w:rPr>
          <w:rFonts w:ascii="Calibri" w:hAnsi="Calibri" w:cs="Calibri"/>
          <w:b w:val="1"/>
          <w:bCs w:val="1"/>
          <w:color w:val="000000" w:themeColor="text1" w:themeTint="FF" w:themeShade="FF"/>
          <w:sz w:val="28"/>
          <w:szCs w:val="28"/>
        </w:rPr>
        <w:t>?</w:t>
      </w:r>
    </w:p>
    <w:p w:rsidR="00220A3A" w:rsidP="00220A3A" w:rsidRDefault="00220A3A" w14:paraId="7883771A" w14:textId="7777777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220A3A" w:rsidP="00220A3A" w:rsidRDefault="00220A3A" w14:paraId="667D0D3E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Make 2 groups: </w:t>
      </w:r>
    </w:p>
    <w:p w:rsidR="00220A3A" w:rsidP="00220A3A" w:rsidRDefault="00220A3A" w14:paraId="6671EA8C" w14:textId="7777777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Renal Alport: Female Alport and Male Alport (102_6, 102_7)</w:t>
      </w:r>
    </w:p>
    <w:p w:rsidR="00220A3A" w:rsidP="00220A3A" w:rsidRDefault="00220A3A" w14:paraId="3B3FF3B2" w14:textId="7777777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BRCA1 Cancer: Male BRCA1 and Female BRCA1 (102_2, 102_3)</w:t>
      </w:r>
    </w:p>
    <w:p w:rsidR="00220A3A" w:rsidP="00220A3A" w:rsidRDefault="00220A3A" w14:paraId="1F74D0A7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 the GCs tend to feel more morally uneasy with transferring affected embryos  for “BRCA1 Cancer group” more often than the group “Renal Alport”? </w:t>
      </w:r>
    </w:p>
    <w:p w:rsidR="00220A3A" w:rsidP="00220A3A" w:rsidRDefault="00220A3A" w14:paraId="5F755A1A" w14:textId="7777777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Compare the GC ratings for “BRCA1 Cancer group” (102_2, 102_3) and “Renal Alport”  (102_6, 102_7)</w:t>
      </w:r>
    </w:p>
    <w:p w:rsidR="00B43934" w:rsidRDefault="00B43934" w14:paraId="340E8391" w14:textId="77777777"/>
    <w:sectPr w:rsidR="00B4393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515"/>
    <w:multiLevelType w:val="multilevel"/>
    <w:tmpl w:val="8924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F704B"/>
    <w:multiLevelType w:val="multilevel"/>
    <w:tmpl w:val="8DBA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07AF1"/>
    <w:multiLevelType w:val="multilevel"/>
    <w:tmpl w:val="A6DAA0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5016F"/>
    <w:multiLevelType w:val="multilevel"/>
    <w:tmpl w:val="75B079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03CFE"/>
    <w:multiLevelType w:val="multilevel"/>
    <w:tmpl w:val="47B6A2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52D2B"/>
    <w:multiLevelType w:val="multilevel"/>
    <w:tmpl w:val="F3328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7B3B16"/>
    <w:multiLevelType w:val="multilevel"/>
    <w:tmpl w:val="D9F8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70364"/>
    <w:multiLevelType w:val="multilevel"/>
    <w:tmpl w:val="6E0A16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80FCF"/>
    <w:multiLevelType w:val="multilevel"/>
    <w:tmpl w:val="3EACA6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74442D"/>
    <w:multiLevelType w:val="multilevel"/>
    <w:tmpl w:val="722C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3B015A"/>
    <w:multiLevelType w:val="multilevel"/>
    <w:tmpl w:val="0B1A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0F12BE"/>
    <w:multiLevelType w:val="multilevel"/>
    <w:tmpl w:val="4B3838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A00B78"/>
    <w:multiLevelType w:val="multilevel"/>
    <w:tmpl w:val="7252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"/>
  </w:num>
  <w:num w:numId="5">
    <w:abstractNumId w:val="5"/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3A"/>
    <w:rsid w:val="00220A3A"/>
    <w:rsid w:val="0047185D"/>
    <w:rsid w:val="00AA5AC6"/>
    <w:rsid w:val="00B43934"/>
    <w:rsid w:val="28AFC33C"/>
    <w:rsid w:val="51A9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8A405"/>
  <w15:chartTrackingRefBased/>
  <w15:docId w15:val="{377B0010-938D-3041-83A1-311A17A3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0A3A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2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DA4ECF0472F846BC0A1FF89C055E19" ma:contentTypeVersion="4" ma:contentTypeDescription="Create a new document." ma:contentTypeScope="" ma:versionID="72529e1c460797a77e04945fc32e2ea3">
  <xsd:schema xmlns:xsd="http://www.w3.org/2001/XMLSchema" xmlns:xs="http://www.w3.org/2001/XMLSchema" xmlns:p="http://schemas.microsoft.com/office/2006/metadata/properties" xmlns:ns2="aad5ba85-e2a1-4e96-86a5-4739c5b0e856" xmlns:ns3="941ef540-7458-4f75-8c2f-b3f3a0db28ae" targetNamespace="http://schemas.microsoft.com/office/2006/metadata/properties" ma:root="true" ma:fieldsID="52b0bf429a14f3e61ef5c671e820afa9" ns2:_="" ns3:_="">
    <xsd:import namespace="aad5ba85-e2a1-4e96-86a5-4739c5b0e856"/>
    <xsd:import namespace="941ef540-7458-4f75-8c2f-b3f3a0db28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5ba85-e2a1-4e96-86a5-4739c5b0e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ef540-7458-4f75-8c2f-b3f3a0db28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C0450-9FE2-4332-AE1F-C56090AB1049}"/>
</file>

<file path=customXml/itemProps2.xml><?xml version="1.0" encoding="utf-8"?>
<ds:datastoreItem xmlns:ds="http://schemas.openxmlformats.org/officeDocument/2006/customXml" ds:itemID="{7A2E28A1-2EBD-44B2-9720-50E7E3AB960C}"/>
</file>

<file path=customXml/itemProps3.xml><?xml version="1.0" encoding="utf-8"?>
<ds:datastoreItem xmlns:ds="http://schemas.openxmlformats.org/officeDocument/2006/customXml" ds:itemID="{11CCC496-17D0-458B-9850-6EC100E2C3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Xu, Chen</lastModifiedBy>
  <revision>2</revision>
  <dcterms:created xsi:type="dcterms:W3CDTF">2022-02-08T01:34:00.0000000Z</dcterms:created>
  <dcterms:modified xsi:type="dcterms:W3CDTF">2022-02-08T20:58:58.7167188Z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0x0101006ADA4ECF0472F846BC0A1FF89C055E19</vt:lpwstr>
  </property>
</Properties>
</file>