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4EEF4CE0"/>
    <w:rsid w:val="55EB1A8E"/>
    <w:rsid w:val="5EEA5A42"/>
    <w:rsid w:val="671D5E2B"/>
    <w:rsid w:val="778B3528"/>
    <w:rsid w:val="79FDCB4D"/>
    <w:rsid w:val="7AFBE797"/>
    <w:rsid w:val="7F5EE0DE"/>
    <w:rsid w:val="7F9D2642"/>
    <w:rsid w:val="7FFB92C1"/>
    <w:rsid w:val="CFD75937"/>
    <w:rsid w:val="D73FA8B9"/>
    <w:rsid w:val="DF7D30CE"/>
    <w:rsid w:val="E7FD5A9C"/>
    <w:rsid w:val="EB7B3B19"/>
    <w:rsid w:val="EC7EAC70"/>
    <w:rsid w:val="EF9BEB34"/>
    <w:rsid w:val="F6DA1376"/>
    <w:rsid w:val="F6F5368C"/>
    <w:rsid w:val="FAFFF9CE"/>
    <w:rsid w:val="FBBDCF0D"/>
    <w:rsid w:val="FDEF98BB"/>
    <w:rsid w:val="FEF3C241"/>
    <w:rsid w:val="FEF799A9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2017-02-03T19:01:46Z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