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8"/>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8"/>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5"/>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w:t>
      </w:r>
      <w:r>
        <w:rPr>
          <w:lang w:eastAsia="zh-CN"/>
        </w:rPr>
        <w:t>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w:t>
      </w:r>
      <w:bookmarkStart w:id="22" w:name="_GoBack"/>
      <w:bookmarkEnd w:id="22"/>
      <w:r>
        <w:rPr>
          <w:rFonts w:hint="default"/>
          <w:sz w:val="24"/>
          <w:szCs w:val="24"/>
          <w:lang w:eastAsia="zh-CN"/>
        </w:rPr>
        <w:t>-error-details 显示更多报错信息</w:t>
      </w:r>
    </w:p>
    <w:p>
      <w:pPr>
        <w:ind w:firstLine="420" w:firstLineChars="0"/>
        <w:rPr>
          <w:rFonts w:hint="eastAsia"/>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Symbol">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Lucida Grand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Monac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FD1BF4"/>
    <w:rsid w:val="4F3CF245"/>
    <w:rsid w:val="5796E79E"/>
    <w:rsid w:val="5BDEC058"/>
    <w:rsid w:val="5E9F59FB"/>
    <w:rsid w:val="5F47ACAA"/>
    <w:rsid w:val="5FFB2214"/>
    <w:rsid w:val="65D7465B"/>
    <w:rsid w:val="6BBF0D9B"/>
    <w:rsid w:val="6DFFDAC7"/>
    <w:rsid w:val="6FF205CB"/>
    <w:rsid w:val="6FF7951D"/>
    <w:rsid w:val="753DC899"/>
    <w:rsid w:val="75DA19F5"/>
    <w:rsid w:val="75FF8EB3"/>
    <w:rsid w:val="76EBD2F7"/>
    <w:rsid w:val="77CB6381"/>
    <w:rsid w:val="77EDAAA5"/>
    <w:rsid w:val="7AFD24D7"/>
    <w:rsid w:val="7BF6CAF4"/>
    <w:rsid w:val="7BFF01A7"/>
    <w:rsid w:val="7EF85755"/>
    <w:rsid w:val="7F82B8E3"/>
    <w:rsid w:val="7F9F2843"/>
    <w:rsid w:val="7FF51E65"/>
    <w:rsid w:val="A6B4BB1E"/>
    <w:rsid w:val="AF753162"/>
    <w:rsid w:val="AFEF2E76"/>
    <w:rsid w:val="B5C98738"/>
    <w:rsid w:val="B73D0B9E"/>
    <w:rsid w:val="BB7F77B7"/>
    <w:rsid w:val="BE3FF959"/>
    <w:rsid w:val="BF6C81CA"/>
    <w:rsid w:val="D3DD1999"/>
    <w:rsid w:val="D3EFCED0"/>
    <w:rsid w:val="DB9A9A63"/>
    <w:rsid w:val="DF590FAD"/>
    <w:rsid w:val="E1ADCA9C"/>
    <w:rsid w:val="E9CF7C1F"/>
    <w:rsid w:val="EEDF1839"/>
    <w:rsid w:val="EEFB4E83"/>
    <w:rsid w:val="EEFF39EB"/>
    <w:rsid w:val="EF5F1DD8"/>
    <w:rsid w:val="EFAFBDB5"/>
    <w:rsid w:val="EFF78F47"/>
    <w:rsid w:val="F3FF2D85"/>
    <w:rsid w:val="F79F923F"/>
    <w:rsid w:val="F8CCE9A8"/>
    <w:rsid w:val="FE6B708C"/>
    <w:rsid w:val="FE7FF21D"/>
    <w:rsid w:val="FF55F6FD"/>
    <w:rsid w:val="FFDE05BD"/>
    <w:rsid w:val="FFE592B9"/>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TML Code"/>
    <w:basedOn w:val="11"/>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2017-02-24T14:02:22Z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