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实现功能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连接一级行情服务器，请求所有合约数据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向客户端提供行情订阅服务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具体实现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1、作为Client向一级行情服务器请求所有的合约数据，然后通过Disruptor进行转发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2、每个客户端连接之后，开启一个Disruptor消费者接收行情数据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3、内部结构、流程图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5269230" cy="3340100"/>
            <wp:effectExtent l="0" t="0" r="7620" b="12700"/>
            <wp:docPr id="1" name="图片 1" descr="二级行情服务器内部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二级行情服务器内部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1260" w:firstLineChars="600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（图3.1）内部结构图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 xml:space="preserve">                  </w:t>
      </w: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3477260" cy="5772785"/>
            <wp:effectExtent l="0" t="0" r="8890" b="18415"/>
            <wp:docPr id="4" name="图片 4" descr="二级行情服务器内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二级行情服务器内部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2520" w:leftChars="0" w:firstLine="630" w:firstLineChars="300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（图3.2）内部流程图</w:t>
      </w:r>
    </w:p>
    <w:p>
      <w:pPr>
        <w:numPr>
          <w:numId w:val="0"/>
        </w:numPr>
        <w:ind w:left="2940" w:leftChars="0" w:firstLine="420" w:firstLineChars="0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4、具体指令：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基于NetInfo进行传输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NetInfo.code=</w:t>
      </w: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  <w:highlight w:val="white"/>
          <w:u w:val="none"/>
        </w:rPr>
        <w:t>MARKET02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  <w:t>根据NetInfo的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highlight w:val="white"/>
          <w:u w:val="none"/>
        </w:rPr>
        <w:t>todayCanUse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highlight w:val="white"/>
          <w:u w:val="none"/>
          <w:lang w:val="en-US" w:eastAsia="zh-CN"/>
        </w:rPr>
        <w:t>和infoT订阅相应行情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  <w:u w:val="none"/>
        </w:rPr>
        <w:t>ALL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("0","订阅全部行情"),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  <w:u w:val="none"/>
        </w:rPr>
        <w:t>ADD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("1","追加行情"),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ab/>
      </w: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  <w:u w:val="none"/>
        </w:rPr>
        <w:t>UNSUB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("2","退订行情"),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  <w:u w:val="none"/>
        </w:rPr>
        <w:t>NEW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("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  <w:t>3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","清空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  <w:t>之前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  <w:t>的订阅列表，订阅新的行情");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</w:rPr>
      </w:pPr>
    </w:p>
    <w:p>
      <w:pPr>
        <w:numPr>
          <w:ilvl w:val="0"/>
          <w:numId w:val="4"/>
        </w:numPr>
        <w:ind w:leftChars="0"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  <w:t>订阅全部行情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NetInfo ni=new NetInfo();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ni.code=CommandCode.</w:t>
      </w: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</w:rPr>
        <w:t>MARKET02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ni.todayCanUse = "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0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";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</w:p>
    <w:p>
      <w:pPr>
        <w:numPr>
          <w:ilvl w:val="0"/>
          <w:numId w:val="4"/>
        </w:numPr>
        <w:ind w:leftChars="0"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  <w:t>追加行情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NetInfo ni=new NetInfo();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ni.code=CommandCode.</w:t>
      </w: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</w:rPr>
        <w:t>MARKET02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ni.todayCanUse = "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1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ni.infoT=symbols;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注：symbols为合约代码，多个合约以“，”分割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infoT为空则不进行任何操作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Chars="0"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  <w:t>退订行情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NetInfo ni=new NetInfo();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ni.code=CommandCode.</w:t>
      </w: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</w:rPr>
        <w:t>MARKET02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ni.todayCanUse = "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2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ni.infoT=symbols;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注：symbols为合约代码，多个合约以“，”分割；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如果infoT为空，则退订之前订阅的所有行情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Chars="0" w:firstLine="420" w:firstLine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  <w:t>订阅新的行情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NetInfo ni=new NetInfo();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ni.code=CommandCode.</w:t>
      </w:r>
      <w:r>
        <w:rPr>
          <w:rFonts w:hint="eastAsia" w:ascii="Consolas" w:hAnsi="Consolas" w:eastAsia="Consolas"/>
          <w:b w:val="0"/>
          <w:bCs w:val="0"/>
          <w:i/>
          <w:color w:val="auto"/>
          <w:sz w:val="21"/>
          <w:szCs w:val="21"/>
        </w:rPr>
        <w:t>MARKET02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ni.todayCanUse = "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3</w:t>
      </w: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>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ni.infoT=symbols;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注：symbols为合约代码，多个合约以“，”分割；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infoT不为空则先退订之前所有的订阅信息，然后再订阅新的行情；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lang w:val="en-US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infoT为空则不进行任何操作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auto"/>
          <w:sz w:val="21"/>
          <w:szCs w:val="21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b w:val="0"/>
          <w:bCs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7BCAEB"/>
    <w:multiLevelType w:val="singleLevel"/>
    <w:tmpl w:val="F27BCA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A3FF7F"/>
    <w:multiLevelType w:val="singleLevel"/>
    <w:tmpl w:val="0AA3FF7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770C89"/>
    <w:multiLevelType w:val="singleLevel"/>
    <w:tmpl w:val="57770C8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D68B901"/>
    <w:multiLevelType w:val="singleLevel"/>
    <w:tmpl w:val="6D68B9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543168"/>
    <w:rsid w:val="14AF0FE5"/>
    <w:rsid w:val="17BD4817"/>
    <w:rsid w:val="1B815EFF"/>
    <w:rsid w:val="1DBA34B0"/>
    <w:rsid w:val="1F083244"/>
    <w:rsid w:val="1FAE3C6A"/>
    <w:rsid w:val="23A07576"/>
    <w:rsid w:val="31FB0C3A"/>
    <w:rsid w:val="32D85441"/>
    <w:rsid w:val="342B6250"/>
    <w:rsid w:val="37FD7402"/>
    <w:rsid w:val="3A682A03"/>
    <w:rsid w:val="42D96EF6"/>
    <w:rsid w:val="43415BD6"/>
    <w:rsid w:val="47961453"/>
    <w:rsid w:val="4ED7631A"/>
    <w:rsid w:val="512D3952"/>
    <w:rsid w:val="58B51B76"/>
    <w:rsid w:val="59BC2D65"/>
    <w:rsid w:val="5DB07B67"/>
    <w:rsid w:val="62486EEF"/>
    <w:rsid w:val="65FC0EB2"/>
    <w:rsid w:val="68791122"/>
    <w:rsid w:val="68F43CBE"/>
    <w:rsid w:val="6B303927"/>
    <w:rsid w:val="6FAA3384"/>
    <w:rsid w:val="71893DEB"/>
    <w:rsid w:val="724330E5"/>
    <w:rsid w:val="740979DC"/>
    <w:rsid w:val="74B324EE"/>
    <w:rsid w:val="78F61511"/>
    <w:rsid w:val="7C1D6E0F"/>
    <w:rsid w:val="7C7A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2018-08-29T03:16:34Z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