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b/>
          <w:bCs/>
        </w:rPr>
        <w:t xml:space="preserve">Methods</w:t>
      </w:r>
    </w:p>
    <w:p>
      <w:pPr>
        <w:pStyle w:val="Heading2"/>
        <w:spacing w:after="160" w:before="320"/>
      </w:pPr>
      <w:r>
        <w:rPr>
          <w:b/>
          <w:bCs/>
        </w:rPr>
        <w:t xml:space="preserve">Participants</w:t>
      </w:r>
    </w:p>
    <w:p>
      <w:pPr>
        <w:spacing w:after="160" w:line="360"/>
        <w:jc w:val="both"/>
      </w:pPr>
      <w:r>
        <w:t xml:space="preserve">We recruited participants from a movement-disorders clinic. The cohort comprised individuals with idiopathic Parkinson’s disease (PD), multiple system atrophy (MSA) and progressive supranuclear palsy (PSP), together with control participants without parkinsonism. </w:t>
      </w:r>
      <w:r>
        <w:rPr>
          <w:i/>
          <w:iCs/>
          <w:color w:val="888888"/>
        </w:rPr>
        <w:t xml:space="preserve">[Insert: total N, N per group (Control, PD, MSA, PSP), mean (SD) age, sex distribution, mean (SD) disease duration per group, MDS-UPDRS Part III scores, levodopa-equivalent daily dose, symptom laterality, handedness, presence of deep-brain stimulation, motor fluctuations, tremor, dysmetria, and myoclonus.]</w:t>
      </w:r>
      <w:r>
        <w:t xml:space="preserve"> Diagnoses were established by a movement-disorders specialist using consensus criteria. The study was approved by </w:t>
      </w:r>
      <w:r>
        <w:rPr>
          <w:i/>
          <w:iCs/>
          <w:color w:val="888888"/>
        </w:rPr>
        <w:t xml:space="preserve">[Insert: IRB / ethics committee name and protocol number]</w:t>
      </w:r>
      <w:r>
        <w:t xml:space="preserve">, and all participants provided written informed consent. Demographic and clinical variables — age, sex, handedness, symptom laterality, disease duration, dopaminergic medication and the time elapsed since the last levodopa dose — were recorded at the time of video acquisition.</w:t>
      </w:r>
    </w:p>
    <w:p>
      <w:pPr>
        <w:pStyle w:val="Heading2"/>
        <w:spacing w:after="160" w:before="320"/>
      </w:pPr>
      <w:r>
        <w:rPr>
          <w:b/>
          <w:bCs/>
        </w:rPr>
        <w:t xml:space="preserve">Task</w:t>
      </w:r>
    </w:p>
    <w:p>
      <w:pPr>
        <w:spacing w:after="160" w:line="360"/>
        <w:jc w:val="both"/>
      </w:pPr>
      <w:r>
        <w:t xml:space="preserve">Participants performed the repetitive finger-tapping task described in item 3.4 of the MDS-UPDRS, in which the thumb and index finger are tapped together as wide and as fast as possible while keeping the elbow comfortably flexed and the wrist still. Each hand was tested in two separate trials (left hand: L1, L2; right hand: R1, R2). Trials lasted approximately </w:t>
      </w:r>
      <w:r>
        <w:rPr>
          <w:i/>
          <w:iCs/>
          <w:color w:val="888888"/>
        </w:rPr>
        <w:t xml:space="preserve">[Insert: 10 / 15 s]</w:t>
      </w:r>
      <w:r>
        <w:t xml:space="preserve">. A single verbal start cue was given and the examiner did not pace the participant. Participants were seated and held the tested hand in front of the stereo camera at a comfortable working distance.</w:t>
      </w:r>
    </w:p>
    <w:p>
      <w:pPr>
        <w:pStyle w:val="Heading2"/>
        <w:spacing w:after="160" w:before="320"/>
      </w:pPr>
      <w:r>
        <w:rPr>
          <w:b/>
          <w:bCs/>
        </w:rPr>
        <w:t xml:space="preserve">Video recording</w:t>
      </w:r>
    </w:p>
    <w:p>
      <w:pPr>
        <w:spacing w:after="160" w:line="360"/>
        <w:jc w:val="both"/>
      </w:pPr>
      <w:r>
        <w:t xml:space="preserve">Trials were recorded with a side-by-side stereo camera that wrote a single video file per trial, in which every frame consisted of two horizontally stacked 1920 × 1080-pixel camera halves (left camera “OS” and right camera “OD”) combined into a 3840 × 1080-pixel frame. Frames were captured at </w:t>
      </w:r>
      <w:r>
        <w:rPr>
          <w:i/>
          <w:iCs/>
          <w:color w:val="888888"/>
        </w:rPr>
        <w:t xml:space="preserve">[Insert: 60]</w:t>
      </w:r>
      <w:r>
        <w:t xml:space="preserve"> Hz. Cameras were rigidly mounted at a fixed inter-ocular separation and stereo-calibrated with the standard OpenCV pipeline </w:t>
      </w:r>
      <w:r>
        <w:rPr>
          <w:i/>
          <w:iCs/>
          <w:color w:val="888888"/>
        </w:rPr>
        <w:t xml:space="preserve">[Insert: number of calibration views, checkerboard size]</w:t>
      </w:r>
      <w:r>
        <w:t xml:space="preserve">. The calibration yielded the per-camera intrinsic matrices </w:t>
      </w:r>
      <w:r>
        <w:rPr>
          <w:i/>
          <w:iCs/>
        </w:rPr>
        <w:t xml:space="preserve">K</w:t>
      </w:r>
      <w:r>
        <w:t xml:space="preserve">₁ and </w:t>
      </w:r>
      <w:r>
        <w:rPr>
          <w:i/>
          <w:iCs/>
        </w:rPr>
        <w:t xml:space="preserve">K</w:t>
      </w:r>
      <w:r>
        <w:t xml:space="preserve">₂, fifth-order radial-tangential distortion coefficients, and the inter-camera rotation </w:t>
      </w:r>
      <w:r>
        <w:rPr>
          <w:i/>
          <w:iCs/>
        </w:rPr>
        <w:t xml:space="preserve">R</w:t>
      </w:r>
      <w:r>
        <w:t xml:space="preserve"> and translation </w:t>
      </w:r>
      <w:r>
        <w:rPr>
          <w:i/>
          <w:iCs/>
        </w:rPr>
        <w:t xml:space="preserve">T</w:t>
      </w:r>
      <w:r>
        <w:t xml:space="preserve">. Projection matrices </w:t>
      </w:r>
      <w:r>
        <w:rPr>
          <w:i/>
          <w:iCs/>
        </w:rPr>
        <w:t xml:space="preserve">P</w:t>
      </w:r>
      <w:r>
        <w:t xml:space="preserve">₁ = [</w:t>
      </w:r>
      <w:r>
        <w:rPr>
          <w:i/>
          <w:iCs/>
        </w:rPr>
        <w:t xml:space="preserve">K</w:t>
      </w:r>
      <w:r>
        <w:t xml:space="preserve">₁ | 0] and </w:t>
      </w:r>
      <w:r>
        <w:rPr>
          <w:i/>
          <w:iCs/>
        </w:rPr>
        <w:t xml:space="preserve">P</w:t>
      </w:r>
      <w:r>
        <w:t xml:space="preserve">₂ = </w:t>
      </w:r>
      <w:r>
        <w:rPr>
          <w:i/>
          <w:iCs/>
        </w:rPr>
        <w:t xml:space="preserve">K</w:t>
      </w:r>
      <w:r>
        <w:t xml:space="preserve">₂[</w:t>
      </w:r>
      <w:r>
        <w:rPr>
          <w:i/>
          <w:iCs/>
        </w:rPr>
        <w:t xml:space="preserve">R</w:t>
      </w:r>
      <w:r>
        <w:t xml:space="preserve"> | </w:t>
      </w:r>
      <w:r>
        <w:rPr>
          <w:i/>
          <w:iCs/>
        </w:rPr>
        <w:t xml:space="preserve">T</w:t>
      </w:r>
      <w:r>
        <w:t xml:space="preserve">] </w:t>
      </w:r>
      <w:r>
        <w:t xml:space="preserve">were reconstituted at analysis time.</w:t>
      </w:r>
    </w:p>
    <w:p>
      <w:pPr>
        <w:pStyle w:val="Heading2"/>
        <w:spacing w:after="160" w:before="320"/>
      </w:pPr>
      <w:r>
        <w:rPr>
          <w:b/>
          <w:bCs/>
        </w:rPr>
        <w:t xml:space="preserve">Video preprocessing and deidentification</w:t>
      </w:r>
    </w:p>
    <w:p>
      <w:pPr>
        <w:spacing w:after="160" w:line="360"/>
        <w:jc w:val="both"/>
      </w:pPr>
      <w:r>
        <w:t xml:space="preserve">Raw recordings were trimmed to the tapping segment of each trial with ffmpeg in frame-accurate re-encode mode (libx264, CRF </w:t>
      </w:r>
      <w:r>
        <w:rPr>
          <w:i/>
          <w:iCs/>
          <w:color w:val="888888"/>
        </w:rPr>
        <w:t xml:space="preserve">[Insert: e.g. 18]</w:t>
      </w:r>
      <w:r>
        <w:t xml:space="preserve">). We avoided stream-copy cuts because they can only land on key-frames and would otherwise shift event timestamps relative to the video. Trial boundaries and per-trial frame counts were cached so that frame indices remained consistent across machines.</w:t>
      </w:r>
    </w:p>
    <w:p>
      <w:pPr>
        <w:spacing w:after="160" w:line="360"/>
        <w:jc w:val="both"/>
      </w:pPr>
      <w:r>
        <w:t xml:space="preserve">Trimmed trials were optionally deidentified before sharing. Faces were detected on each camera half with MediaPipe Face Detection. Each detection was expanded around its centre to cover the hair, neck and chin; matched across frames by intersection-over-union association (IoU &gt; 0.3); linearly interpolated across drop-outs; forward-filled past the last valid detection; and finally Gaussian-smoothed along time to remove jitter. Users could mark additional rectangular or oval blur regions to cover identifying material outside the face. To prevent the deidentifier from blurring the tapping fingers, we computed a hand-protection mask for each frame as the dilated convex hull of all 21 MediaPipe Hands landmarks (or, in subjects with HRnet keypoint data, as a thresholded maximum-intensity projection of the HRnet heatmaps) and subtracted this mask from the face/custom blur masks. The remaining region of interest was Gaussian-blurred and the result was re-encoded with ffmpeg. Deidentification did not alter frame numbering, and all kinematic analyses below used the original (non-deidentified) frames so that pixel coordinates matched the calibration.</w:t>
      </w:r>
    </w:p>
    <w:p>
      <w:pPr>
        <w:pStyle w:val="Heading2"/>
        <w:spacing w:after="160" w:before="320"/>
      </w:pPr>
      <w:r>
        <w:rPr>
          <w:b/>
          <w:bCs/>
        </w:rPr>
        <w:t xml:space="preserve">Hand tracking</w:t>
      </w:r>
    </w:p>
    <w:p>
      <w:pPr>
        <w:spacing w:after="160" w:line="360"/>
        <w:jc w:val="both"/>
      </w:pPr>
      <w:r>
        <w:t xml:space="preserve">For each trial we extracted 21 two-dimensional hand landmarks from each camera half independently with MediaPipe Hands (max_num_hands = 2, detection / tracking confidence thresholds 0.5). Because the tested hand and the resting hand could both enter the field of view, we tracked up to two candidate hands per camera across frames by nearest-wrist association: each detection was matched to the existing track whose previous wrist position lay closest in pixel space, and unmatched detections seeded new tracks. The tapping hand was then selected automatically by computing, for each candidate, the mean across the trial of the product of the thumb–index separation and its first-difference speed. The track with the highest mean power was retained, because the resting hand contributes only low-amplitude drift while the tapping hand produces large rhythmic aperture changes.</w:t>
      </w:r>
    </w:p>
    <w:p>
      <w:pPr>
        <w:spacing w:after="160" w:line="360"/>
        <w:jc w:val="both"/>
      </w:pPr>
      <w:r>
        <w:t xml:space="preserve">The MediaPipe tracker is asymmetric in time and occasionally fails to lock on at the beginning of a trial. To recover labels in those frames, we ran up to four MediaPipe passes per trial: a forward sequential pass, a reverse sequential pass (which enters cold-start frames already locked on from later frames), a per-frame palm-detector pass with the inter-frame tracker disabled (static_image_mode = True), and, where labels remained poor, a pass restricted to a user-drawn bounding box around the hand. We fused these passes into a single “Combined MediaPipe” trace per trial. At each frame and independently for each camera, the fusion considered every (OS source, OD source) pair for which the thumb tip, index tip, thumb carpometacarpal joint and index metacarpophalangeal joint were all present, triangulated each pair to 3D, and scored it by the sum of three z-scores: (i) the absolute deviation of the triangulated thumb–index distance from a rolling-median reference computed in a ± 15-frame window of the first-pass minimum-distance trace, (ii) the absolute deviation of the triangulated thumb bone length from a robust subject median, and (iii) the analogous deviation for the index bone length. The lowest-scoring combination was selected at each frame; a minimum-distance fallback was used when the bone-length statistics were unavailable (e.g. very short trials).</w:t>
      </w:r>
    </w:p>
    <w:p>
      <w:pPr>
        <w:spacing w:after="160" w:line="360"/>
        <w:jc w:val="both"/>
      </w:pPr>
      <w:r>
        <w:t xml:space="preserve">Frame-by-frame 3D coordinates of every retained landmark were obtained by stereo triangulation. We undistorted points in their native pixel coordinates using cv2.undistortPoints with the intrinsic matrix passed as the new projection (</w:t>
      </w:r>
      <w:r>
        <w:rPr>
          <w:i/>
          <w:iCs/>
        </w:rPr>
        <w:t xml:space="preserve">P = K</w:t>
      </w:r>
      <w:r>
        <w:t xml:space="preserve">), so that the undistorted coordinates lived in the same pixel space in which the projection matrices </w:t>
      </w:r>
      <w:r>
        <w:rPr>
          <w:i/>
          <w:iCs/>
        </w:rPr>
        <w:t xml:space="preserve">P</w:t>
      </w:r>
      <w:r>
        <w:t xml:space="preserve">₁ and </w:t>
      </w:r>
      <w:r>
        <w:rPr>
          <w:i/>
          <w:iCs/>
        </w:rPr>
        <w:t xml:space="preserve">P</w:t>
      </w:r>
      <w:r>
        <w:t xml:space="preserve">₂ were defined. </w:t>
      </w:r>
      <w:r>
        <w:t xml:space="preserve">The 3D position of each landmark was then computed by cv2.triangulatePoints and recovered from homogeneous coordinates.</w:t>
      </w:r>
    </w:p>
    <w:p>
      <w:pPr>
        <w:spacing w:after="160" w:line="360"/>
        <w:jc w:val="both"/>
      </w:pPr>
      <w:r>
        <w:t xml:space="preserve">For subjects whose Combined MediaPipe output contained identifiable mislabels we applied a label-correction pipeline. Suspicious frame–joint labels were flagged by the union of several percentile-normalised detection factors: jumps in the depth (</w:t>
      </w:r>
      <w:r>
        <w:rPr>
          <w:i/>
          <w:iCs/>
        </w:rPr>
        <w:t xml:space="preserve">Z</w:t>
      </w:r>
      <w:r>
        <w:t xml:space="preserve">) coordinate, depth outliers relative to a local polynomial fit, residual epipolar (</w:t>
      </w:r>
      <w:r>
        <w:rPr>
          <w:i/>
          <w:iCs/>
        </w:rPr>
        <w:t xml:space="preserve">Y</w:t>
      </w:r>
      <w:r>
        <w:t xml:space="preserve">) disparity between cameras, deviation of each bone length and of all pairwise bone-length agreements from the subject-level robust median, joint-angle violations relative to anatomical priors stored in </w:t>
      </w:r>
      <w:r>
        <w:rPr>
          <w:rFonts w:ascii="Consolas" w:cs="Consolas" w:eastAsia="Consolas" w:hAnsi="Consolas"/>
          <w:sz w:val="22"/>
          <w:szCs w:val="22"/>
        </w:rPr>
        <w:t xml:space="preserve">joint_angle_priors.json</w:t>
      </w:r>
      <w:r>
        <w:t xml:space="preserve">, MediaPipe per-camera confidence, and (where available) HRnet heatmap agreement and stereo phase-correlation distance. Each flagged joint was attributed to one of the two cameras using a second set of percentile-normalised factors: 2D reprojection residual, 2D inter-frame jump, and per-camera MediaPipe confidence. Three correction passes then operated on the blamed camera’s label only: an optional stereo phase-correlation alignment with the contralateral camera, an epipolar </w:t>
      </w:r>
      <w:r>
        <w:rPr>
          <w:i/>
          <w:iCs/>
        </w:rPr>
        <w:t xml:space="preserve">Y</w:t>
      </w:r>
      <w:r>
        <w:t xml:space="preserve">-correction that snapped the 2D label to its expected scan-line, and a temporal </w:t>
      </w:r>
      <w:r>
        <w:rPr>
          <w:i/>
          <w:iCs/>
        </w:rPr>
        <w:t xml:space="preserve">Z</w:t>
      </w:r>
      <w:r>
        <w:t xml:space="preserve">-correction that replaced the camera label with the value predicted by a local polynomial through the trusted neighbouring frames. The corrected per-camera landmarks were then re-triangulated.</w:t>
      </w:r>
    </w:p>
    <w:p>
      <w:pPr>
        <w:spacing w:after="160" w:line="360"/>
        <w:jc w:val="both"/>
      </w:pPr>
      <w:r>
        <w:t xml:space="preserve">For trials in which we additionally required an anatomically constrained skeleton, we fit a forward-kinematic hand model to the corrected 3D landmarks. The hand was parameterised by a per-frame wrist position (3 parameters per frame), a per-frame wrist orientation expressed as a continuous 6D rotation (6 parameters per frame; projected to SO(3) by Gram–Schmidt), 20 bone lengths shared across all frames of the trial, and a per-frame flexion and abduction angle for each of the 20 bones in the breadth-first hand skeleton. Joints were assembled by forward kinematics from the wrist outward. The loss combined 2D reprojection error against each available data source (MediaPipe in both cameras, Apple Vision landmarks where present, DLC fingertip labels for the thumb and index tip where present, and HRnet heatmap-peak locations) with independent weights, a bone-length consistency term, separate temporal-smoothness penalties on wrist translation (in-plane and depth handled separately) and on joint angles, and a soft anatomical-constraint penalty derived from the joint-angle priors. Optimisation was performed in PyTorch with automatic differentiation.</w:t>
      </w:r>
    </w:p>
    <w:p>
      <w:pPr>
        <w:spacing w:after="160" w:line="360"/>
        <w:jc w:val="both"/>
      </w:pPr>
      <w:r>
        <w:t xml:space="preserve">The distance trace that drives all downstream analyses was the frame-by-frame 3D Euclidean distance between the thumb tip (MediaPipe landmark 4) and the index-finger tip (landmark 8). For each subject we concatenated the trials in their recorded order. Three coordinate sources were available: the corrected skeleton, the Combined MediaPipe trace, and the raw forward MediaPipe pass. Unless noted otherwise, we used the highest-quality source available for each subject in the order corrected → combined → forward, and the active source for each figure is reported alongside the data.</w:t>
      </w:r>
    </w:p>
    <w:p>
      <w:pPr>
        <w:pStyle w:val="Heading2"/>
        <w:spacing w:after="160" w:before="320"/>
      </w:pPr>
      <w:r>
        <w:rPr>
          <w:b/>
          <w:bCs/>
        </w:rPr>
        <w:t xml:space="preserve">Movement parameters</w:t>
      </w:r>
    </w:p>
    <w:p>
      <w:pPr>
        <w:spacing w:after="160" w:line="360"/>
        <w:jc w:val="both"/>
      </w:pPr>
      <w:r>
        <w:t xml:space="preserve">Before kinematic analysis we cleaned the distance trace by replacing physically implausible values (negative distances or values &gt; 200 mm) with NaNs and linearly interpolating across NaN gaps; gaps at the start or end of the trace were filled with the nearest valid sample. Frame-by-frame velocity was computed by symmetric finite difference with a half-window of two frames and rescaled by the trial frame rate, so that the velocity at frame </w:t>
      </w:r>
      <w:r>
        <w:rPr>
          <w:i/>
          <w:iCs/>
        </w:rPr>
        <w:t xml:space="preserve">i</w:t>
      </w:r>
      <w:r>
        <w:t xml:space="preserve"> equalled (</w:t>
      </w:r>
      <w:r>
        <w:rPr>
          <w:i/>
          <w:iCs/>
        </w:rPr>
        <w:t xml:space="preserve">d</w:t>
      </w:r>
      <w:r>
        <w:rPr>
          <w:vertAlign w:val="subscript"/>
        </w:rPr>
        <w:t xml:space="preserve">i+2</w:t>
      </w:r>
      <w:r>
        <w:t xml:space="preserve"> − </w:t>
      </w:r>
      <w:r>
        <w:rPr>
          <w:i/>
          <w:iCs/>
        </w:rPr>
        <w:t xml:space="preserve">d</w:t>
      </w:r>
      <w:r>
        <w:rPr>
          <w:vertAlign w:val="subscript"/>
        </w:rPr>
        <w:t xml:space="preserve">i−2</w:t>
      </w:r>
      <w:r>
        <w:t xml:space="preserve">) × </w:t>
      </w:r>
      <w:r>
        <w:rPr>
          <w:i/>
          <w:iCs/>
        </w:rPr>
        <w:t xml:space="preserve">fps</w:t>
      </w:r>
      <w:r>
        <w:t xml:space="preserve"> / 4.</w:t>
      </w:r>
    </w:p>
    <w:p>
      <w:pPr>
        <w:spacing w:after="160" w:line="360"/>
        <w:jc w:val="both"/>
      </w:pPr>
      <w:r>
        <w:t xml:space="preserve">We identified individual tapping movements as triplets of events (opening, peak aperture and closing). Peaks were detected as local maxima of the cleaned distance trace above a minimum height of 15 mm, taken within a sliding window of half-width five frames. Nearby peak candidates separated by less than ten frames were merged unless a valley below 25 mm separated them, in which case they were retained as separate movements. For each retained peak the opening event was located as the first frame after the preceding valley (or the preceding close, when present) at which the one-frame difference of the distance trace exceeded 5 mm, and the closing event was placed at the minimum of the distance trace between the peak and the next peak. Events lying within two frames of a trial boundary were discarded, and the resulting sequence was validated to follow a strict open → peak → close pattern. Where a subject had hand-edited events, those events were used in preference to the auto-detected sequence; subjects without curated events used the auto-detected sequence and are marked with open circles in the figures.</w:t>
      </w:r>
    </w:p>
    <w:p>
      <w:pPr>
        <w:spacing w:after="160" w:line="360"/>
        <w:jc w:val="both"/>
      </w:pPr>
      <w:r>
        <w:t xml:space="preserve">For trials in which auto-detected event times appeared misaligned with the underlying video, we further refined events using image-domain motion metrics computed in a 48 × 48-pixel grey-scale crop centred on each fingertip in each camera. A reversal metric (the mean-squared difference between the crop at frame </w:t>
      </w:r>
      <w:r>
        <w:rPr>
          <w:i/>
          <w:iCs/>
        </w:rPr>
        <w:t xml:space="preserve">i − 1</w:t>
      </w:r>
      <w:r>
        <w:t xml:space="preserve"> and the crop at frame </w:t>
      </w:r>
      <w:r>
        <w:rPr>
          <w:i/>
          <w:iCs/>
        </w:rPr>
        <w:t xml:space="preserve">i + 1</w:t>
      </w:r>
      <w:r>
        <w:t xml:space="preserve">) was used to refine peak frames within a small temporal window (± 3 frames) around each distance-based peak; the refined frame was the minimum of the reversal metric, because pixel content is most similar across the instant of motion reversal. A sum-of-squared-differences (SSD) metric between consecutive crops, Gaussian-smoothed in time with σ = 2 frames, was used to refine opening and closing onsets to the frame at which the SSD began to rise from rest or began to settle back to rest. A distance-guard fallback retained the distance-based estimate whenever the SSD-refined frame fell outside a guard interval defined as a fixed fraction of the peak aperture (25 % of the peak distance).</w:t>
      </w:r>
    </w:p>
    <w:p>
      <w:pPr>
        <w:spacing w:after="160" w:line="360"/>
        <w:jc w:val="both"/>
      </w:pPr>
      <w:r>
        <w:t xml:space="preserve">For each movement (each detected peak) we computed the following parameters. The peak time was expressed in seconds relative to the first peak across all of the subject’s trials. The amplitude was the difference between the distance at the peak and the global minimum distance for that subject. The inter-movement interval (IMI) was the time between consecutive peaks within the same trial and was left undefined across trial boundaries. The relative amplitude was the ratio of the current movement’s amplitude to that of the preceding movement in the same trial. The peak opening velocity was the maximum of the velocity trace between the opening and the peak; the peak closing velocity was the minimum of the velocity trace between the peak and the close (a signed quantity, conventionally negative). The mean opening velocity was the amplitude divided by the open-to-peak duration; the mean closing velocity was the negated amplitude divided by the peak-to-close duration. Power was defined as the product of the peak opening velocity and the amplitude (mm² s⁻¹).</w:t>
      </w:r>
    </w:p>
    <w:p>
      <w:pPr>
        <w:spacing w:after="160" w:line="360"/>
        <w:jc w:val="both"/>
      </w:pPr>
      <w:r>
        <w:t xml:space="preserve">Periods of sequential decrement in tapping amplitude (the “sequence effect” phenotype of bradykinesia) were detected within each trial by a dynamic-programming search over the amplitude time series. Every contiguous window of at least five consecutive movements was tested by ordinary least-squares regression of amplitude against movement index; windows with a negative slope and </w:t>
      </w:r>
      <w:r>
        <w:rPr>
          <w:i/>
          <w:iCs/>
        </w:rPr>
        <w:t xml:space="preserve">R²</w:t>
      </w:r>
      <w:r>
        <w:t xml:space="preserve"> ≥ 0.3 were retained as candidate decrement sequences. Among all candidates, the dynamic program selected the non-overlapping subset that maximised the total regression sum of squares. The aggregate sequence </w:t>
      </w:r>
      <w:r>
        <w:rPr>
          <w:i/>
          <w:iCs/>
        </w:rPr>
        <w:t xml:space="preserve">R²</w:t>
      </w:r>
      <w:r>
        <w:t xml:space="preserve"> reported for a trial is the explained-to-total sum-of-squares ratio computed over all movements in the trial. We applied the same algorithm separately to other kinematic parameters when sequence overlays were displayed; closing-velocity signals were sign-flipped before fitting so that decay was modelled as a decrease in magnitude. Within each detected sequence, optional linear or exponential decay fits could be overlaid on parameter scatter plots; exponential fits used the log-linear shortcut </w:t>
      </w:r>
      <w:r>
        <w:rPr>
          <w:i/>
          <w:iCs/>
        </w:rPr>
        <w:t xml:space="preserve">y = a exp(b t)</w:t>
      </w:r>
      <w:r>
        <w:t xml:space="preserve"> and </w:t>
      </w:r>
      <w:r>
        <w:rPr>
          <w:i/>
          <w:iCs/>
        </w:rPr>
        <w:t xml:space="preserve">R²</w:t>
      </w:r>
      <w:r>
        <w:t xml:space="preserve"> was reported on the original scale.</w:t>
      </w:r>
    </w:p>
    <w:p>
      <w:pPr>
        <w:pStyle w:val="Heading2"/>
        <w:spacing w:after="160" w:before="320"/>
      </w:pPr>
      <w:r>
        <w:rPr>
          <w:b/>
          <w:bCs/>
        </w:rPr>
        <w:t xml:space="preserve">Disease comparisons</w:t>
      </w:r>
    </w:p>
    <w:p>
      <w:pPr>
        <w:spacing w:after="160" w:line="360"/>
        <w:jc w:val="both"/>
      </w:pPr>
      <w:r>
        <w:t xml:space="preserve">For each subject and each kinematic parameter we computed three summary statistics across all valid movements: the arithmetic mean, the coefficient of variation (CV; standard deviation divided by the absolute value of the mean) and a sequence-effect slope, defined as the ordinary least-squares slope of the parameter against the within-subject movement index. Closing-velocity signals were sign-flipped before computing the sequence-effect slope so that a positive value reflected an increase in magnitude across the trial. We considered amplitude, peak opening velocity, peak closing velocity, power, IMI, relative amplitude, mean opening velocity, mean closing velocity, and tapping frequency (defined as the reciprocal of the mean IMI). Subjects with fewer than two valid movements were excluded.</w:t>
      </w:r>
    </w:p>
    <w:p>
      <w:pPr>
        <w:spacing w:after="160" w:line="360"/>
        <w:jc w:val="both"/>
      </w:pPr>
      <w:r>
        <w:t xml:space="preserve">Group-level figures plotted, for each parameter, the subject-level summary statistic as a coloured dot grouped by clinical diagnosis (Control, PD, MSA, PSP), together with a bar showing the group mean and an error bar showing the standard error of the mean. Subjects whose events had been manually curated were shown as filled dots; subjects whose events were entirely auto-detected were shown as open dots and could be excluded interactively. Diagnostic group was compared using </w:t>
      </w:r>
      <w:r>
        <w:rPr>
          <w:i/>
          <w:iCs/>
          <w:color w:val="888888"/>
        </w:rPr>
        <w:t xml:space="preserve">[Insert: one-way ANOVA with Tukey HSD post-hoc tests for normally distributed parameters, Kruskal–Wallis with Dunn’s post-hoc tests otherwise; software (e.g. scipy.stats 1.x, R 4.x); multiple-comparison correction (e.g. Benjamini–Hochberg, FDR &lt; 0.05)]</w:t>
      </w:r>
      <w:r>
        <w:t xml:space="preserve">. All tests were two-sided and </w:t>
      </w:r>
      <w:r>
        <w:rPr>
          <w:i/>
          <w:iCs/>
        </w:rPr>
        <w:t xml:space="preserve">P</w:t>
      </w:r>
      <w:r>
        <w:t xml:space="preserve"> &lt; 0.05 was considered significant.</w:t>
      </w:r>
    </w:p>
    <w:p>
      <w:pPr>
        <w:pStyle w:val="Heading2"/>
        <w:spacing w:after="160" w:before="320"/>
      </w:pPr>
      <w:r>
        <w:rPr>
          <w:b/>
          <w:bCs/>
        </w:rPr>
        <w:t xml:space="preserve">Pharmacology</w:t>
      </w:r>
    </w:p>
    <w:p>
      <w:pPr>
        <w:spacing w:after="160" w:line="360"/>
        <w:jc w:val="both"/>
      </w:pPr>
      <w:r>
        <w:t xml:space="preserve">For participants taking levodopa, the time elapsed between the most recent dose and the start of the recording was logged in free text (formats such as “5 h 30 m”, “2.5 h”, “30 m”) and parsed into minutes at analysis time; bare numbers were interpreted as minutes and unparsable entries (e.g. “−”, “N/A”) were treated as missing. Subjects without a parseable time-since-dose value were excluded from the dose-response plots. For each kinematic parameter we plotted the subject-level summary statistic (mean, CV, or sequence-effect slope) against the time since the last levodopa dose, expressed in hours, with one symbol per diagnostic group. Dose-response was modelled with </w:t>
      </w:r>
      <w:r>
        <w:rPr>
          <w:i/>
          <w:iCs/>
          <w:color w:val="888888"/>
        </w:rPr>
        <w:t xml:space="preserve">[Insert: e.g. ordinary least-squares regression / linear mixed-effects regression with a random subject effect; restricted to PD participants, or including other levodopa-treated groups; reported as </w:t>
      </w:r>
      <w:r>
        <w:rPr>
          <w:i/>
          <w:iCs/>
          <w:color w:val="888888"/>
        </w:rPr>
        <w:t xml:space="preserve"> β (95 % CI) and P value]</w:t>
      </w:r>
      <w:r>
        <w:t xml:space="preserve">.</w:t>
      </w:r>
    </w:p>
    <w:p>
      <w:pPr>
        <w:pStyle w:val="Heading2"/>
        <w:spacing w:after="160" w:before="320"/>
      </w:pPr>
      <w:r>
        <w:rPr>
          <w:b/>
          <w:bCs/>
        </w:rPr>
        <w:t xml:space="preserve">Data and software availability</w:t>
      </w:r>
    </w:p>
    <w:p>
      <w:pPr>
        <w:spacing w:after="160" w:line="360"/>
        <w:jc w:val="both"/>
      </w:pPr>
      <w:r>
        <w:t xml:space="preserve">All analyses were performed with Movement Tracker, an open-source application developed for this study. The backend is implemented in Python (FastAPI, NumPy, OpenCV, MediaPipe, PyTorch) and the front-end in vanilla JavaScript with Plotly for figures; ffmpeg (vendored via imageio-ffmpeg) handles all video I/O. Per-subject analytic artefacts were written to a stable on-disk layout: trimmed trial videos (</w:t>
      </w:r>
      <w:r>
        <w:rPr>
          <w:rFonts w:ascii="Consolas" w:cs="Consolas" w:eastAsia="Consolas" w:hAnsi="Consolas"/>
          <w:sz w:val="22"/>
          <w:szCs w:val="22"/>
        </w:rPr>
        <w:t xml:space="preserve">videos/</w:t>
      </w:r>
      <w:r>
        <w:t xml:space="preserve">), deidentified videos (</w:t>
      </w:r>
      <w:r>
        <w:rPr>
          <w:rFonts w:ascii="Consolas" w:cs="Consolas" w:eastAsia="Consolas" w:hAnsi="Consolas"/>
          <w:sz w:val="22"/>
          <w:szCs w:val="22"/>
        </w:rPr>
        <w:t xml:space="preserve">videos/deidentified/</w:t>
      </w:r>
      <w:r>
        <w:t xml:space="preserve">), per-trial MediaPipe outputs for the forward, reverse, static, cropped and combined passes (</w:t>
      </w:r>
      <w:r>
        <w:rPr>
          <w:rFonts w:ascii="Consolas" w:cs="Consolas" w:eastAsia="Consolas" w:hAnsi="Consolas"/>
          <w:sz w:val="22"/>
          <w:szCs w:val="22"/>
        </w:rPr>
        <w:t xml:space="preserve">dlc/{subject}/{trial}/mediapipe*.npz</w:t>
      </w:r>
      <w:r>
        <w:t xml:space="preserve">), corrected skeleton trajectories (</w:t>
      </w:r>
      <w:r>
        <w:rPr>
          <w:rFonts w:ascii="Consolas" w:cs="Consolas" w:eastAsia="Consolas" w:hAnsi="Consolas"/>
          <w:sz w:val="22"/>
          <w:szCs w:val="22"/>
        </w:rPr>
        <w:t xml:space="preserve">skeleton_v3.npz</w:t>
      </w:r>
      <w:r>
        <w:t xml:space="preserve">), per-event CSV files (</w:t>
      </w:r>
      <w:r>
        <w:rPr>
          <w:rFonts w:ascii="Consolas" w:cs="Consolas" w:eastAsia="Consolas" w:hAnsi="Consolas"/>
          <w:sz w:val="22"/>
          <w:szCs w:val="22"/>
        </w:rPr>
        <w:t xml:space="preserve">events.csv</w:t>
      </w:r>
      <w:r>
        <w:t xml:space="preserve">), per-camera stereo calibration YAMLs, the anatomical joint-angle priors, and a SQLite metadata database (</w:t>
      </w:r>
      <w:r>
        <w:rPr>
          <w:rFonts w:ascii="Consolas" w:cs="Consolas" w:eastAsia="Consolas" w:hAnsi="Consolas"/>
          <w:sz w:val="22"/>
          <w:szCs w:val="22"/>
        </w:rPr>
        <w:t xml:space="preserve">dlc_app.db</w:t>
      </w:r>
      <w:r>
        <w:t xml:space="preserve">). Source code, calibration files, joint-angle priors and analysis scripts are available at </w:t>
      </w:r>
      <w:r>
        <w:rPr>
          <w:i/>
          <w:iCs/>
          <w:color w:val="888888"/>
        </w:rPr>
        <w:t xml:space="preserve">[Insert: repository URL, commit / release tag, DOI]</w:t>
      </w:r>
      <w:r>
        <w:t xml:space="preserve">. Deidentified videos and the derived per-subject npz / CSV files underlying the figures will be made available </w:t>
      </w:r>
      <w:r>
        <w:rPr>
          <w:i/>
          <w:iCs/>
          <w:color w:val="888888"/>
        </w:rPr>
        <w:t xml:space="preserve">[Insert: on reasonable request / under a controlled-access agreement / via a public repository at the URL above]</w:t>
      </w:r>
      <w: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Movement Tracker — Methods (draft)</dc:title>
  <dc:creator>Dillan Newbold</dc:creator>
  <dc:description>Methods section draft generated from the Movement Tracker codebase</dc:description>
  <cp:lastModifiedBy>Un-named</cp:lastModifiedBy>
  <cp:revision>1</cp:revision>
  <dcterms:created xsi:type="dcterms:W3CDTF">2026-05-20T00:28:37.951Z</dcterms:created>
  <dcterms:modified xsi:type="dcterms:W3CDTF">2026-05-20T00:28:37.951Z</dcterms:modified>
</cp:coreProperties>
</file>

<file path=docProps/custom.xml><?xml version="1.0" encoding="utf-8"?>
<Properties xmlns="http://schemas.openxmlformats.org/officeDocument/2006/custom-properties" xmlns:vt="http://schemas.openxmlformats.org/officeDocument/2006/docPropsVTypes"/>
</file>