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200"/>
        <w:jc w:val="center"/>
        <w:rPr/>
      </w:pPr>
      <w:r>
        <w:rPr>
          <w:rFonts w:eastAsia="Arial" w:cs="Arial"/>
          <w:b/>
          <w:bCs/>
          <w:color w:val="C8B878"/>
          <w:sz w:val="28"/>
          <w:szCs w:val="28"/>
        </w:rPr>
        <w:t>Newborough Warren</w:t>
      </w:r>
    </w:p>
    <w:p>
      <w:pPr>
        <w:pStyle w:val="Normal"/>
        <w:spacing w:before="0" w:after="120"/>
        <w:jc w:val="center"/>
        <w:rPr/>
      </w:pPr>
      <w:r>
        <w:rPr>
          <w:rFonts w:eastAsia="Arial" w:cs="Arial"/>
          <w:color w:val="4A7A8A"/>
          <w:sz w:val="28"/>
          <w:szCs w:val="28"/>
        </w:rPr>
        <w:t>Interactive Web Tools</w:t>
      </w:r>
    </w:p>
    <w:p>
      <w:pPr>
        <w:pStyle w:val="Normal"/>
        <w:spacing w:before="0" w:after="200"/>
        <w:jc w:val="center"/>
        <w:rPr/>
      </w:pPr>
      <w:r>
        <w:rPr>
          <w:rFonts w:eastAsia="Arial" w:cs="Arial"/>
          <w:b/>
          <w:bCs/>
          <w:color w:val="3A4A52"/>
          <w:sz w:val="52"/>
          <w:szCs w:val="52"/>
        </w:rPr>
        <w:t>Technical Note</w:t>
      </w:r>
    </w:p>
    <w:p>
      <w:pPr>
        <w:pStyle w:val="Normal"/>
        <w:spacing w:before="0" w:after="300"/>
        <w:jc w:val="center"/>
        <w:rPr/>
      </w:pPr>
      <w:r>
        <w:rPr>
          <w:rFonts w:eastAsia="Arial" w:cs="Arial"/>
          <w:i/>
          <w:iCs/>
          <w:color w:val="8E8577"/>
          <w:sz w:val="26"/>
          <w:szCs w:val="26"/>
        </w:rPr>
        <w:t>Model Equations · Data Architecture · Rendering</w:t>
      </w:r>
    </w:p>
    <w:p>
      <w:pPr>
        <w:pStyle w:val="Normal"/>
        <w:spacing w:before="0" w:after="60"/>
        <w:jc w:val="center"/>
        <w:rPr/>
      </w:pPr>
      <w:r>
        <w:rPr>
          <w:rFonts w:eastAsia="Arial" w:cs="Arial"/>
          <w:color w:val="8E8577"/>
          <w:sz w:val="22"/>
          <w:szCs w:val="22"/>
        </w:rPr>
        <w:t>Hollingham (2026)</w:t>
      </w:r>
    </w:p>
    <w:p>
      <w:pPr>
        <w:pStyle w:val="Normal"/>
        <w:spacing w:before="0" w:after="60"/>
        <w:jc w:val="center"/>
        <w:rPr/>
      </w:pPr>
      <w:r>
        <w:rPr>
          <w:rFonts w:eastAsia="Arial" w:cs="Arial"/>
          <w:color w:val="8E8577"/>
          <w:sz w:val="22"/>
          <w:szCs w:val="22"/>
        </w:rPr>
        <w:t>May 2026</w:t>
      </w:r>
    </w:p>
    <w:p>
      <w:pPr>
        <w:pStyle w:val="Normal"/>
        <w:spacing w:before="0" w:after="60"/>
        <w:jc w:val="center"/>
        <w:rPr/>
      </w:pPr>
      <w:r>
        <w:rPr>
          <w:rFonts w:eastAsia="Arial" w:cs="Arial"/>
          <w:color w:val="8E8577"/>
          <w:sz w:val="20"/>
          <w:szCs w:val="20"/>
        </w:rPr>
        <w:t>Contact: martin.hollingham+nrg@gmail.com</w:t>
      </w:r>
    </w:p>
    <w:p>
      <w:pPr>
        <w:pStyle w:val="Normal"/>
        <w:spacing w:before="0" w:after="60"/>
        <w:jc w:val="center"/>
        <w:rPr/>
      </w:pPr>
      <w:r>
        <w:rPr>
          <w:rFonts w:eastAsia="Arial" w:cs="Arial"/>
          <w:color w:val="8E8577"/>
          <w:sz w:val="20"/>
          <w:szCs w:val="20"/>
        </w:rPr>
        <w:t>ORCID: 0000-0003-0253-9301</w:t>
      </w:r>
    </w:p>
    <w:p>
      <w:pPr>
        <w:pStyle w:val="Normal"/>
        <w:rPr/>
      </w:pPr>
      <w:r>
        <w:rPr/>
      </w:r>
      <w:r>
        <w:br w:type="page"/>
      </w:r>
    </w:p>
    <w:p>
      <w:pPr>
        <w:pStyle w:val="Normal"/>
        <w:spacing w:before="0" w:after="180"/>
        <w:rPr/>
      </w:pPr>
      <w:r>
        <w:rPr>
          <w:rFonts w:eastAsia="Arial" w:cs="Arial"/>
          <w:b/>
          <w:bCs/>
          <w:color w:val="3A4A52"/>
          <w:sz w:val="30"/>
          <w:szCs w:val="30"/>
        </w:rPr>
        <w:t>Contents</w:t>
      </w:r>
    </w:p>
    <w:sdt>
      <w:sdtPr>
        <w:docPartObj>
          <w:docPartGallery w:val="Table of Contents"/>
          <w:docPartUnique w:val="true"/>
        </w:docPartObj>
      </w:sdtPr>
      <w:sdtContent>
        <w:p>
          <w:pPr>
            <w:pStyle w:val="TOC1"/>
            <w:tabs>
              <w:tab w:val="clear" w:pos="9026"/>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6436_3460523948">
            <w:r>
              <w:rPr>
                <w:webHidden/>
                <w:rStyle w:val="IndexLink"/>
              </w:rPr>
              <w:t>A1. Overview</w:t>
              <w:tab/>
              <w:t>4</w:t>
            </w:r>
          </w:hyperlink>
        </w:p>
        <w:p>
          <w:pPr>
            <w:pStyle w:val="TOC1"/>
            <w:tabs>
              <w:tab w:val="clear" w:pos="9026"/>
              <w:tab w:val="right" w:pos="9025" w:leader="dot"/>
            </w:tabs>
            <w:rPr/>
          </w:pPr>
          <w:hyperlink w:anchor="__RefHeading___Toc16438_3460523948">
            <w:r>
              <w:rPr>
                <w:webHidden/>
                <w:rStyle w:val="IndexLink"/>
              </w:rPr>
              <w:t>A2. Data Bundle Structure</w:t>
              <w:tab/>
              <w:t>4</w:t>
            </w:r>
          </w:hyperlink>
        </w:p>
        <w:p>
          <w:pPr>
            <w:pStyle w:val="TOC1"/>
            <w:tabs>
              <w:tab w:val="clear" w:pos="9026"/>
              <w:tab w:val="right" w:pos="9025" w:leader="dot"/>
            </w:tabs>
            <w:rPr/>
          </w:pPr>
          <w:hyperlink w:anchor="__RefHeading___Toc16440_3460523948">
            <w:r>
              <w:rPr>
                <w:webHidden/>
                <w:rStyle w:val="IndexLink"/>
              </w:rPr>
              <w:t>A3. Model Equations</w:t>
              <w:tab/>
              <w:t>4</w:t>
            </w:r>
          </w:hyperlink>
        </w:p>
        <w:p>
          <w:pPr>
            <w:pStyle w:val="TOC2"/>
            <w:tabs>
              <w:tab w:val="clear" w:pos="8743"/>
              <w:tab w:val="right" w:pos="9025" w:leader="dot"/>
            </w:tabs>
            <w:rPr/>
          </w:pPr>
          <w:hyperlink w:anchor="__RefHeading___Toc16442_3460523948">
            <w:r>
              <w:rPr>
                <w:webHidden/>
                <w:rStyle w:val="IndexLink"/>
              </w:rPr>
              <w:t>A3.1 Monthly state-space model</w:t>
              <w:tab/>
              <w:t>4</w:t>
            </w:r>
          </w:hyperlink>
        </w:p>
        <w:p>
          <w:pPr>
            <w:pStyle w:val="TOC2"/>
            <w:tabs>
              <w:tab w:val="clear" w:pos="8743"/>
              <w:tab w:val="right" w:pos="9025" w:leader="dot"/>
            </w:tabs>
            <w:rPr/>
          </w:pPr>
          <w:hyperlink w:anchor="__RefHeading___Toc16444_3460523948">
            <w:r>
              <w:rPr>
                <w:webHidden/>
                <w:rStyle w:val="IndexLink"/>
              </w:rPr>
              <w:t>A3.2 Block transfer functions</w:t>
              <w:tab/>
              <w:t>4</w:t>
            </w:r>
          </w:hyperlink>
        </w:p>
        <w:p>
          <w:pPr>
            <w:pStyle w:val="TOC2"/>
            <w:tabs>
              <w:tab w:val="clear" w:pos="8743"/>
              <w:tab w:val="right" w:pos="9025" w:leader="dot"/>
            </w:tabs>
            <w:rPr/>
          </w:pPr>
          <w:hyperlink w:anchor="__RefHeading___Toc16446_3460523948">
            <w:r>
              <w:rPr>
                <w:webHidden/>
                <w:rStyle w:val="IndexLink"/>
              </w:rPr>
              <w:t>A3.3 P_flood linear form</w:t>
              <w:tab/>
              <w:t>5</w:t>
            </w:r>
          </w:hyperlink>
        </w:p>
        <w:p>
          <w:pPr>
            <w:pStyle w:val="TOC1"/>
            <w:tabs>
              <w:tab w:val="clear" w:pos="9026"/>
              <w:tab w:val="right" w:pos="9025" w:leader="dot"/>
            </w:tabs>
            <w:rPr/>
          </w:pPr>
          <w:hyperlink w:anchor="__RefHeading___Toc16448_3460523948">
            <w:r>
              <w:rPr>
                <w:webHidden/>
                <w:rStyle w:val="IndexLink"/>
              </w:rPr>
              <w:t>A4. Cluster and Block Mapping</w:t>
              <w:tab/>
              <w:t>5</w:t>
            </w:r>
          </w:hyperlink>
        </w:p>
        <w:p>
          <w:pPr>
            <w:pStyle w:val="TOC1"/>
            <w:tabs>
              <w:tab w:val="clear" w:pos="9026"/>
              <w:tab w:val="right" w:pos="9025" w:leader="dot"/>
            </w:tabs>
            <w:rPr/>
          </w:pPr>
          <w:hyperlink w:anchor="__RefHeading___Toc16450_3460523948">
            <w:r>
              <w:rPr>
                <w:webHidden/>
                <w:rStyle w:val="IndexLink"/>
              </w:rPr>
              <w:t>A5. Live Met Office Integration</w:t>
              <w:tab/>
              <w:t>5</w:t>
            </w:r>
          </w:hyperlink>
        </w:p>
        <w:p>
          <w:pPr>
            <w:pStyle w:val="TOC1"/>
            <w:tabs>
              <w:tab w:val="clear" w:pos="9026"/>
              <w:tab w:val="right" w:pos="9025" w:leader="dot"/>
            </w:tabs>
            <w:rPr/>
          </w:pPr>
          <w:hyperlink w:anchor="__RefHeading___Toc16452_3460523948">
            <w:r>
              <w:rPr>
                <w:webHidden/>
                <w:rStyle w:val="IndexLink"/>
              </w:rPr>
              <w:t>A6. Map Rendering</w:t>
              <w:tab/>
              <w:t>5</w:t>
            </w:r>
          </w:hyperlink>
        </w:p>
        <w:p>
          <w:pPr>
            <w:pStyle w:val="TOC1"/>
            <w:tabs>
              <w:tab w:val="clear" w:pos="9026"/>
              <w:tab w:val="right" w:pos="9025" w:leader="dot"/>
            </w:tabs>
            <w:rPr/>
          </w:pPr>
          <w:hyperlink w:anchor="__RefHeading___Toc16454_3460523948">
            <w:r>
              <w:rPr>
                <w:webHidden/>
                <w:rStyle w:val="IndexLink"/>
              </w:rPr>
              <w:t>A7. Build Provenance</w:t>
              <w:tab/>
              <w:t>5</w:t>
            </w:r>
          </w:hyperlink>
        </w:p>
        <w:p>
          <w:pPr>
            <w:pStyle w:val="TOC1"/>
            <w:tabs>
              <w:tab w:val="clear" w:pos="9026"/>
              <w:tab w:val="right" w:pos="9025" w:leader="dot"/>
            </w:tabs>
            <w:rPr/>
          </w:pPr>
          <w:hyperlink w:anchor="__RefHeading___Toc16456_3460523948">
            <w:r>
              <w:rPr>
                <w:webHidden/>
                <w:rStyle w:val="IndexLink"/>
              </w:rPr>
              <w:t>B1. Overview</w:t>
              <w:tab/>
              <w:t>7</w:t>
            </w:r>
          </w:hyperlink>
        </w:p>
        <w:p>
          <w:pPr>
            <w:pStyle w:val="TOC1"/>
            <w:tabs>
              <w:tab w:val="clear" w:pos="9026"/>
              <w:tab w:val="right" w:pos="9025" w:leader="dot"/>
            </w:tabs>
            <w:rPr/>
          </w:pPr>
          <w:hyperlink w:anchor="__RefHeading___Toc16458_3460523948">
            <w:r>
              <w:rPr>
                <w:webHidden/>
                <w:rStyle w:val="IndexLink"/>
              </w:rPr>
              <w:t>B2. Physical Constants</w:t>
              <w:tab/>
              <w:t>7</w:t>
            </w:r>
          </w:hyperlink>
        </w:p>
        <w:p>
          <w:pPr>
            <w:pStyle w:val="TOC1"/>
            <w:tabs>
              <w:tab w:val="clear" w:pos="9026"/>
              <w:tab w:val="right" w:pos="9025" w:leader="dot"/>
            </w:tabs>
            <w:rPr/>
          </w:pPr>
          <w:hyperlink w:anchor="__RefHeading___Toc16460_3460523948">
            <w:r>
              <w:rPr>
                <w:webHidden/>
                <w:rStyle w:val="IndexLink"/>
              </w:rPr>
              <w:t>B3. Δh Model Equation</w:t>
              <w:tab/>
              <w:t>7</w:t>
            </w:r>
          </w:hyperlink>
        </w:p>
        <w:p>
          <w:pPr>
            <w:pStyle w:val="TOC1"/>
            <w:tabs>
              <w:tab w:val="clear" w:pos="9026"/>
              <w:tab w:val="right" w:pos="9025" w:leader="dot"/>
            </w:tabs>
            <w:rPr/>
          </w:pPr>
          <w:hyperlink w:anchor="__RefHeading___Toc16462_3460523948">
            <w:r>
              <w:rPr>
                <w:webHidden/>
                <w:rStyle w:val="IndexLink"/>
              </w:rPr>
              <w:t>B4. Scenario Parameter Sets</w:t>
              <w:tab/>
              <w:t>7</w:t>
            </w:r>
          </w:hyperlink>
        </w:p>
        <w:p>
          <w:pPr>
            <w:pStyle w:val="TOC1"/>
            <w:tabs>
              <w:tab w:val="clear" w:pos="9026"/>
              <w:tab w:val="right" w:pos="9025" w:leader="dot"/>
            </w:tabs>
            <w:rPr/>
          </w:pPr>
          <w:hyperlink w:anchor="__RefHeading___Toc16464_3460523948">
            <w:r>
              <w:rPr>
                <w:webHidden/>
                <w:rStyle w:val="IndexLink"/>
              </w:rPr>
              <w:t>B5. Spatial Interpolation</w:t>
              <w:tab/>
              <w:t>8</w:t>
            </w:r>
          </w:hyperlink>
        </w:p>
        <w:p>
          <w:pPr>
            <w:pStyle w:val="TOC1"/>
            <w:tabs>
              <w:tab w:val="clear" w:pos="9026"/>
              <w:tab w:val="right" w:pos="9025" w:leader="dot"/>
            </w:tabs>
            <w:rPr/>
          </w:pPr>
          <w:hyperlink w:anchor="__RefHeading___Toc16466_3460523948">
            <w:r>
              <w:rPr>
                <w:webHidden/>
                <w:rStyle w:val="IndexLink"/>
              </w:rPr>
              <w:t>B6. Data Bundle</w:t>
              <w:tab/>
              <w:t>8</w:t>
            </w:r>
          </w:hyperlink>
        </w:p>
        <w:p>
          <w:pPr>
            <w:pStyle w:val="TOC1"/>
            <w:tabs>
              <w:tab w:val="clear" w:pos="9026"/>
              <w:tab w:val="right" w:pos="9025" w:leader="dot"/>
            </w:tabs>
            <w:rPr/>
          </w:pPr>
          <w:hyperlink w:anchor="__RefHeading___Toc16468_3460523948">
            <w:r>
              <w:rPr>
                <w:webHidden/>
                <w:rStyle w:val="IndexLink"/>
              </w:rPr>
              <w:t>B7. Viewer Extent</w:t>
              <w:tab/>
              <w:t>8</w:t>
            </w:r>
          </w:hyperlink>
        </w:p>
        <w:p>
          <w:pPr>
            <w:pStyle w:val="TOC1"/>
            <w:tabs>
              <w:tab w:val="clear" w:pos="9026"/>
              <w:tab w:val="right" w:pos="9025" w:leader="dot"/>
            </w:tabs>
            <w:rPr/>
          </w:pPr>
          <w:hyperlink w:anchor="__RefHeading___Toc16470_3460523948">
            <w:r>
              <w:rPr>
                <w:webHidden/>
                <w:rStyle w:val="IndexLink"/>
              </w:rPr>
              <w:t>B8. Build Provenance</w:t>
              <w:tab/>
              <w:t>8</w:t>
            </w:r>
          </w:hyperlink>
        </w:p>
        <w:p>
          <w:pPr>
            <w:pStyle w:val="TOC1"/>
            <w:tabs>
              <w:tab w:val="clear" w:pos="9026"/>
              <w:tab w:val="right" w:pos="9025" w:leader="dot"/>
            </w:tabs>
            <w:rPr/>
          </w:pPr>
          <w:hyperlink w:anchor="__RefHeading___Toc16472_3460523948">
            <w:r>
              <w:rPr>
                <w:webHidden/>
                <w:rStyle w:val="IndexLink"/>
              </w:rPr>
              <w:t>C1. Overview</w:t>
              <w:tab/>
              <w:t>9</w:t>
            </w:r>
          </w:hyperlink>
        </w:p>
        <w:p>
          <w:pPr>
            <w:pStyle w:val="TOC1"/>
            <w:tabs>
              <w:tab w:val="clear" w:pos="9026"/>
              <w:tab w:val="right" w:pos="9025" w:leader="dot"/>
            </w:tabs>
            <w:rPr/>
          </w:pPr>
          <w:hyperlink w:anchor="__RefHeading___Toc16474_3460523948">
            <w:r>
              <w:rPr>
                <w:webHidden/>
                <w:rStyle w:val="IndexLink"/>
              </w:rPr>
              <w:t>C2. Data Sources</w:t>
              <w:tab/>
              <w:t>9</w:t>
            </w:r>
          </w:hyperlink>
        </w:p>
        <w:p>
          <w:pPr>
            <w:pStyle w:val="TOC1"/>
            <w:tabs>
              <w:tab w:val="clear" w:pos="9026"/>
              <w:tab w:val="right" w:pos="9025" w:leader="dot"/>
            </w:tabs>
            <w:rPr/>
          </w:pPr>
          <w:hyperlink w:anchor="__RefHeading___Toc16476_3460523948">
            <w:r>
              <w:rPr>
                <w:webHidden/>
                <w:rStyle w:val="IndexLink"/>
              </w:rPr>
              <w:t>C3. Threshold Definitions</w:t>
              <w:tab/>
              <w:t>9</w:t>
            </w:r>
          </w:hyperlink>
        </w:p>
        <w:p>
          <w:pPr>
            <w:pStyle w:val="TOC1"/>
            <w:tabs>
              <w:tab w:val="clear" w:pos="9026"/>
              <w:tab w:val="right" w:pos="9025" w:leader="dot"/>
            </w:tabs>
            <w:rPr/>
          </w:pPr>
          <w:hyperlink w:anchor="__RefHeading___Toc16478_3460523948">
            <w:r>
              <w:rPr>
                <w:webHidden/>
                <w:rStyle w:val="IndexLink"/>
              </w:rPr>
              <w:t>C4. Chart Implementation</w:t>
              <w:tab/>
              <w:t>9</w:t>
            </w:r>
          </w:hyperlink>
        </w:p>
        <w:p>
          <w:pPr>
            <w:pStyle w:val="TOC1"/>
            <w:tabs>
              <w:tab w:val="clear" w:pos="9026"/>
              <w:tab w:val="right" w:pos="9025" w:leader="dot"/>
            </w:tabs>
            <w:rPr/>
          </w:pPr>
          <w:hyperlink w:anchor="__RefHeading___Toc16480_3460523948">
            <w:r>
              <w:rPr>
                <w:webHidden/>
                <w:rStyle w:val="IndexLink"/>
              </w:rPr>
              <w:t>C5. Cluster Styling</w:t>
              <w:tab/>
              <w:t>10</w:t>
            </w:r>
          </w:hyperlink>
        </w:p>
        <w:p>
          <w:pPr>
            <w:pStyle w:val="TOC1"/>
            <w:tabs>
              <w:tab w:val="clear" w:pos="9026"/>
              <w:tab w:val="right" w:pos="9025" w:leader="dot"/>
            </w:tabs>
            <w:rPr/>
          </w:pPr>
          <w:hyperlink w:anchor="__RefHeading___Toc16482_3460523948">
            <w:r>
              <w:rPr>
                <w:webHidden/>
                <w:rStyle w:val="IndexLink"/>
              </w:rPr>
              <w:t>C6. Build Provenance</w:t>
              <w:tab/>
              <w:t>10</w:t>
            </w:r>
          </w:hyperlink>
          <w:r>
            <w:rPr>
              <w:rStyle w:val="IndexLink"/>
            </w:rPr>
            <w:fldChar w:fldCharType="end"/>
          </w:r>
        </w:p>
      </w:sdtContent>
    </w:sdt>
    <w:p>
      <w:pPr>
        <w:pStyle w:val="Normal"/>
        <w:rPr/>
      </w:pPr>
      <w:r>
        <w:rPr/>
      </w:r>
      <w:r>
        <w:br w:type="page"/>
      </w:r>
    </w:p>
    <w:p>
      <w:pPr>
        <w:pStyle w:val="Normal"/>
        <w:spacing w:before="0" w:after="180"/>
        <w:rPr/>
      </w:pPr>
      <w:r>
        <w:rPr>
          <w:rFonts w:eastAsia="Arial" w:cs="Arial"/>
          <w:b/>
          <w:bCs/>
          <w:color w:val="3A4A52"/>
          <w:sz w:val="30"/>
          <w:szCs w:val="30"/>
        </w:rPr>
        <w:t>Introduction</w:t>
      </w:r>
    </w:p>
    <w:p>
      <w:pPr>
        <w:pStyle w:val="Normal"/>
        <w:spacing w:before="0" w:after="120"/>
        <w:rPr/>
      </w:pPr>
      <w:r>
        <w:rPr>
          <w:rFonts w:eastAsia="Arial" w:cs="Arial"/>
          <w:sz w:val="22"/>
          <w:szCs w:val="22"/>
        </w:rPr>
        <w:t xml:space="preserve">This technical note documents the model equations, data architecture, and rendering implementation for the three interactive web tools produced by the Newborough Warren hydrology research project (Hollingham 2026). Each tool is a self-contained HTML file with all data, model coefficients, and map geometry embedded at build time. The note is organised in three parts. </w:t>
      </w:r>
    </w:p>
    <w:p>
      <w:pPr>
        <w:pStyle w:val="Normal"/>
        <w:spacing w:before="0" w:after="120"/>
        <w:rPr/>
      </w:pPr>
      <w:r>
        <w:rPr>
          <w:rFonts w:eastAsia="Arial" w:cs="Arial"/>
          <w:b/>
          <w:bCs/>
          <w:sz w:val="22"/>
          <w:szCs w:val="22"/>
        </w:rPr>
        <w:t>Part A covers the Groundwater Flooding Forecaster,</w:t>
      </w:r>
      <w:r>
        <w:rPr>
          <w:rFonts w:eastAsia="Arial" w:cs="Arial"/>
          <w:sz w:val="22"/>
          <w:szCs w:val="22"/>
        </w:rPr>
        <w:t xml:space="preserve"> describing the state-space model recurrence, block transfer functions, and P_flood linear form that drive the per-well flood-risk assessments. </w:t>
      </w:r>
    </w:p>
    <w:p>
      <w:pPr>
        <w:pStyle w:val="Normal"/>
        <w:spacing w:before="0" w:after="120"/>
        <w:rPr/>
      </w:pPr>
      <w:r>
        <w:rPr>
          <w:rFonts w:eastAsia="Arial" w:cs="Arial"/>
          <w:b/>
          <w:bCs/>
          <w:sz w:val="22"/>
          <w:szCs w:val="22"/>
        </w:rPr>
        <w:t>Part B covers the Hydrological Scenario Viewer</w:t>
      </w:r>
      <w:r>
        <w:rPr>
          <w:rFonts w:eastAsia="Arial" w:cs="Arial"/>
          <w:sz w:val="22"/>
          <w:szCs w:val="22"/>
        </w:rPr>
        <w:t xml:space="preserve">, detailing the equilibrium perturbation equation, scenario parameter sets, and the IDW spatial interpolation used to generate the map surface. </w:t>
      </w:r>
    </w:p>
    <w:p>
      <w:pPr>
        <w:pStyle w:val="Normal"/>
        <w:spacing w:before="0" w:after="120"/>
        <w:rPr/>
      </w:pPr>
      <w:r>
        <w:rPr>
          <w:rFonts w:eastAsia="Arial" w:cs="Arial"/>
          <w:b/>
          <w:bCs/>
          <w:sz w:val="22"/>
          <w:szCs w:val="22"/>
        </w:rPr>
        <w:t>Part C covers the Seasonal Extremes Scatter</w:t>
      </w:r>
      <w:r>
        <w:rPr>
          <w:rFonts w:eastAsia="Arial" w:cs="Arial"/>
          <w:sz w:val="22"/>
          <w:szCs w:val="22"/>
        </w:rPr>
        <w:t>, which plots each well’s mean summer minimum against its mean winter maximum relative to the Curreli et al. (2013) eco-hydrological thresholds. For guidance on operating the tools, see the companion User Manual.</w:t>
      </w:r>
    </w:p>
    <w:p>
      <w:pPr>
        <w:pStyle w:val="Normal"/>
        <w:rPr/>
      </w:pPr>
      <w:r>
        <w:rPr/>
      </w:r>
      <w:r>
        <w:br w:type="page"/>
      </w:r>
    </w:p>
    <w:p>
      <w:pPr>
        <w:pStyle w:val="Normal"/>
        <w:spacing w:before="0" w:after="80"/>
        <w:jc w:val="left"/>
        <w:rPr/>
      </w:pPr>
      <w:r>
        <w:rPr>
          <w:rFonts w:eastAsia="Arial" w:cs="Arial"/>
          <w:b/>
          <w:bCs/>
          <w:color w:val="4A7A8A"/>
          <w:sz w:val="28"/>
          <w:szCs w:val="28"/>
        </w:rPr>
        <w:t>Part A</w:t>
      </w:r>
    </w:p>
    <w:p>
      <w:pPr>
        <w:pStyle w:val="Normal"/>
        <w:pBdr>
          <w:bottom w:val="single" w:sz="6" w:space="1" w:color="C8B878"/>
        </w:pBdr>
        <w:spacing w:before="0" w:after="300"/>
        <w:jc w:val="left"/>
        <w:rPr/>
      </w:pPr>
      <w:r>
        <w:rPr>
          <w:rFonts w:eastAsia="Arial" w:cs="Arial"/>
          <w:b/>
          <w:bCs/>
          <w:color w:val="3A4A52"/>
          <w:sz w:val="40"/>
          <w:szCs w:val="40"/>
        </w:rPr>
        <w:t>Groundwater Flooding Forecaster</w:t>
      </w:r>
    </w:p>
    <w:p>
      <w:pPr>
        <w:pStyle w:val="Heading1"/>
        <w:rPr/>
      </w:pPr>
      <w:bookmarkStart w:id="0" w:name="__RefHeading___Toc16436_3460523948"/>
      <w:bookmarkEnd w:id="0"/>
      <w:r>
        <w:rPr/>
        <w:t>A1. Overview</w:t>
      </w:r>
    </w:p>
    <w:p>
      <w:pPr>
        <w:pStyle w:val="Normal"/>
        <w:spacing w:before="0" w:after="120"/>
        <w:rPr/>
      </w:pPr>
      <w:r>
        <w:rPr>
          <w:rFonts w:eastAsia="Arial" w:cs="Arial"/>
          <w:sz w:val="22"/>
          <w:szCs w:val="22"/>
        </w:rPr>
        <w:t>The Groundwater Flooding Forecaster (forecaster.html) is a single-page application built as a standalone HTML file with embedded JavaScript, CSS, and a JSON data bundle. It was generated by Script 11b (build_forecaster_html) from the NRG analysis pipeline. All model coefficients, well metadata, map geometry, and climatological baselines are baked into a single DATA constant at build time.</w:t>
      </w:r>
    </w:p>
    <w:p>
      <w:pPr>
        <w:pStyle w:val="Heading1"/>
        <w:rPr/>
      </w:pPr>
      <w:bookmarkStart w:id="1" w:name="__RefHeading___Toc16438_3460523948"/>
      <w:bookmarkEnd w:id="1"/>
      <w:r>
        <w:rPr/>
        <w:t>A2. Data Bundle Structure</w:t>
      </w:r>
    </w:p>
    <w:p>
      <w:pPr>
        <w:pStyle w:val="Normal"/>
        <w:spacing w:before="0" w:after="60"/>
        <w:rPr/>
      </w:pPr>
      <w:r>
        <w:rPr/>
      </w:r>
    </w:p>
    <w:tbl>
      <w:tblPr>
        <w:tblW w:w="9026" w:type="dxa"/>
        <w:jc w:val="left"/>
        <w:tblInd w:w="0" w:type="dxa"/>
        <w:tblLayout w:type="fixed"/>
        <w:tblCellMar>
          <w:top w:w="80" w:type="dxa"/>
          <w:left w:w="120" w:type="dxa"/>
          <w:bottom w:w="80" w:type="dxa"/>
          <w:right w:w="120" w:type="dxa"/>
        </w:tblCellMar>
      </w:tblPr>
      <w:tblGrid>
        <w:gridCol w:w="2199"/>
        <w:gridCol w:w="6826"/>
      </w:tblGrid>
      <w:tr>
        <w:trPr/>
        <w:tc>
          <w:tcPr>
            <w:tcW w:w="2199"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Key</w:t>
            </w:r>
          </w:p>
        </w:tc>
        <w:tc>
          <w:tcPr>
            <w:tcW w:w="6826"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Contents</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cluster_coeffs</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Per-cluster SSM coefficients (b1, b2, b3), peak month, P_flood linear-form slope A and intercept B, climatological horizon rainfall, and horizon length. Five clusters: C1 (Lake Edge), C2 (Dune), C3 (Western Residual), C4 (Main Forest), C5 (Coastal Forest).</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block_tf</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Seasonal transfer-function coefficients (b1, b2, c, R²) for each geographic block, split into winter and summer sub-models.</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P_clim / PET_clim</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Monthly climatological precipitation and PET (mm), keyed 1–12, from RAF Valley 2005–2026 means.</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winter_climatology_mm</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Mean Oct–Mar cumulative rainfall (514.6 mm), the denominator for λ.</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wells</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Array of 69 well objects with coordinates, elevation, cluster, default depths, and per-well SSM/P_flood coefficients where available.</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base_layer</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Map extent, Base64 hillshade PNG, and KML feature polylines with styling.</w:t>
            </w:r>
          </w:p>
        </w:tc>
      </w:tr>
    </w:tbl>
    <w:p>
      <w:pPr>
        <w:pStyle w:val="Heading1"/>
        <w:rPr/>
      </w:pPr>
      <w:bookmarkStart w:id="2" w:name="__RefHeading___Toc16440_3460523948"/>
      <w:bookmarkEnd w:id="2"/>
      <w:r>
        <w:rPr/>
        <w:t>A3. Model Equations</w:t>
      </w:r>
    </w:p>
    <w:p>
      <w:pPr>
        <w:pStyle w:val="Heading2"/>
        <w:rPr/>
      </w:pPr>
      <w:bookmarkStart w:id="3" w:name="__RefHeading___Toc16442_3460523948"/>
      <w:bookmarkEnd w:id="3"/>
      <w:r>
        <w:rPr/>
        <w:t>A3.1 Monthly state-space model</w:t>
      </w:r>
    </w:p>
    <w:p>
      <w:pPr>
        <w:pStyle w:val="Normal"/>
        <w:spacing w:before="0" w:after="120"/>
        <w:rPr/>
      </w:pPr>
      <w:r>
        <w:rPr>
          <w:rFonts w:eastAsia="Arial" w:cs="Arial"/>
          <w:sz w:val="22"/>
          <w:szCs w:val="22"/>
        </w:rPr>
        <w:t>The core recurrence relation steps groundwater head forward one month:</w:t>
      </w:r>
    </w:p>
    <w:p>
      <w:pPr>
        <w:pStyle w:val="Normal"/>
        <w:spacing w:before="0" w:after="200"/>
        <w:jc w:val="center"/>
        <w:rPr/>
      </w:pPr>
      <w:r>
        <w:rPr>
          <w:rFonts w:eastAsia="Consolas" w:cs="Consolas" w:ascii="Consolas" w:hAnsi="Consolas"/>
          <w:b/>
          <w:bCs/>
          <w:sz w:val="22"/>
          <w:szCs w:val="22"/>
        </w:rPr>
        <w:t>h(t) = α · h(t−1) + b₁ · λ · P_clim(t) − b₂ · PET_clim(t)</w:t>
      </w:r>
    </w:p>
    <w:p>
      <w:pPr>
        <w:pStyle w:val="Normal"/>
        <w:spacing w:before="0" w:after="120"/>
        <w:rPr/>
      </w:pPr>
      <w:r>
        <w:rPr>
          <w:rFonts w:eastAsia="Arial" w:cs="Arial"/>
          <w:sz w:val="22"/>
          <w:szCs w:val="22"/>
        </w:rPr>
        <w:t>where α = 1 − b₃, h is head relative to ground (negative = below), P_clim and PET_clim are monthly means, and λ is the rainfall multiplier. Coefficients are available at both cluster and per-well resolution.</w:t>
      </w:r>
    </w:p>
    <w:p>
      <w:pPr>
        <w:pStyle w:val="Heading2"/>
        <w:rPr/>
      </w:pPr>
      <w:bookmarkStart w:id="4" w:name="__RefHeading___Toc16444_3460523948"/>
      <w:bookmarkEnd w:id="4"/>
      <w:r>
        <w:rPr/>
        <w:t>A3.2 Block transfer functions</w:t>
      </w:r>
    </w:p>
    <w:p>
      <w:pPr>
        <w:pStyle w:val="Normal"/>
        <w:spacing w:before="0" w:after="120"/>
        <w:rPr/>
      </w:pPr>
      <w:r>
        <w:rPr>
          <w:rFonts w:eastAsia="Arial" w:cs="Arial"/>
          <w:sz w:val="22"/>
          <w:szCs w:val="22"/>
        </w:rPr>
        <w:t>At the block level, seasonal transfer functions provide a simpler regression:</w:t>
      </w:r>
    </w:p>
    <w:p>
      <w:pPr>
        <w:pStyle w:val="Normal"/>
        <w:spacing w:before="0" w:after="200"/>
        <w:jc w:val="center"/>
        <w:rPr/>
      </w:pPr>
      <w:r>
        <w:rPr>
          <w:rFonts w:eastAsia="Consolas" w:cs="Consolas" w:ascii="Consolas" w:hAnsi="Consolas"/>
          <w:b/>
          <w:bCs/>
          <w:sz w:val="22"/>
          <w:szCs w:val="22"/>
        </w:rPr>
        <w:t>Winter peak:  h_peak = b₁ · P_winter + b₂ · h_min(summer) + c</w:t>
      </w:r>
    </w:p>
    <w:p>
      <w:pPr>
        <w:pStyle w:val="Normal"/>
        <w:spacing w:before="0" w:after="200"/>
        <w:jc w:val="center"/>
        <w:rPr/>
      </w:pPr>
      <w:r>
        <w:rPr>
          <w:rFonts w:eastAsia="Consolas" w:cs="Consolas" w:ascii="Consolas" w:hAnsi="Consolas"/>
          <w:b/>
          <w:bCs/>
          <w:sz w:val="22"/>
          <w:szCs w:val="22"/>
        </w:rPr>
        <w:t>Summer min:   h_min  = b₁ · P_summer + b₂ · h_max(winter) + c</w:t>
      </w:r>
    </w:p>
    <w:p>
      <w:pPr>
        <w:pStyle w:val="Normal"/>
        <w:spacing w:before="0" w:after="120"/>
        <w:rPr/>
      </w:pPr>
      <w:r>
        <w:rPr>
          <w:rFonts w:eastAsia="Arial" w:cs="Arial"/>
          <w:sz w:val="22"/>
          <w:szCs w:val="22"/>
        </w:rPr>
        <w:t>R² values range from 0.40 (Lake Edge winter) to 0.91 (Forest summer). When R² &lt; 0.50 the forecast card displays a low-explanatory-power caveat.</w:t>
      </w:r>
    </w:p>
    <w:p>
      <w:pPr>
        <w:pStyle w:val="Heading2"/>
        <w:rPr/>
      </w:pPr>
      <w:bookmarkStart w:id="5" w:name="__RefHeading___Toc16446_3460523948"/>
      <w:bookmarkEnd w:id="5"/>
      <w:r>
        <w:rPr/>
        <w:t>A3.3 P_flood linear form</w:t>
      </w:r>
    </w:p>
    <w:p>
      <w:pPr>
        <w:pStyle w:val="Normal"/>
        <w:spacing w:before="0" w:after="120"/>
        <w:rPr/>
      </w:pPr>
      <w:r>
        <w:rPr>
          <w:rFonts w:eastAsia="Arial" w:cs="Arial"/>
          <w:sz w:val="22"/>
          <w:szCs w:val="22"/>
        </w:rPr>
        <w:t>Cumulative rainfall to bring groundwater to the surface:</w:t>
      </w:r>
    </w:p>
    <w:p>
      <w:pPr>
        <w:pStyle w:val="Normal"/>
        <w:spacing w:before="0" w:after="200"/>
        <w:jc w:val="center"/>
        <w:rPr/>
      </w:pPr>
      <w:r>
        <w:rPr>
          <w:rFonts w:eastAsia="Consolas" w:cs="Consolas" w:ascii="Consolas" w:hAnsi="Consolas"/>
          <w:b/>
          <w:bCs/>
          <w:sz w:val="22"/>
          <w:szCs w:val="22"/>
        </w:rPr>
        <w:t>P_flood (mm) = A · d + B</w:t>
      </w:r>
    </w:p>
    <w:p>
      <w:pPr>
        <w:pStyle w:val="Normal"/>
        <w:spacing w:before="0" w:after="120"/>
        <w:rPr/>
      </w:pPr>
      <w:r>
        <w:rPr>
          <w:rFonts w:eastAsia="Arial" w:cs="Arial"/>
          <w:sz w:val="22"/>
          <w:szCs w:val="22"/>
        </w:rPr>
        <w:t>where d is depth below ground (m, positive), A is slope (mm/m), and B is intercept (mm). The result is normalised as λ = P_flood / P_clim_total.</w:t>
      </w:r>
    </w:p>
    <w:p>
      <w:pPr>
        <w:pStyle w:val="Heading1"/>
        <w:rPr/>
      </w:pPr>
      <w:bookmarkStart w:id="6" w:name="__RefHeading___Toc16448_3460523948"/>
      <w:bookmarkEnd w:id="6"/>
      <w:r>
        <w:rPr/>
        <w:t>A4. Cluster and Block Mapping</w:t>
      </w:r>
    </w:p>
    <w:p>
      <w:pPr>
        <w:pStyle w:val="Normal"/>
        <w:spacing w:before="0" w:after="60"/>
        <w:rPr/>
      </w:pPr>
      <w:r>
        <w:rPr/>
      </w:r>
    </w:p>
    <w:tbl>
      <w:tblPr>
        <w:tblW w:w="9026" w:type="dxa"/>
        <w:jc w:val="left"/>
        <w:tblInd w:w="0" w:type="dxa"/>
        <w:tblLayout w:type="fixed"/>
        <w:tblCellMar>
          <w:top w:w="80" w:type="dxa"/>
          <w:left w:w="120" w:type="dxa"/>
          <w:bottom w:w="80" w:type="dxa"/>
          <w:right w:w="120" w:type="dxa"/>
        </w:tblCellMar>
      </w:tblPr>
      <w:tblGrid>
        <w:gridCol w:w="1199"/>
        <w:gridCol w:w="2600"/>
        <w:gridCol w:w="2601"/>
        <w:gridCol w:w="1300"/>
        <w:gridCol w:w="1326"/>
      </w:tblGrid>
      <w:tr>
        <w:trPr/>
        <w:tc>
          <w:tcPr>
            <w:tcW w:w="1199"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Cluster</w:t>
            </w:r>
          </w:p>
        </w:tc>
        <w:tc>
          <w:tcPr>
            <w:tcW w:w="2600"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Label</w:t>
            </w:r>
          </w:p>
        </w:tc>
        <w:tc>
          <w:tcPr>
            <w:tcW w:w="2601"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Block TF</w:t>
            </w:r>
          </w:p>
        </w:tc>
        <w:tc>
          <w:tcPr>
            <w:tcW w:w="1300"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Peak</w:t>
            </w:r>
          </w:p>
        </w:tc>
        <w:tc>
          <w:tcPr>
            <w:tcW w:w="1326"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Horizon</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C1</w:t>
            </w:r>
          </w:p>
        </w:tc>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Lake Edge</w:t>
            </w:r>
          </w:p>
        </w:tc>
        <w:tc>
          <w:tcPr>
            <w:tcW w:w="26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Lake_Edge</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Feb</w:t>
            </w:r>
          </w:p>
        </w:tc>
        <w:tc>
          <w:tcPr>
            <w:tcW w:w="13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5 mo</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C2</w:t>
            </w:r>
          </w:p>
        </w:tc>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Dune</w:t>
            </w:r>
          </w:p>
        </w:tc>
        <w:tc>
          <w:tcPr>
            <w:tcW w:w="26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Eastern_Block</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Feb</w:t>
            </w:r>
          </w:p>
        </w:tc>
        <w:tc>
          <w:tcPr>
            <w:tcW w:w="13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5 mo</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C3</w:t>
            </w:r>
          </w:p>
        </w:tc>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Western Residual</w:t>
            </w:r>
          </w:p>
        </w:tc>
        <w:tc>
          <w:tcPr>
            <w:tcW w:w="26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Western_Block</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Mar</w:t>
            </w:r>
          </w:p>
        </w:tc>
        <w:tc>
          <w:tcPr>
            <w:tcW w:w="13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6 mo</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C4</w:t>
            </w:r>
          </w:p>
        </w:tc>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Main Forest</w:t>
            </w:r>
          </w:p>
        </w:tc>
        <w:tc>
          <w:tcPr>
            <w:tcW w:w="26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Forest</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Mar</w:t>
            </w:r>
          </w:p>
        </w:tc>
        <w:tc>
          <w:tcPr>
            <w:tcW w:w="13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6 mo</w:t>
            </w:r>
          </w:p>
        </w:tc>
      </w:tr>
      <w:tr>
        <w:trPr/>
        <w:tc>
          <w:tcPr>
            <w:tcW w:w="1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C5</w:t>
            </w:r>
          </w:p>
        </w:tc>
        <w:tc>
          <w:tcPr>
            <w:tcW w:w="26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Coastal Forest</w:t>
            </w:r>
          </w:p>
        </w:tc>
        <w:tc>
          <w:tcPr>
            <w:tcW w:w="260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Coastal_Forest</w:t>
            </w:r>
          </w:p>
        </w:tc>
        <w:tc>
          <w:tcPr>
            <w:tcW w:w="13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Mar</w:t>
            </w:r>
          </w:p>
        </w:tc>
        <w:tc>
          <w:tcPr>
            <w:tcW w:w="13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6 mo</w:t>
            </w:r>
          </w:p>
        </w:tc>
      </w:tr>
    </w:tbl>
    <w:p>
      <w:pPr>
        <w:pStyle w:val="Heading1"/>
        <w:rPr/>
      </w:pPr>
      <w:bookmarkStart w:id="7" w:name="__RefHeading___Toc16450_3460523948"/>
      <w:bookmarkEnd w:id="7"/>
      <w:r>
        <w:rPr/>
        <w:t>A5. Live Met Office Integration</w:t>
      </w:r>
    </w:p>
    <w:p>
      <w:pPr>
        <w:pStyle w:val="Normal"/>
        <w:spacing w:before="0" w:after="120"/>
        <w:rPr/>
      </w:pPr>
      <w:r>
        <w:rPr>
          <w:rFonts w:eastAsia="Arial" w:cs="Arial"/>
          <w:sz w:val="22"/>
          <w:szCs w:val="22"/>
        </w:rPr>
        <w:t>On initialisation, loadLiveData() fetches RAF Valley station data. The parser handles estimated values (asterisk-suffixed) and missing data (“---”). buildLiveBanner() computes Oct–Mar cumulative totals for current and prior hydrological winters, deriving λ = observed / climatological. The display adapts by calendar month (Oct–Dec emphasises the previous winter; Jan–Apr the current; May–Sep the most recently completed).</w:t>
      </w:r>
    </w:p>
    <w:p>
      <w:pPr>
        <w:pStyle w:val="Normal"/>
        <w:spacing w:before="0" w:after="120"/>
        <w:rPr/>
      </w:pPr>
      <w:r>
        <w:rPr>
          <w:rFonts w:eastAsia="Arial" w:cs="Arial"/>
          <w:sz w:val="22"/>
          <w:szCs w:val="22"/>
        </w:rPr>
        <w:t>If the fetch fails, a manual fallback modal accepts pasted valleydata.txt and parses it identically.</w:t>
      </w:r>
    </w:p>
    <w:p>
      <w:pPr>
        <w:pStyle w:val="Heading1"/>
        <w:rPr/>
      </w:pPr>
      <w:bookmarkStart w:id="8" w:name="__RefHeading___Toc16452_3460523948"/>
      <w:bookmarkEnd w:id="8"/>
      <w:r>
        <w:rPr/>
        <w:t>A6. Map Rendering</w:t>
      </w:r>
    </w:p>
    <w:p>
      <w:pPr>
        <w:pStyle w:val="Normal"/>
        <w:spacing w:before="0" w:after="120"/>
        <w:rPr/>
      </w:pPr>
      <w:r>
        <w:rPr>
          <w:rFonts w:eastAsia="Arial" w:cs="Arial"/>
          <w:sz w:val="22"/>
          <w:szCs w:val="22"/>
        </w:rPr>
        <w:t>The map uses a fixed SVG viewBox (1000 × 900) with OSGB coordinates (E 240100–243900, N 362100–365900). Rendering layers: (1) Base64 hillshade PNG at 85% opacity, (2) KML polylines/polygons, (3) well dots coloured by P_flood category, re-rendered on every slider change.</w:t>
      </w:r>
    </w:p>
    <w:p>
      <w:pPr>
        <w:pStyle w:val="Heading1"/>
        <w:rPr/>
      </w:pPr>
      <w:bookmarkStart w:id="9" w:name="__RefHeading___Toc16454_3460523948"/>
      <w:bookmarkEnd w:id="9"/>
      <w:r>
        <w:rPr/>
        <w:t>A7. Build Provenance</w:t>
      </w:r>
    </w:p>
    <w:p>
      <w:pPr>
        <w:pStyle w:val="Normal"/>
        <w:spacing w:before="0" w:after="120"/>
        <w:rPr/>
      </w:pPr>
      <w:r>
        <w:rPr>
          <w:rFonts w:eastAsia="Arial" w:cs="Arial"/>
          <w:sz w:val="22"/>
          <w:szCs w:val="22"/>
        </w:rPr>
        <w:t>Script 11b assembles SSM coefficients (Script 03), block transfer functions (Tables 8/9), cluster metadata, hillshade, KML features, and RAF Valley climatology into a single .html file. Google Fonts (Libre Baskerville, Source Sans 3, JetBrains Mono) are the only external resource; the tool degrades gracefully without them.</w:t>
      </w:r>
    </w:p>
    <w:p>
      <w:pPr>
        <w:pStyle w:val="Normal"/>
        <w:spacing w:before="0" w:after="60"/>
        <w:rPr/>
      </w:pPr>
      <w:r>
        <w:rPr/>
      </w:r>
    </w:p>
    <w:p>
      <w:pPr>
        <w:pStyle w:val="Normal"/>
        <w:spacing w:before="0" w:after="120"/>
        <w:rPr/>
      </w:pPr>
      <w:r>
        <w:rPr>
          <w:rFonts w:eastAsia="Arial" w:cs="Arial"/>
          <w:sz w:val="22"/>
          <w:szCs w:val="22"/>
        </w:rPr>
        <w:t>Citation: Hollingham, M. (2026). Hydrogeological Dynamics, Behavioural Clustering and Management Intervention Analysis at Newborough Warren Coastal Sand Dune Aquifer, Wales.</w:t>
      </w:r>
    </w:p>
    <w:p>
      <w:pPr>
        <w:pStyle w:val="Normal"/>
        <w:spacing w:before="0" w:after="80"/>
        <w:jc w:val="left"/>
        <w:rPr/>
      </w:pPr>
      <w:r>
        <w:rPr>
          <w:rFonts w:eastAsia="Arial" w:cs="Arial"/>
          <w:b/>
          <w:bCs/>
          <w:color w:val="4A7A8A"/>
          <w:sz w:val="28"/>
          <w:szCs w:val="28"/>
        </w:rPr>
        <w:t>Part B</w:t>
      </w:r>
    </w:p>
    <w:p>
      <w:pPr>
        <w:pStyle w:val="Normal"/>
        <w:pBdr>
          <w:bottom w:val="single" w:sz="6" w:space="1" w:color="C8B878"/>
        </w:pBdr>
        <w:spacing w:before="0" w:after="300"/>
        <w:jc w:val="left"/>
        <w:rPr/>
      </w:pPr>
      <w:r>
        <w:rPr>
          <w:rFonts w:eastAsia="Arial" w:cs="Arial"/>
          <w:b/>
          <w:bCs/>
          <w:color w:val="3A4A52"/>
          <w:sz w:val="40"/>
          <w:szCs w:val="40"/>
        </w:rPr>
        <w:t>Hydrological Scenario Viewer</w:t>
      </w:r>
    </w:p>
    <w:p>
      <w:pPr>
        <w:pStyle w:val="Normal"/>
        <w:spacing w:before="0" w:after="60"/>
        <w:rPr/>
      </w:pPr>
      <w:r>
        <w:rPr/>
      </w:r>
    </w:p>
    <w:p>
      <w:pPr>
        <w:pStyle w:val="Heading1"/>
        <w:rPr/>
      </w:pPr>
      <w:bookmarkStart w:id="10" w:name="__RefHeading___Toc16456_3460523948"/>
      <w:bookmarkEnd w:id="10"/>
      <w:r>
        <w:rPr/>
        <w:t>B1. Overview</w:t>
      </w:r>
    </w:p>
    <w:p>
      <w:pPr>
        <w:pStyle w:val="Normal"/>
        <w:spacing w:before="0" w:after="120"/>
        <w:rPr/>
      </w:pPr>
      <w:r>
        <w:rPr>
          <w:rFonts w:eastAsia="Arial" w:cs="Arial"/>
          <w:sz w:val="22"/>
          <w:szCs w:val="22"/>
        </w:rPr>
        <w:t>The Scenario Viewer (scenario_viewer.html) is generated by Script 19 (19_spatial_groundwater.py, v2.4.2). All computation is client-side JavaScript; no server requests are made after the initial page load.</w:t>
      </w:r>
    </w:p>
    <w:p>
      <w:pPr>
        <w:pStyle w:val="Heading1"/>
        <w:rPr/>
      </w:pPr>
      <w:bookmarkStart w:id="11" w:name="__RefHeading___Toc16458_3460523948"/>
      <w:bookmarkEnd w:id="11"/>
      <w:r>
        <w:rPr/>
        <w:t>B2. Physical Constants</w:t>
      </w:r>
    </w:p>
    <w:p>
      <w:pPr>
        <w:pStyle w:val="Normal"/>
        <w:spacing w:before="0" w:after="60"/>
        <w:rPr/>
      </w:pPr>
      <w:r>
        <w:rPr/>
      </w:r>
    </w:p>
    <w:tbl>
      <w:tblPr>
        <w:tblW w:w="9026" w:type="dxa"/>
        <w:jc w:val="left"/>
        <w:tblInd w:w="0" w:type="dxa"/>
        <w:tblLayout w:type="fixed"/>
        <w:tblCellMar>
          <w:top w:w="80" w:type="dxa"/>
          <w:left w:w="120" w:type="dxa"/>
          <w:bottom w:w="80" w:type="dxa"/>
          <w:right w:w="120" w:type="dxa"/>
        </w:tblCellMar>
      </w:tblPr>
      <w:tblGrid>
        <w:gridCol w:w="3500"/>
        <w:gridCol w:w="5525"/>
      </w:tblGrid>
      <w:tr>
        <w:trPr/>
        <w:tc>
          <w:tcPr>
            <w:tcW w:w="3500"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Parameter</w:t>
            </w:r>
          </w:p>
        </w:tc>
        <w:tc>
          <w:tcPr>
            <w:tcW w:w="5525"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Value and source</w:t>
            </w:r>
          </w:p>
        </w:tc>
      </w:tr>
      <w:tr>
        <w:trPr/>
        <w:tc>
          <w:tcPr>
            <w:tcW w:w="3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Hydraulic conductivity K</w:t>
            </w:r>
          </w:p>
        </w:tc>
        <w:tc>
          <w:tcPr>
            <w:tcW w:w="55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6 m/day (Betson et al. 2002)</w:t>
            </w:r>
          </w:p>
        </w:tc>
      </w:tr>
      <w:tr>
        <w:trPr/>
        <w:tc>
          <w:tcPr>
            <w:tcW w:w="3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Forest interception (Corsican pine)</w:t>
            </w:r>
          </w:p>
        </w:tc>
        <w:tc>
          <w:tcPr>
            <w:tcW w:w="55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24% (Freeman 2008)</w:t>
            </w:r>
          </w:p>
        </w:tc>
      </w:tr>
      <w:tr>
        <w:trPr/>
        <w:tc>
          <w:tcPr>
            <w:tcW w:w="3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Broadleaf interception (deciduous)</w:t>
            </w:r>
          </w:p>
        </w:tc>
        <w:tc>
          <w:tcPr>
            <w:tcW w:w="55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15% annual mean (Komatsu et al. 2011)</w:t>
            </w:r>
          </w:p>
        </w:tc>
      </w:tr>
      <w:tr>
        <w:trPr/>
        <w:tc>
          <w:tcPr>
            <w:tcW w:w="3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Sy floor (C1 / C2–C5)</w:t>
            </w:r>
          </w:p>
        </w:tc>
        <w:tc>
          <w:tcPr>
            <w:tcW w:w="55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6% / 12%</w:t>
            </w:r>
          </w:p>
        </w:tc>
      </w:tr>
      <w:tr>
        <w:trPr/>
        <w:tc>
          <w:tcPr>
            <w:tcW w:w="3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Ridge mask threshold</w:t>
            </w:r>
          </w:p>
        </w:tc>
        <w:tc>
          <w:tcPr>
            <w:tcW w:w="55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 m</w:t>
            </w:r>
          </w:p>
        </w:tc>
      </w:tr>
      <w:tr>
        <w:trPr/>
        <w:tc>
          <w:tcPr>
            <w:tcW w:w="3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Excluded wells</w:t>
            </w:r>
          </w:p>
        </w:tc>
        <w:tc>
          <w:tcPr>
            <w:tcW w:w="55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ceh12 (bedrock), ceh15 (forest slack edge)</w:t>
            </w:r>
          </w:p>
        </w:tc>
      </w:tr>
    </w:tbl>
    <w:p>
      <w:pPr>
        <w:pStyle w:val="Heading1"/>
        <w:rPr/>
      </w:pPr>
      <w:r>
        <w:rPr/>
      </w:r>
    </w:p>
    <w:p>
      <w:pPr>
        <w:pStyle w:val="Heading1"/>
        <w:rPr/>
      </w:pPr>
      <w:bookmarkStart w:id="12" w:name="__RefHeading___Toc16460_3460523948"/>
      <w:bookmarkEnd w:id="12"/>
      <w:r>
        <w:rPr/>
        <w:t>B3. Δh Model Equation</w:t>
      </w:r>
    </w:p>
    <w:p>
      <w:pPr>
        <w:pStyle w:val="Normal"/>
        <w:spacing w:before="0" w:after="120"/>
        <w:rPr/>
      </w:pPr>
      <w:r>
        <w:rPr>
          <w:rFonts w:eastAsia="Arial" w:cs="Arial"/>
          <w:sz w:val="22"/>
          <w:szCs w:val="22"/>
        </w:rPr>
        <w:t>For each well, baseline equilibrium net recharge is:</w:t>
      </w:r>
    </w:p>
    <w:p>
      <w:pPr>
        <w:pStyle w:val="Normal"/>
        <w:spacing w:before="0" w:after="200"/>
        <w:jc w:val="center"/>
        <w:rPr/>
      </w:pPr>
      <w:r>
        <w:rPr>
          <w:rFonts w:eastAsia="Consolas" w:cs="Consolas" w:ascii="Consolas" w:hAnsi="Consolas"/>
          <w:b/>
          <w:bCs/>
          <w:sz w:val="22"/>
          <w:szCs w:val="22"/>
        </w:rPr>
        <w:t>net₀ = b₁ · P_eff₀ − b₂ · PET₀ − b₃ · |h|</w:t>
      </w:r>
    </w:p>
    <w:p>
      <w:pPr>
        <w:pStyle w:val="Normal"/>
        <w:spacing w:before="0" w:after="120"/>
        <w:rPr/>
      </w:pPr>
      <w:r>
        <w:rPr>
          <w:rFonts w:eastAsia="Arial" w:cs="Arial"/>
          <w:sz w:val="22"/>
          <w:szCs w:val="22"/>
        </w:rPr>
        <w:t>Under a scenario:</w:t>
      </w:r>
    </w:p>
    <w:p>
      <w:pPr>
        <w:pStyle w:val="Normal"/>
        <w:spacing w:before="0" w:after="200"/>
        <w:jc w:val="center"/>
        <w:rPr/>
      </w:pPr>
      <w:r>
        <w:rPr>
          <w:rFonts w:eastAsia="Consolas" w:cs="Consolas" w:ascii="Consolas" w:hAnsi="Consolas"/>
          <w:b/>
          <w:bCs/>
          <w:sz w:val="22"/>
          <w:szCs w:val="22"/>
        </w:rPr>
        <w:t>net_sc = b₁ · P_eff_sc − b₂_sc · PET_sc − b₃ · |h|</w:t>
      </w:r>
    </w:p>
    <w:p>
      <w:pPr>
        <w:pStyle w:val="Normal"/>
        <w:spacing w:before="0" w:after="120"/>
        <w:rPr/>
      </w:pPr>
      <w:r>
        <w:rPr>
          <w:rFonts w:eastAsia="Arial" w:cs="Arial"/>
          <w:sz w:val="22"/>
          <w:szCs w:val="22"/>
        </w:rPr>
        <w:t>where P_eff_sc = P × sP × (1 − I_scenario) for forest wells, PET_sc = PET × sPET, and b₂_sc = b₂ × sB₂. The per-well Δh = net_sc − net₀. For the annual season, Δh is the unweighted mean of winter and summer values. The b₃ drainage term cancels in the difference.</w:t>
      </w:r>
      <w:r>
        <w:br w:type="page"/>
      </w:r>
    </w:p>
    <w:p>
      <w:pPr>
        <w:pStyle w:val="Heading1"/>
        <w:rPr/>
      </w:pPr>
      <w:bookmarkStart w:id="13" w:name="__RefHeading___Toc16462_3460523948"/>
      <w:bookmarkEnd w:id="13"/>
      <w:r>
        <w:rPr/>
        <w:t>B4. Scenario Parameter Sets</w:t>
      </w:r>
    </w:p>
    <w:p>
      <w:pPr>
        <w:pStyle w:val="Normal"/>
        <w:spacing w:before="0" w:after="60"/>
        <w:rPr/>
      </w:pPr>
      <w:r>
        <w:rPr/>
      </w:r>
    </w:p>
    <w:tbl>
      <w:tblPr>
        <w:tblW w:w="9026" w:type="dxa"/>
        <w:jc w:val="left"/>
        <w:tblInd w:w="0" w:type="dxa"/>
        <w:tblLayout w:type="fixed"/>
        <w:tblCellMar>
          <w:top w:w="80" w:type="dxa"/>
          <w:left w:w="120" w:type="dxa"/>
          <w:bottom w:w="80" w:type="dxa"/>
          <w:right w:w="120" w:type="dxa"/>
        </w:tblCellMar>
      </w:tblPr>
      <w:tblGrid>
        <w:gridCol w:w="1587"/>
        <w:gridCol w:w="1165"/>
        <w:gridCol w:w="1165"/>
        <w:gridCol w:w="1164"/>
        <w:gridCol w:w="1164"/>
        <w:gridCol w:w="1165"/>
        <w:gridCol w:w="1615"/>
      </w:tblGrid>
      <w:tr>
        <w:trPr/>
        <w:tc>
          <w:tcPr>
            <w:tcW w:w="1587"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Scenario</w:t>
            </w:r>
          </w:p>
        </w:tc>
        <w:tc>
          <w:tcPr>
            <w:tcW w:w="1165"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sP_w</w:t>
            </w:r>
          </w:p>
        </w:tc>
        <w:tc>
          <w:tcPr>
            <w:tcW w:w="1165"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sP_s</w:t>
            </w:r>
          </w:p>
        </w:tc>
        <w:tc>
          <w:tcPr>
            <w:tcW w:w="1164"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sPET_w</w:t>
            </w:r>
          </w:p>
        </w:tc>
        <w:tc>
          <w:tcPr>
            <w:tcW w:w="1164"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sPET_s</w:t>
            </w:r>
          </w:p>
        </w:tc>
        <w:tc>
          <w:tcPr>
            <w:tcW w:w="1165"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I_c4/c5</w:t>
            </w:r>
          </w:p>
        </w:tc>
        <w:tc>
          <w:tcPr>
            <w:tcW w:w="1615"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sB2</w:t>
            </w:r>
          </w:p>
        </w:tc>
      </w:tr>
      <w:tr>
        <w:trPr/>
        <w:tc>
          <w:tcPr>
            <w:tcW w:w="158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Baseline</w:t>
            </w:r>
          </w:p>
        </w:tc>
        <w:tc>
          <w:tcPr>
            <w:tcW w:w="116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16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16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16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16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0.24</w:t>
            </w:r>
          </w:p>
        </w:tc>
        <w:tc>
          <w:tcPr>
            <w:tcW w:w="161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r>
      <w:tr>
        <w:trPr/>
        <w:tc>
          <w:tcPr>
            <w:tcW w:w="158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UKCP18 2050s</w:t>
            </w:r>
          </w:p>
        </w:tc>
        <w:tc>
          <w:tcPr>
            <w:tcW w:w="116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1.10</w:t>
            </w:r>
          </w:p>
        </w:tc>
        <w:tc>
          <w:tcPr>
            <w:tcW w:w="116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0.85</w:t>
            </w:r>
          </w:p>
        </w:tc>
        <w:tc>
          <w:tcPr>
            <w:tcW w:w="116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1.05</w:t>
            </w:r>
          </w:p>
        </w:tc>
        <w:tc>
          <w:tcPr>
            <w:tcW w:w="116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1.20</w:t>
            </w:r>
          </w:p>
        </w:tc>
        <w:tc>
          <w:tcPr>
            <w:tcW w:w="116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0.24</w:t>
            </w:r>
          </w:p>
        </w:tc>
        <w:tc>
          <w:tcPr>
            <w:tcW w:w="161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r>
      <w:tr>
        <w:trPr/>
        <w:tc>
          <w:tcPr>
            <w:tcW w:w="158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UKCP18 2080s</w:t>
            </w:r>
          </w:p>
        </w:tc>
        <w:tc>
          <w:tcPr>
            <w:tcW w:w="116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1.20</w:t>
            </w:r>
          </w:p>
        </w:tc>
        <w:tc>
          <w:tcPr>
            <w:tcW w:w="116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0.70</w:t>
            </w:r>
          </w:p>
        </w:tc>
        <w:tc>
          <w:tcPr>
            <w:tcW w:w="116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1.10</w:t>
            </w:r>
          </w:p>
        </w:tc>
        <w:tc>
          <w:tcPr>
            <w:tcW w:w="116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1.35</w:t>
            </w:r>
          </w:p>
        </w:tc>
        <w:tc>
          <w:tcPr>
            <w:tcW w:w="116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0.24</w:t>
            </w:r>
          </w:p>
        </w:tc>
        <w:tc>
          <w:tcPr>
            <w:tcW w:w="161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r>
      <w:tr>
        <w:trPr/>
        <w:tc>
          <w:tcPr>
            <w:tcW w:w="158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Clearfell</w:t>
            </w:r>
          </w:p>
        </w:tc>
        <w:tc>
          <w:tcPr>
            <w:tcW w:w="116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16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16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16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16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0.00</w:t>
            </w:r>
          </w:p>
        </w:tc>
        <w:tc>
          <w:tcPr>
            <w:tcW w:w="161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1.108</w:t>
            </w:r>
          </w:p>
        </w:tc>
      </w:tr>
      <w:tr>
        <w:trPr/>
        <w:tc>
          <w:tcPr>
            <w:tcW w:w="158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Broadleaf</w:t>
            </w:r>
          </w:p>
        </w:tc>
        <w:tc>
          <w:tcPr>
            <w:tcW w:w="116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16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16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16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16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0.15</w:t>
            </w:r>
          </w:p>
        </w:tc>
        <w:tc>
          <w:tcPr>
            <w:tcW w:w="161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r>
      <w:tr>
        <w:trPr/>
        <w:tc>
          <w:tcPr>
            <w:tcW w:w="1587"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Thinning</w:t>
            </w:r>
          </w:p>
        </w:tc>
        <w:tc>
          <w:tcPr>
            <w:tcW w:w="116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16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16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16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1.00</w:t>
            </w:r>
          </w:p>
        </w:tc>
        <w:tc>
          <w:tcPr>
            <w:tcW w:w="116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0.12</w:t>
            </w:r>
          </w:p>
        </w:tc>
        <w:tc>
          <w:tcPr>
            <w:tcW w:w="161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1.054</w:t>
            </w:r>
          </w:p>
        </w:tc>
      </w:tr>
    </w:tbl>
    <w:p>
      <w:pPr>
        <w:pStyle w:val="Normal"/>
        <w:spacing w:before="0" w:after="120"/>
        <w:rPr/>
      </w:pPr>
      <w:r>
        <w:rPr>
          <w:rFonts w:eastAsia="Arial" w:cs="Arial"/>
          <w:sz w:val="20"/>
          <w:szCs w:val="20"/>
        </w:rPr>
        <w:t>The clearfell sB2 multiplier (×1.108) is BACI-corrected: Edge-tier mean b2 ratio minus Climate Control mean ratio plus 1.0 (= 1.1011 − 0.9931 + 1.0), subtracting background climate drift from the felling signal. The thinning multiplier (×1.054) is the half-perturbation. Both values are loaded dynamically from Script 10e output at viewer generation time via clearfell_common.load_clearfell_b2_multiplier().</w:t>
      </w:r>
    </w:p>
    <w:p>
      <w:pPr>
        <w:pStyle w:val="Heading1"/>
        <w:rPr/>
      </w:pPr>
      <w:r>
        <w:rPr/>
      </w:r>
      <w:r>
        <w:br w:type="page"/>
      </w:r>
    </w:p>
    <w:p>
      <w:pPr>
        <w:pStyle w:val="Heading1"/>
        <w:rPr/>
      </w:pPr>
      <w:bookmarkStart w:id="14" w:name="__RefHeading___Toc16464_3460523948"/>
      <w:bookmarkEnd w:id="14"/>
      <w:r>
        <w:rPr/>
        <w:t>B5. Spatial Interpolation</w:t>
      </w:r>
    </w:p>
    <w:p>
      <w:pPr>
        <w:pStyle w:val="Normal"/>
        <w:spacing w:before="0" w:after="120"/>
        <w:rPr/>
      </w:pPr>
      <w:r>
        <w:rPr>
          <w:rFonts w:eastAsia="Arial" w:cs="Arial"/>
          <w:sz w:val="22"/>
          <w:szCs w:val="22"/>
        </w:rPr>
        <w:t>The map surface uses inverse-distance-weighted (IDW) interpolation with power 1 and k = 8 nearest neighbours. A minimum distance floor of 10 m prevents singularities; points within 5 m of a well return the well’s exact value. Interpolation is constrained to the site boundary polygon.</w:t>
      </w:r>
    </w:p>
    <w:p>
      <w:pPr>
        <w:pStyle w:val="Normal"/>
        <w:spacing w:before="0" w:after="120"/>
        <w:rPr/>
      </w:pPr>
      <w:r>
        <w:rPr>
          <w:rFonts w:eastAsia="Arial" w:cs="Arial"/>
          <w:sz w:val="22"/>
          <w:szCs w:val="22"/>
        </w:rPr>
        <w:t>In depth mode, a DEM grid (160 × 110 cells) provides the ground surface. Depth = DEM elevation minus IDW head. Ridge masking suppresses rendering where DEM exceeds the IDW-interpolated DEM surface by &gt; 1.0 m.</w:t>
      </w:r>
    </w:p>
    <w:p>
      <w:pPr>
        <w:pStyle w:val="Heading1"/>
        <w:rPr/>
      </w:pPr>
      <w:bookmarkStart w:id="15" w:name="__RefHeading___Toc16466_3460523948"/>
      <w:bookmarkEnd w:id="15"/>
      <w:r>
        <w:rPr/>
        <w:t>B6. Data Bundle</w:t>
      </w:r>
    </w:p>
    <w:p>
      <w:pPr>
        <w:pStyle w:val="ListParagraph"/>
        <w:numPr>
          <w:ilvl w:val="0"/>
          <w:numId w:val="3"/>
        </w:numPr>
        <w:spacing w:before="0" w:after="60"/>
        <w:rPr/>
      </w:pPr>
      <w:r>
        <w:rPr>
          <w:rFonts w:eastAsia="Arial" w:cs="Arial"/>
          <w:sz w:val="22"/>
          <w:szCs w:val="22"/>
        </w:rPr>
        <w:t>WELLS: well objects with name, cluster, coordinates, seasonal heads, Sy, SSM coefficients, DEM ground elevation.</w:t>
      </w:r>
    </w:p>
    <w:p>
      <w:pPr>
        <w:pStyle w:val="ListParagraph"/>
        <w:numPr>
          <w:ilvl w:val="0"/>
          <w:numId w:val="2"/>
        </w:numPr>
        <w:spacing w:before="0" w:after="60"/>
        <w:rPr/>
      </w:pPr>
      <w:r>
        <w:rPr>
          <w:rFonts w:eastAsia="Arial" w:cs="Arial"/>
          <w:sz w:val="22"/>
          <w:szCs w:val="22"/>
        </w:rPr>
        <w:t>POLYS: KML polygons (site boundary, forest, clearfell, broadleaf, lake).</w:t>
      </w:r>
    </w:p>
    <w:p>
      <w:pPr>
        <w:pStyle w:val="ListParagraph"/>
        <w:numPr>
          <w:ilvl w:val="0"/>
          <w:numId w:val="2"/>
        </w:numPr>
        <w:spacing w:before="0" w:after="60"/>
        <w:rPr/>
      </w:pPr>
      <w:r>
        <w:rPr>
          <w:rFonts w:eastAsia="Arial" w:cs="Arial"/>
          <w:sz w:val="22"/>
          <w:szCs w:val="22"/>
        </w:rPr>
        <w:t>CLIMATE: seasonal baselines (P/PET), cluster heads, cluster betas, monthly climatology.</w:t>
      </w:r>
    </w:p>
    <w:p>
      <w:pPr>
        <w:pStyle w:val="ListParagraph"/>
        <w:numPr>
          <w:ilvl w:val="0"/>
          <w:numId w:val="2"/>
        </w:numPr>
        <w:spacing w:before="0" w:after="60"/>
        <w:rPr/>
      </w:pPr>
      <w:r>
        <w:rPr>
          <w:rFonts w:eastAsia="Arial" w:cs="Arial"/>
          <w:sz w:val="22"/>
          <w:szCs w:val="22"/>
        </w:rPr>
        <w:t>DEM_GRID: downsampled elevation grid for ridge masking and depth mode.</w:t>
      </w:r>
    </w:p>
    <w:p>
      <w:pPr>
        <w:pStyle w:val="ListParagraph"/>
        <w:numPr>
          <w:ilvl w:val="0"/>
          <w:numId w:val="2"/>
        </w:numPr>
        <w:spacing w:before="0" w:after="60"/>
        <w:rPr/>
      </w:pPr>
      <w:r>
        <w:rPr>
          <w:rFonts w:eastAsia="Arial" w:cs="Arial"/>
          <w:sz w:val="22"/>
          <w:szCs w:val="22"/>
        </w:rPr>
        <w:t>HILLSHADE: Base64 RGBA PNG (1100 × 750 px), site-masked, 32 grey levels.</w:t>
      </w:r>
    </w:p>
    <w:p>
      <w:pPr>
        <w:pStyle w:val="Heading1"/>
        <w:rPr/>
      </w:pPr>
      <w:bookmarkStart w:id="16" w:name="__RefHeading___Toc16468_3460523948"/>
      <w:bookmarkEnd w:id="16"/>
      <w:r>
        <w:rPr/>
        <w:t>B7. Viewer Extent</w:t>
      </w:r>
    </w:p>
    <w:p>
      <w:pPr>
        <w:pStyle w:val="Normal"/>
        <w:spacing w:before="0" w:after="120"/>
        <w:rPr/>
      </w:pPr>
      <w:r>
        <w:rPr>
          <w:rFonts w:eastAsia="Arial" w:cs="Arial"/>
          <w:sz w:val="22"/>
          <w:szCs w:val="22"/>
        </w:rPr>
        <w:t>Fixed at E 240200–243700, N 362400–364800 (OSGB36), covering all 69 wells. Canvas default 640 × 440 px, resizable. A parallel CSV (19_scenario_summary.csv) mirrors the viewer’s calculations for the manuscript.</w:t>
      </w:r>
    </w:p>
    <w:p>
      <w:pPr>
        <w:pStyle w:val="Heading1"/>
        <w:rPr/>
      </w:pPr>
      <w:bookmarkStart w:id="17" w:name="__RefHeading___Toc16470_3460523948"/>
      <w:bookmarkEnd w:id="17"/>
      <w:r>
        <w:rPr/>
        <w:t>B8. Build Provenance</w:t>
      </w:r>
    </w:p>
    <w:p>
      <w:pPr>
        <w:pStyle w:val="Normal"/>
        <w:spacing w:before="0" w:after="120"/>
        <w:rPr/>
      </w:pPr>
      <w:r>
        <w:rPr>
          <w:rFonts w:eastAsia="Arial" w:cs="Arial"/>
          <w:sz w:val="22"/>
          <w:szCs w:val="22"/>
        </w:rPr>
        <w:t>Script 19 assembles data from Scripts 00, 01, 03, 17, 18, and site GIS layers.</w:t>
      </w:r>
    </w:p>
    <w:p>
      <w:pPr>
        <w:pStyle w:val="Normal"/>
        <w:spacing w:before="0" w:after="60"/>
        <w:rPr/>
      </w:pPr>
      <w:r>
        <w:rPr/>
      </w:r>
    </w:p>
    <w:p>
      <w:pPr>
        <w:pStyle w:val="Normal"/>
        <w:spacing w:before="0" w:after="120"/>
        <w:rPr/>
      </w:pPr>
      <w:r>
        <w:rPr>
          <w:rFonts w:eastAsia="Arial" w:cs="Arial"/>
          <w:sz w:val="22"/>
          <w:szCs w:val="22"/>
        </w:rPr>
        <w:t>Citation: Hollingham, M. (2026). Hydrogeological Dynamics, Behavioural Clustering and Management Intervention Analysis at Newborough Warren Coastal Sand Dune Aquifer, Wales.</w:t>
      </w:r>
    </w:p>
    <w:p>
      <w:pPr>
        <w:pStyle w:val="Normal"/>
        <w:rPr/>
      </w:pPr>
      <w:r>
        <w:rPr/>
      </w:r>
      <w:r>
        <w:br w:type="page"/>
      </w:r>
    </w:p>
    <w:p>
      <w:pPr>
        <w:pStyle w:val="Normal"/>
        <w:spacing w:before="0" w:after="80"/>
        <w:jc w:val="left"/>
        <w:rPr/>
      </w:pPr>
      <w:r>
        <w:rPr>
          <w:rFonts w:eastAsia="Arial" w:cs="Arial"/>
          <w:b/>
          <w:bCs/>
          <w:color w:val="4A7A8A"/>
          <w:sz w:val="28"/>
          <w:szCs w:val="28"/>
        </w:rPr>
        <w:t>Part C</w:t>
      </w:r>
    </w:p>
    <w:p>
      <w:pPr>
        <w:pStyle w:val="Normal"/>
        <w:pBdr>
          <w:bottom w:val="single" w:sz="6" w:space="1" w:color="C8B878"/>
        </w:pBdr>
        <w:spacing w:before="0" w:after="300"/>
        <w:jc w:val="left"/>
        <w:rPr/>
      </w:pPr>
      <w:r>
        <w:rPr>
          <w:rFonts w:eastAsia="Arial" w:cs="Arial"/>
          <w:b/>
          <w:bCs/>
          <w:color w:val="3A4A52"/>
          <w:sz w:val="40"/>
          <w:szCs w:val="40"/>
        </w:rPr>
        <w:t>Seasonal Extremes Scatter</w:t>
      </w:r>
    </w:p>
    <w:p>
      <w:pPr>
        <w:pStyle w:val="Normal"/>
        <w:spacing w:before="0" w:after="60"/>
        <w:rPr/>
      </w:pPr>
      <w:r>
        <w:rPr/>
      </w:r>
    </w:p>
    <w:p>
      <w:pPr>
        <w:pStyle w:val="Heading1"/>
        <w:rPr/>
      </w:pPr>
      <w:bookmarkStart w:id="18" w:name="__RefHeading___Toc16472_3460523948"/>
      <w:bookmarkEnd w:id="18"/>
      <w:r>
        <w:rPr/>
        <w:t>C1. Overview</w:t>
      </w:r>
    </w:p>
    <w:p>
      <w:pPr>
        <w:pStyle w:val="Normal"/>
        <w:spacing w:before="0" w:after="120"/>
        <w:rPr/>
      </w:pPr>
      <w:r>
        <w:rPr>
          <w:rFonts w:eastAsia="Arial" w:cs="Arial"/>
          <w:sz w:val="22"/>
          <w:szCs w:val="22"/>
        </w:rPr>
        <w:t>The seasonal extremes scatter (14_seasonal_extremes_scatter.html) is generated by Script 14 (14_climate_projections.py, v1.1.0). It reads per-well summary statistics from the well network table (00_well_network_table.csv) and cluster assignments from 02_cluster_stats.csv.</w:t>
      </w:r>
    </w:p>
    <w:p>
      <w:pPr>
        <w:pStyle w:val="Heading1"/>
        <w:rPr/>
      </w:pPr>
      <w:bookmarkStart w:id="19" w:name="__RefHeading___Toc16474_3460523948"/>
      <w:bookmarkEnd w:id="19"/>
      <w:r>
        <w:rPr/>
        <w:t>C2. Data Sources</w:t>
      </w:r>
    </w:p>
    <w:p>
      <w:pPr>
        <w:pStyle w:val="ListParagraph"/>
        <w:numPr>
          <w:ilvl w:val="0"/>
          <w:numId w:val="2"/>
        </w:numPr>
        <w:spacing w:before="0" w:after="60"/>
        <w:rPr/>
      </w:pPr>
      <w:r>
        <w:rPr>
          <w:rFonts w:eastAsia="Arial" w:cs="Arial"/>
          <w:sz w:val="22"/>
          <w:szCs w:val="22"/>
        </w:rPr>
        <w:t>Mean_Summer_Min_m: mean of annual summer (Apr–Sep) minimum water-table depths, 2005–2026, per well. Values in metres relative to pipe top (negative = below).</w:t>
      </w:r>
    </w:p>
    <w:p>
      <w:pPr>
        <w:pStyle w:val="ListParagraph"/>
        <w:numPr>
          <w:ilvl w:val="0"/>
          <w:numId w:val="2"/>
        </w:numPr>
        <w:spacing w:before="0" w:after="60"/>
        <w:rPr/>
      </w:pPr>
      <w:r>
        <w:rPr>
          <w:rFonts w:eastAsia="Arial" w:cs="Arial"/>
          <w:sz w:val="22"/>
          <w:szCs w:val="22"/>
        </w:rPr>
        <w:t>Mean_Winter_Max_m: mean of annual winter (Oct–Mar) maximum depths, computed identically.</w:t>
      </w:r>
    </w:p>
    <w:p>
      <w:pPr>
        <w:pStyle w:val="ListParagraph"/>
        <w:numPr>
          <w:ilvl w:val="0"/>
          <w:numId w:val="2"/>
        </w:numPr>
        <w:spacing w:before="0" w:after="60"/>
        <w:rPr/>
      </w:pPr>
      <w:r>
        <w:rPr>
          <w:rFonts w:eastAsia="Arial" w:cs="Arial"/>
          <w:sz w:val="22"/>
          <w:szCs w:val="22"/>
        </w:rPr>
        <w:t>Cluster: from 02_cluster_stats.csv. Unmatched wells labelled “UNKNOWN”.</w:t>
      </w:r>
    </w:p>
    <w:p>
      <w:pPr>
        <w:pStyle w:val="ListParagraph"/>
        <w:numPr>
          <w:ilvl w:val="0"/>
          <w:numId w:val="2"/>
        </w:numPr>
        <w:spacing w:before="0" w:after="60"/>
        <w:rPr>
          <w:rFonts w:ascii="Arial" w:hAnsi="Arial" w:eastAsia="Arial" w:cs="Arial"/>
          <w:sz w:val="22"/>
          <w:szCs w:val="22"/>
        </w:rPr>
      </w:pPr>
      <w:r>
        <w:rPr/>
      </w:r>
    </w:p>
    <w:p>
      <w:pPr>
        <w:pStyle w:val="Heading1"/>
        <w:rPr/>
      </w:pPr>
      <w:bookmarkStart w:id="20" w:name="__RefHeading___Toc16476_3460523948"/>
      <w:bookmarkEnd w:id="20"/>
      <w:r>
        <w:rPr/>
        <w:t>C3. Threshold Definitions</w:t>
      </w:r>
    </w:p>
    <w:p>
      <w:pPr>
        <w:pStyle w:val="Normal"/>
        <w:spacing w:before="0" w:after="120"/>
        <w:rPr/>
      </w:pPr>
      <w:r>
        <w:rPr>
          <w:rFonts w:eastAsia="Arial" w:cs="Arial"/>
          <w:sz w:val="22"/>
          <w:szCs w:val="22"/>
        </w:rPr>
        <w:t>Ecological thresholds from Curreli et al. (2013), imported from utils/config.py:</w:t>
      </w:r>
    </w:p>
    <w:p>
      <w:pPr>
        <w:pStyle w:val="Normal"/>
        <w:spacing w:before="0" w:after="60"/>
        <w:rPr/>
      </w:pPr>
      <w:r>
        <w:rPr/>
      </w:r>
    </w:p>
    <w:tbl>
      <w:tblPr>
        <w:tblW w:w="9026" w:type="dxa"/>
        <w:jc w:val="left"/>
        <w:tblInd w:w="0" w:type="dxa"/>
        <w:tblLayout w:type="fixed"/>
        <w:tblCellMar>
          <w:top w:w="80" w:type="dxa"/>
          <w:left w:w="120" w:type="dxa"/>
          <w:bottom w:w="80" w:type="dxa"/>
          <w:right w:w="120" w:type="dxa"/>
        </w:tblCellMar>
      </w:tblPr>
      <w:tblGrid>
        <w:gridCol w:w="2799"/>
        <w:gridCol w:w="3113"/>
        <w:gridCol w:w="3114"/>
      </w:tblGrid>
      <w:tr>
        <w:trPr/>
        <w:tc>
          <w:tcPr>
            <w:tcW w:w="2799"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Constant</w:t>
            </w:r>
          </w:p>
        </w:tc>
        <w:tc>
          <w:tcPr>
            <w:tcW w:w="3113"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Value (m)</w:t>
            </w:r>
          </w:p>
        </w:tc>
        <w:tc>
          <w:tcPr>
            <w:tcW w:w="3114"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Meaning</w:t>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SD15b (summer)</w:t>
            </w:r>
          </w:p>
        </w:tc>
        <w:tc>
          <w:tcPr>
            <w:tcW w:w="31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0.61</w:t>
            </w:r>
          </w:p>
        </w:tc>
        <w:tc>
          <w:tcPr>
            <w:tcW w:w="311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Summer minimum viability limit for wet dune slack.</w:t>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SD16 (summer)</w:t>
            </w:r>
          </w:p>
        </w:tc>
        <w:tc>
          <w:tcPr>
            <w:tcW w:w="31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0.98</w:t>
            </w:r>
          </w:p>
        </w:tc>
        <w:tc>
          <w:tcPr>
            <w:tcW w:w="311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Summer minimum viability limit for dry dune slack.</w:t>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SD15b_WINTER</w:t>
            </w:r>
          </w:p>
        </w:tc>
        <w:tc>
          <w:tcPr>
            <w:tcW w:w="31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0.10</w:t>
            </w:r>
          </w:p>
        </w:tc>
        <w:tc>
          <w:tcPr>
            <w:tcW w:w="311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Winter maximum flooding threshold for wet slack.</w:t>
            </w:r>
          </w:p>
        </w:tc>
      </w:tr>
      <w:tr>
        <w:trPr/>
        <w:tc>
          <w:tcPr>
            <w:tcW w:w="27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SD16_WINTER</w:t>
            </w:r>
          </w:p>
        </w:tc>
        <w:tc>
          <w:tcPr>
            <w:tcW w:w="31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0.25</w:t>
            </w:r>
          </w:p>
        </w:tc>
        <w:tc>
          <w:tcPr>
            <w:tcW w:w="311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Winter maximum flooding threshold for dry slack.</w:t>
            </w:r>
          </w:p>
        </w:tc>
      </w:tr>
    </w:tbl>
    <w:p>
      <w:pPr>
        <w:pStyle w:val="Heading1"/>
        <w:rPr/>
      </w:pPr>
      <w:bookmarkStart w:id="21" w:name="__RefHeading___Toc16478_3460523948"/>
      <w:bookmarkEnd w:id="21"/>
      <w:r>
        <w:rPr/>
        <w:t>C4. Chart Implementation</w:t>
      </w:r>
    </w:p>
    <w:p>
      <w:pPr>
        <w:pStyle w:val="Normal"/>
        <w:spacing w:before="0" w:after="120"/>
        <w:rPr/>
      </w:pPr>
      <w:r>
        <w:rPr>
          <w:rFonts w:eastAsia="Arial" w:cs="Arial"/>
          <w:sz w:val="22"/>
          <w:szCs w:val="22"/>
        </w:rPr>
        <w:t>Uses Chart.js 4.4.1 from cdnjs. Well data serialised as JSON point objects. A custom plugin (thresholdPlugin) draws the four threshold lines after the scatter data. The search mechanism rebuilds datasets with modified colours and radii: matched well in orange (#ff6600) at radius 13, others at 33% opacity.</w:t>
      </w:r>
    </w:p>
    <w:p>
      <w:pPr>
        <w:pStyle w:val="Normal"/>
        <w:spacing w:before="0" w:after="120"/>
        <w:rPr>
          <w:rFonts w:ascii="Arial" w:hAnsi="Arial" w:eastAsia="Arial" w:cs="Arial"/>
          <w:sz w:val="22"/>
          <w:szCs w:val="22"/>
        </w:rPr>
      </w:pPr>
      <w:r>
        <w:rPr/>
      </w:r>
    </w:p>
    <w:p>
      <w:pPr>
        <w:pStyle w:val="Heading1"/>
        <w:rPr/>
      </w:pPr>
      <w:bookmarkStart w:id="22" w:name="__RefHeading___Toc16480_3460523948"/>
      <w:bookmarkEnd w:id="22"/>
      <w:r>
        <w:rPr/>
        <w:t>C5. Cluster Styling</w:t>
      </w:r>
    </w:p>
    <w:p>
      <w:pPr>
        <w:pStyle w:val="Normal"/>
        <w:spacing w:before="0" w:after="120"/>
        <w:rPr/>
      </w:pPr>
      <w:r>
        <w:rPr>
          <w:rFonts w:eastAsia="Arial" w:cs="Arial"/>
          <w:sz w:val="22"/>
          <w:szCs w:val="22"/>
        </w:rPr>
        <w:t>Colours, labels, and markers defined in utils/config.py (CLUSTER_COLOURS, CLUSTER_LABELS, CLUSTER_MARKERS) as the single source of truth. Five clusters under the k = 5 partition: C1 Lake Edge, C2 Dune, C3 Western Residual, C4 Main Forest, C5 Coastal Forest.</w:t>
      </w:r>
    </w:p>
    <w:p>
      <w:pPr>
        <w:pStyle w:val="Heading1"/>
        <w:rPr/>
      </w:pPr>
      <w:bookmarkStart w:id="23" w:name="__RefHeading___Toc16482_3460523948"/>
      <w:bookmarkEnd w:id="23"/>
      <w:r>
        <w:rPr/>
        <w:t>C6. Build Provenance</w:t>
      </w:r>
    </w:p>
    <w:p>
      <w:pPr>
        <w:pStyle w:val="Normal"/>
        <w:spacing w:before="0" w:after="120"/>
        <w:rPr/>
      </w:pPr>
      <w:r>
        <w:rPr>
          <w:rFonts w:eastAsia="Arial" w:cs="Arial"/>
          <w:sz w:val="22"/>
          <w:szCs w:val="22"/>
        </w:rPr>
        <w:t>Script 14 also produces static PNG figures (summer trajectory, winter flooding, stacked two-panel), a summer trend CSV, annual extremes CSV, and winter exceedance summary. The scatter HTML is an additional interactive output complementing these.</w:t>
      </w:r>
    </w:p>
    <w:p>
      <w:pPr>
        <w:pStyle w:val="Normal"/>
        <w:spacing w:before="0" w:after="60"/>
        <w:rPr/>
      </w:pPr>
      <w:r>
        <w:rPr/>
      </w:r>
    </w:p>
    <w:p>
      <w:pPr>
        <w:pStyle w:val="Normal"/>
        <w:spacing w:before="0" w:after="120"/>
        <w:rPr/>
      </w:pPr>
      <w:r>
        <w:rPr>
          <w:rFonts w:eastAsia="Arial" w:cs="Arial"/>
          <w:sz w:val="22"/>
          <w:szCs w:val="22"/>
        </w:rPr>
        <w:t>Citation: Hollingham, M. (2026). Hydrogeological Dynamics, Behavioural Clustering and Management Intervention Analysis at Newborough Warren Coastal Sand Dune Aquifer, Wales.</w:t>
      </w:r>
    </w:p>
    <w:sectPr>
      <w:footerReference w:type="even" r:id="rId2"/>
      <w:footerReference w:type="default" r:id="rId3"/>
      <w:footerReference w:type="first" r:id="rId4"/>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E8577"/>
        <w:sz w:val="16"/>
        <w:szCs w:val="16"/>
      </w:rPr>
      <w:t xml:space="preserve">NRG Web Tools — Technical Note  —  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E8577"/>
        <w:sz w:val="16"/>
        <w:szCs w:val="16"/>
      </w:rPr>
      <w:t xml:space="preserve">NRG Web Tools — Technical Note  —  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GB" w:eastAsia="zh-CN" w:bidi="hi-IN"/>
    </w:rPr>
  </w:style>
  <w:style w:type="paragraph" w:styleId="Heading1">
    <w:name w:val="Heading 1"/>
    <w:basedOn w:val="Heading"/>
    <w:qFormat/>
    <w:pPr>
      <w:spacing w:before="320" w:after="180"/>
      <w:outlineLvl w:val="0"/>
    </w:pPr>
    <w:rPr>
      <w:rFonts w:ascii="Arial" w:hAnsi="Arial" w:eastAsia="Arial" w:cs="Arial"/>
      <w:b/>
      <w:bCs/>
      <w:color w:val="3A4A52"/>
      <w:sz w:val="30"/>
      <w:szCs w:val="30"/>
    </w:rPr>
  </w:style>
  <w:style w:type="paragraph" w:styleId="Heading2">
    <w:name w:val="Heading 2"/>
    <w:basedOn w:val="Heading"/>
    <w:qFormat/>
    <w:pPr>
      <w:spacing w:before="240" w:after="140"/>
      <w:outlineLvl w:val="1"/>
    </w:pPr>
    <w:rPr>
      <w:rFonts w:ascii="Arial" w:hAnsi="Arial" w:eastAsia="Arial" w:cs="Arial"/>
      <w:b/>
      <w:bCs/>
      <w:color w:val="4A7A8A"/>
      <w:sz w:val="26"/>
      <w:szCs w:val="26"/>
    </w:rPr>
  </w:style>
  <w:style w:type="paragraph" w:styleId="Heading3">
    <w:name w:val="Heading 3"/>
    <w:basedOn w:val="Heading"/>
    <w:qFormat/>
    <w:pPr>
      <w:spacing w:before="200" w:after="120"/>
      <w:outlineLvl w:val="2"/>
    </w:pPr>
    <w:rPr>
      <w:rFonts w:ascii="Arial" w:hAnsi="Arial" w:eastAsia="Arial" w:cs="Arial"/>
      <w:b/>
      <w:bCs/>
      <w:color w:val="8E8577"/>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GB"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10</Pages>
  <Words>1711</Words>
  <Characters>9493</Characters>
  <CharactersWithSpaces>10927</CharactersWithSpaces>
  <Paragraphs>234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2026-05-06T09:28:39Z</dcterms:created>
  <dc:creator>Un-named</dc:creator>
  <dc:description/>
  <dc:language>en-GB</dc:language>
  <cp:lastModifiedBy/>
  <dcterms:modified xsi:type="dcterms:W3CDTF">2026-05-10T10:13:32Z</dcterms:modified>
  <cp:revision>2</cp:revision>
  <dc:subject/>
  <dc:title/>
</cp:coreProperties>
</file>