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200"/>
        <w:jc w:val="center"/>
        <w:rPr/>
      </w:pPr>
      <w:r>
        <w:rPr>
          <w:rFonts w:eastAsia="Arial" w:cs="Arial"/>
          <w:b/>
          <w:bCs/>
          <w:color w:val="C8B878"/>
          <w:sz w:val="28"/>
          <w:szCs w:val="28"/>
        </w:rPr>
        <w:t>Newborough Warren</w:t>
      </w:r>
    </w:p>
    <w:p>
      <w:pPr>
        <w:pStyle w:val="Normal"/>
        <w:spacing w:before="0" w:after="120"/>
        <w:jc w:val="center"/>
        <w:rPr/>
      </w:pPr>
      <w:r>
        <w:rPr>
          <w:rFonts w:eastAsia="Arial" w:cs="Arial"/>
          <w:color w:val="4A7A8A"/>
          <w:sz w:val="28"/>
          <w:szCs w:val="28"/>
        </w:rPr>
        <w:t>Interactive Web Tools</w:t>
      </w:r>
    </w:p>
    <w:p>
      <w:pPr>
        <w:pStyle w:val="Normal"/>
        <w:spacing w:before="0" w:after="200"/>
        <w:jc w:val="center"/>
        <w:rPr/>
      </w:pPr>
      <w:r>
        <w:rPr>
          <w:rFonts w:eastAsia="Arial" w:cs="Arial"/>
          <w:b/>
          <w:bCs/>
          <w:color w:val="3A4A52"/>
          <w:sz w:val="52"/>
          <w:szCs w:val="52"/>
        </w:rPr>
        <w:t>User Manual</w:t>
      </w:r>
    </w:p>
    <w:p>
      <w:pPr>
        <w:pStyle w:val="Normal"/>
        <w:spacing w:before="0" w:after="300"/>
        <w:jc w:val="center"/>
        <w:rPr/>
      </w:pPr>
      <w:r>
        <w:rPr>
          <w:rFonts w:eastAsia="Arial" w:cs="Arial"/>
          <w:i/>
          <w:iCs/>
          <w:color w:val="8E8577"/>
          <w:sz w:val="26"/>
          <w:szCs w:val="26"/>
        </w:rPr>
        <w:t>Forecaster · Scenario Viewer · Seasonal Extremes Scatter</w:t>
      </w:r>
    </w:p>
    <w:p>
      <w:pPr>
        <w:pStyle w:val="Normal"/>
        <w:spacing w:before="0" w:after="60"/>
        <w:jc w:val="center"/>
        <w:rPr/>
      </w:pPr>
      <w:r>
        <w:rPr>
          <w:rFonts w:eastAsia="Arial" w:cs="Arial"/>
          <w:color w:val="8E8577"/>
          <w:sz w:val="22"/>
          <w:szCs w:val="22"/>
        </w:rPr>
        <w:t>Hollingham (2026)</w:t>
      </w:r>
    </w:p>
    <w:p>
      <w:pPr>
        <w:pStyle w:val="Normal"/>
        <w:spacing w:before="0" w:after="60"/>
        <w:jc w:val="center"/>
        <w:rPr/>
      </w:pPr>
      <w:r>
        <w:rPr>
          <w:rFonts w:eastAsia="Arial" w:cs="Arial"/>
          <w:color w:val="8E8577"/>
          <w:sz w:val="22"/>
          <w:szCs w:val="22"/>
        </w:rPr>
        <w:t>May 2026</w:t>
      </w:r>
    </w:p>
    <w:p>
      <w:pPr>
        <w:pStyle w:val="Normal"/>
        <w:rPr/>
      </w:pPr>
      <w:r>
        <w:rPr/>
      </w:r>
      <w:r>
        <w:br w:type="page"/>
      </w:r>
    </w:p>
    <w:p>
      <w:pPr>
        <w:pStyle w:val="Normal"/>
        <w:spacing w:before="0" w:after="60"/>
        <w:rPr/>
      </w:pPr>
      <w:r>
        <w:rPr/>
      </w:r>
    </w:p>
    <w:p>
      <w:pPr>
        <w:pStyle w:val="Normal"/>
        <w:spacing w:before="0" w:after="60"/>
        <w:rPr/>
      </w:pPr>
      <w:r>
        <w:rPr/>
      </w:r>
    </w:p>
    <w:p>
      <w:pPr>
        <w:pStyle w:val="Normal"/>
        <w:spacing w:before="0" w:after="80"/>
        <w:jc w:val="left"/>
        <w:rPr/>
      </w:pPr>
      <w:r>
        <w:rPr>
          <w:rFonts w:eastAsia="Arial" w:cs="Arial"/>
          <w:b/>
          <w:bCs/>
          <w:color w:val="4A7A8A"/>
          <w:sz w:val="28"/>
          <w:szCs w:val="28"/>
        </w:rPr>
        <w:t>Part A</w:t>
      </w:r>
    </w:p>
    <w:p>
      <w:pPr>
        <w:pStyle w:val="Normal"/>
        <w:pBdr>
          <w:bottom w:val="single" w:sz="6" w:space="1" w:color="C8B878"/>
        </w:pBdr>
        <w:spacing w:before="0" w:after="300"/>
        <w:jc w:val="left"/>
        <w:rPr/>
      </w:pPr>
      <w:r>
        <w:rPr>
          <w:rFonts w:eastAsia="Arial" w:cs="Arial"/>
          <w:b/>
          <w:bCs/>
          <w:color w:val="3A4A52"/>
          <w:sz w:val="40"/>
          <w:szCs w:val="40"/>
        </w:rPr>
        <w:t>Groundwater Flooding Forecaster</w:t>
      </w:r>
    </w:p>
    <w:p>
      <w:pPr>
        <w:pStyle w:val="Normal"/>
        <w:spacing w:before="0" w:after="60"/>
        <w:rPr/>
      </w:pPr>
      <w:r>
        <w:rPr/>
      </w:r>
    </w:p>
    <w:p>
      <w:pPr>
        <w:pStyle w:val="Heading1"/>
        <w:rPr/>
      </w:pPr>
      <w:r>
        <w:rPr/>
        <w:t>A1. Introduction</w:t>
      </w:r>
    </w:p>
    <w:p>
      <w:pPr>
        <w:pStyle w:val="Normal"/>
        <w:spacing w:before="0" w:after="120"/>
        <w:rPr/>
      </w:pPr>
      <w:r>
        <w:rPr>
          <w:rFonts w:eastAsia="Arial" w:cs="Arial"/>
          <w:sz w:val="22"/>
          <w:szCs w:val="22"/>
        </w:rPr>
        <w:t>The Groundwater Flooding Forecaster is a self-contained, single-file HTML tool that provides per-well flood-risk assessments for the Newborough Warren dipwell network. It is designed to be opened in any modern web browser, on desktop or mobile, with no installation required.</w:t>
      </w:r>
    </w:p>
    <w:p>
      <w:pPr>
        <w:pStyle w:val="Normal"/>
        <w:spacing w:before="0" w:after="120"/>
        <w:rPr/>
      </w:pPr>
      <w:r>
        <w:rPr>
          <w:rFonts w:eastAsia="Arial" w:cs="Arial"/>
          <w:sz w:val="22"/>
          <w:szCs w:val="22"/>
        </w:rPr>
        <w:t>The forecaster presents the report’s cluster-block transfer functions (Tables 6, 7, and 10) directly, with coefficients substituted inline so the user can audit each calculation. It answers three linked questions for any selected dipwell:</w:t>
      </w:r>
    </w:p>
    <w:p>
      <w:pPr>
        <w:pStyle w:val="ListParagraph"/>
        <w:numPr>
          <w:ilvl w:val="0"/>
          <w:numId w:val="4"/>
        </w:numPr>
        <w:spacing w:before="0" w:after="60"/>
        <w:rPr/>
      </w:pPr>
      <w:r>
        <w:rPr>
          <w:rFonts w:eastAsia="Arial" w:cs="Arial"/>
          <w:sz w:val="22"/>
          <w:szCs w:val="22"/>
        </w:rPr>
        <w:t>What winter peak water level is expected, given the current summer minimum and a chosen rainfall scenario? (Table 6)</w:t>
      </w:r>
    </w:p>
    <w:p>
      <w:pPr>
        <w:pStyle w:val="ListParagraph"/>
        <w:numPr>
          <w:ilvl w:val="0"/>
          <w:numId w:val="1"/>
        </w:numPr>
        <w:spacing w:before="0" w:after="60"/>
        <w:rPr/>
      </w:pPr>
      <w:r>
        <w:rPr>
          <w:rFonts w:eastAsia="Arial" w:cs="Arial"/>
          <w:sz w:val="22"/>
          <w:szCs w:val="22"/>
        </w:rPr>
        <w:t>What summer minimum follows from the cluster-mean winter peak? (Table 7)</w:t>
      </w:r>
    </w:p>
    <w:p>
      <w:pPr>
        <w:pStyle w:val="ListParagraph"/>
        <w:numPr>
          <w:ilvl w:val="0"/>
          <w:numId w:val="1"/>
        </w:numPr>
        <w:spacing w:before="0" w:after="60"/>
        <w:rPr/>
      </w:pPr>
      <w:r>
        <w:rPr>
          <w:rFonts w:eastAsia="Arial" w:cs="Arial"/>
          <w:sz w:val="22"/>
          <w:szCs w:val="22"/>
        </w:rPr>
        <w:t>How much cumulative rainfall is needed to bring groundwater to the slack floor — P_flood? (Table 10)</w:t>
      </w:r>
    </w:p>
    <w:p>
      <w:pPr>
        <w:pStyle w:val="Normal"/>
        <w:spacing w:before="0" w:after="60"/>
        <w:rPr/>
      </w:pPr>
      <w:r>
        <w:rPr/>
      </w:r>
    </w:p>
    <w:p>
      <w:pPr>
        <w:pStyle w:val="Heading1"/>
        <w:rPr/>
      </w:pPr>
      <w:r>
        <w:rPr/>
        <w:t>A2. Opening the Forecaster</w:t>
      </w:r>
    </w:p>
    <w:p>
      <w:pPr>
        <w:pStyle w:val="Normal"/>
        <w:spacing w:before="0" w:after="120"/>
        <w:rPr/>
      </w:pPr>
      <w:r>
        <w:rPr>
          <w:rFonts w:eastAsia="Arial" w:cs="Arial"/>
          <w:sz w:val="22"/>
          <w:szCs w:val="22"/>
        </w:rPr>
        <w:t>Open forecaster.html in a web browser. The page loads instantly because all well data, map geometry, and model coefficients are bundled into the file. No server or internet connection is required for the core functionality.</w:t>
      </w:r>
    </w:p>
    <w:p>
      <w:pPr>
        <w:pStyle w:val="Normal"/>
        <w:spacing w:before="0" w:after="120"/>
        <w:rPr/>
      </w:pPr>
      <w:r>
        <w:rPr>
          <w:rFonts w:eastAsia="Arial" w:cs="Arial"/>
          <w:sz w:val="22"/>
          <w:szCs w:val="22"/>
        </w:rPr>
        <w:t>On first load the tool will attempt to fetch live rainfall data from the Met Office (see Section A5). This requires an internet connection but is optional; the tool falls back to climatological defaults if the fetch fails.</w:t>
      </w:r>
    </w:p>
    <w:p>
      <w:pPr>
        <w:pStyle w:val="Heading1"/>
        <w:rPr/>
      </w:pPr>
      <w:r>
        <w:rPr/>
        <w:t>A3. Interface Layout</w:t>
      </w:r>
    </w:p>
    <w:p>
      <w:pPr>
        <w:pStyle w:val="Normal"/>
        <w:spacing w:before="0" w:after="120"/>
        <w:rPr/>
      </w:pPr>
      <w:r>
        <w:rPr>
          <w:rFonts w:eastAsia="Arial" w:cs="Arial"/>
          <w:sz w:val="22"/>
          <w:szCs w:val="22"/>
        </w:rPr>
        <w:t>The interface is arranged in three panels beneath a header bar and a live-data banner:</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500"/>
        <w:gridCol w:w="6525"/>
      </w:tblGrid>
      <w:tr>
        <w:trPr/>
        <w:tc>
          <w:tcPr>
            <w:tcW w:w="25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Panel</w:t>
            </w:r>
          </w:p>
        </w:tc>
        <w:tc>
          <w:tcPr>
            <w:tcW w:w="6525"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Purpose</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Left sidebar</w:t>
            </w:r>
          </w:p>
        </w:tc>
        <w:tc>
          <w:tcPr>
            <w:tcW w:w="6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Well selection (dropdown grouped by cluster), observed-depth input, and well details: coordinates, elevation, cluster assignment, per-well and cluster long-term depth tables.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Centre map</w:t>
            </w:r>
          </w:p>
        </w:tc>
        <w:tc>
          <w:tcPr>
            <w:tcW w:w="6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Square SVG plan of Newborough Warren showing every dipwell as a colour-coded dot. A hillshade base layer and KML feature overlays provide spatial context. The rainfall-multiplier slider and map legend overlay the top corners.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Right panel</w:t>
            </w:r>
          </w:p>
        </w:tc>
        <w:tc>
          <w:tcPr>
            <w:tcW w:w="6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Three forecast cards for the selected well with inline equations, value substitutions, ecological badges, and a method note. A “Forecasts as of &lt;Month&gt; &lt;Year&gt;” timestamp appears at the top.</w:t>
            </w:r>
          </w:p>
        </w:tc>
      </w:tr>
    </w:tbl>
    <w:p>
      <w:pPr>
        <w:pStyle w:val="Normal"/>
        <w:spacing w:before="0" w:after="60"/>
        <w:rPr/>
      </w:pPr>
      <w:r>
        <w:rPr/>
      </w:r>
    </w:p>
    <w:p>
      <w:pPr>
        <w:pStyle w:val="Normal"/>
        <w:spacing w:before="0" w:after="120"/>
        <w:rPr/>
      </w:pPr>
      <w:r>
        <w:rPr>
          <w:rFonts w:eastAsia="Arial" w:cs="Arial"/>
          <w:sz w:val="22"/>
          <w:szCs w:val="22"/>
        </w:rPr>
        <w:t>All three panels are separated by draggable 6 px gutters. Drag a gutter sideways to widen or narrow the adjacent panel; your preferred widths persist between visits (stored in the browser’s localStorage). On narrow screens (&lt; 960 px) the panels stack vertically and the gutters are hidden.</w:t>
      </w:r>
    </w:p>
    <w:p>
      <w:pPr>
        <w:pStyle w:val="Heading1"/>
        <w:rPr/>
      </w:pPr>
      <w:r>
        <w:rPr/>
        <w:t>A4. Selecting a Well and Entering Depths</w:t>
      </w:r>
    </w:p>
    <w:p>
      <w:pPr>
        <w:pStyle w:val="Normal"/>
        <w:spacing w:before="0" w:after="120"/>
        <w:rPr/>
      </w:pPr>
      <w:r>
        <w:rPr>
          <w:rFonts w:eastAsia="Arial" w:cs="Arial"/>
          <w:sz w:val="22"/>
          <w:szCs w:val="22"/>
        </w:rPr>
        <w:t>Wells can be selected in two ways:</w:t>
      </w:r>
    </w:p>
    <w:p>
      <w:pPr>
        <w:pStyle w:val="ListParagraph"/>
        <w:numPr>
          <w:ilvl w:val="0"/>
          <w:numId w:val="5"/>
        </w:numPr>
        <w:spacing w:before="0" w:after="60"/>
        <w:rPr/>
      </w:pPr>
      <w:r>
        <w:rPr>
          <w:rFonts w:eastAsia="Arial" w:cs="Arial"/>
          <w:sz w:val="22"/>
          <w:szCs w:val="22"/>
        </w:rPr>
        <w:t>Dropdown menu (left sidebar): wells are grouped by cluster (C1–C5) with descriptive labels and well counts. Wells marked with an asterisk (*) are nearest-type assignments, meaning they sit outside the SSM operational domain and forecasts should be interpreted with caution.</w:t>
      </w:r>
    </w:p>
    <w:p>
      <w:pPr>
        <w:pStyle w:val="ListParagraph"/>
        <w:numPr>
          <w:ilvl w:val="0"/>
          <w:numId w:val="2"/>
        </w:numPr>
        <w:spacing w:before="0" w:after="60"/>
        <w:rPr/>
      </w:pPr>
      <w:r>
        <w:rPr>
          <w:rFonts w:eastAsia="Arial" w:cs="Arial"/>
          <w:sz w:val="22"/>
          <w:szCs w:val="22"/>
        </w:rPr>
        <w:t>Map click: click any dot on the centre map to select that well. The selected well is highlighted with a larger radius.</w:t>
      </w:r>
    </w:p>
    <w:p>
      <w:pPr>
        <w:pStyle w:val="Normal"/>
        <w:spacing w:before="0" w:after="60"/>
        <w:rPr/>
      </w:pPr>
      <w:r>
        <w:rPr/>
      </w:r>
    </w:p>
    <w:p>
      <w:pPr>
        <w:pStyle w:val="Normal"/>
        <w:spacing w:before="0" w:after="120"/>
        <w:rPr/>
      </w:pPr>
      <w:r>
        <w:rPr>
          <w:rFonts w:eastAsia="Arial" w:cs="Arial"/>
          <w:sz w:val="22"/>
          <w:szCs w:val="22"/>
        </w:rPr>
        <w:t>When a well is selected, two depth inputs in the sidebar are pre-populated from cluster defaults. Each input drives a different forecast:</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799"/>
        <w:gridCol w:w="6226"/>
      </w:tblGrid>
      <w:tr>
        <w:trPr/>
        <w:tc>
          <w:tcPr>
            <w:tcW w:w="27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Input</w:t>
            </w:r>
          </w:p>
        </w:tc>
        <w:tc>
          <w:tcPr>
            <w:tcW w:w="622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Purpose and default</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Current observed depth</w:t>
            </w:r>
          </w:p>
        </w:tc>
        <w:tc>
          <w:tcPr>
            <w:tcW w:w="62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Today’s dipwell reading. Drives Forecast 3 (P_flood: rainfall needed to lift the water table from this depth to the slack floor). Default: cluster’s long-term mean depth for the current calendar month.</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Summer minimum depth</w:t>
            </w:r>
          </w:p>
        </w:tc>
        <w:tc>
          <w:tcPr>
            <w:tcW w:w="62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annual summer trough. Drives Forecast 1 (next winter peak). Default: cluster’s long-term summer minimum. The hint explains three options: this year’s observed value if known, last year’s if available, or keep the long-term default for a “typical year” projection.</w:t>
            </w:r>
          </w:p>
        </w:tc>
      </w:tr>
    </w:tbl>
    <w:p>
      <w:pPr>
        <w:pStyle w:val="Normal"/>
        <w:spacing w:before="0" w:after="60"/>
        <w:rPr/>
      </w:pPr>
      <w:r>
        <w:rPr/>
      </w:r>
    </w:p>
    <w:p>
      <w:pPr>
        <w:pStyle w:val="Normal"/>
        <w:spacing w:before="0" w:after="120"/>
        <w:rPr/>
      </w:pPr>
      <w:r>
        <w:rPr>
          <w:rFonts w:eastAsia="Arial" w:cs="Arial"/>
          <w:sz w:val="22"/>
          <w:szCs w:val="22"/>
        </w:rPr>
        <w:t>Editing either input immediately recalculates the relevant forecast. Forecast 2 (following summer minimum) uses the cluster-mean winter peak and takes no user input.</w:t>
      </w:r>
    </w:p>
    <w:p>
      <w:pPr>
        <w:pStyle w:val="Heading2"/>
        <w:rPr/>
      </w:pPr>
      <w:r>
        <w:rPr/>
        <w:t>A4.1 Well details panel</w:t>
      </w:r>
    </w:p>
    <w:p>
      <w:pPr>
        <w:pStyle w:val="Normal"/>
        <w:spacing w:before="0" w:after="120"/>
        <w:rPr/>
      </w:pPr>
      <w:r>
        <w:rPr>
          <w:rFonts w:eastAsia="Arial" w:cs="Arial"/>
          <w:sz w:val="22"/>
          <w:szCs w:val="22"/>
        </w:rPr>
        <w:t>Below the depth input, a well-details section shows the selected well’s coordinates, ground elevation, and cluster assignment. Beneath this, two stacked depth tables appear:</w:t>
      </w:r>
    </w:p>
    <w:p>
      <w:pPr>
        <w:pStyle w:val="ListParagraph"/>
        <w:numPr>
          <w:ilvl w:val="0"/>
          <w:numId w:val="2"/>
        </w:numPr>
        <w:spacing w:before="0" w:after="60"/>
        <w:rPr/>
      </w:pPr>
      <w:r>
        <w:rPr>
          <w:rFonts w:eastAsia="Arial" w:cs="Arial"/>
          <w:sz w:val="22"/>
          <w:szCs w:val="22"/>
        </w:rPr>
        <w:t>Well long-term depths: the selected well’s own monthly climatology (from 01_wells_clean.csv), showing this month’s long-term mean, the summer minimum (labelled by the well’s own trough month), and the winter peak (labelled by the well’s own peak month). Omitted if the well lacks sufficient record length.</w:t>
      </w:r>
    </w:p>
    <w:p>
      <w:pPr>
        <w:pStyle w:val="ListParagraph"/>
        <w:numPr>
          <w:ilvl w:val="0"/>
          <w:numId w:val="2"/>
        </w:numPr>
        <w:spacing w:before="0" w:after="60"/>
        <w:rPr/>
      </w:pPr>
      <w:r>
        <w:rPr>
          <w:rFonts w:eastAsia="Arial" w:cs="Arial"/>
          <w:sz w:val="22"/>
          <w:szCs w:val="22"/>
        </w:rPr>
        <w:t>Cluster long-term depths: the cluster-average equivalents, using the cluster’s trough and peak months.</w:t>
      </w:r>
    </w:p>
    <w:p>
      <w:pPr>
        <w:pStyle w:val="Normal"/>
        <w:spacing w:before="0" w:after="60"/>
        <w:rPr/>
      </w:pPr>
      <w:r>
        <w:rPr/>
      </w:r>
    </w:p>
    <w:p>
      <w:pPr>
        <w:pStyle w:val="Normal"/>
        <w:spacing w:before="0" w:after="120"/>
        <w:rPr/>
      </w:pPr>
      <w:r>
        <w:rPr>
          <w:rFonts w:eastAsia="Arial" w:cs="Arial"/>
          <w:sz w:val="22"/>
          <w:szCs w:val="22"/>
        </w:rPr>
        <w:t>This lets you compare the individual well’s behaviour against its cluster average. Trough and peak months may differ between the well and cluster (e.g. a well may peak in February while its cluster peaks in March).</w:t>
      </w:r>
    </w:p>
    <w:p>
      <w:pPr>
        <w:pStyle w:val="Heading1"/>
        <w:rPr/>
      </w:pPr>
      <w:r>
        <w:rPr/>
        <w:t>A5. Live Met Office Data</w:t>
      </w:r>
    </w:p>
    <w:p>
      <w:pPr>
        <w:pStyle w:val="Normal"/>
        <w:spacing w:before="0" w:after="120"/>
        <w:rPr/>
      </w:pPr>
      <w:r>
        <w:rPr>
          <w:rFonts w:eastAsia="Arial" w:cs="Arial"/>
          <w:sz w:val="22"/>
          <w:szCs w:val="22"/>
        </w:rPr>
        <w:t>On load, the forecaster fetches the Met Office Historic Station Data file for RAF Valley (valleydata.txt). If the fetch succeeds, a banner below the header shows:</w:t>
      </w:r>
    </w:p>
    <w:p>
      <w:pPr>
        <w:pStyle w:val="ListParagraph"/>
        <w:numPr>
          <w:ilvl w:val="0"/>
          <w:numId w:val="2"/>
        </w:numPr>
        <w:spacing w:before="0" w:after="60"/>
        <w:rPr/>
      </w:pPr>
      <w:r>
        <w:rPr>
          <w:rFonts w:eastAsia="Arial" w:cs="Arial"/>
          <w:sz w:val="22"/>
          <w:szCs w:val="22"/>
        </w:rPr>
        <w:t>Cumulative winter rainfall (Oct–Mar) for the current and/or most recently completed hydrological winter.</w:t>
      </w:r>
    </w:p>
    <w:p>
      <w:pPr>
        <w:pStyle w:val="ListParagraph"/>
        <w:numPr>
          <w:ilvl w:val="0"/>
          <w:numId w:val="2"/>
        </w:numPr>
        <w:spacing w:before="0" w:after="60"/>
        <w:rPr/>
      </w:pPr>
      <w:r>
        <w:rPr>
          <w:rFonts w:eastAsia="Arial" w:cs="Arial"/>
          <w:sz w:val="22"/>
          <w:szCs w:val="22"/>
        </w:rPr>
        <w:t>The observed rainfall expressed as λ (lambda), the ratio of observed to climatological winter total.</w:t>
      </w:r>
    </w:p>
    <w:p>
      <w:pPr>
        <w:pStyle w:val="Normal"/>
        <w:spacing w:before="0" w:after="60"/>
        <w:rPr/>
      </w:pPr>
      <w:r>
        <w:rPr/>
      </w:r>
    </w:p>
    <w:p>
      <w:pPr>
        <w:pStyle w:val="Normal"/>
        <w:spacing w:before="0" w:after="120"/>
        <w:rPr/>
      </w:pPr>
      <w:r>
        <w:rPr>
          <w:rFonts w:eastAsia="Arial" w:cs="Arial"/>
          <w:sz w:val="22"/>
          <w:szCs w:val="22"/>
        </w:rPr>
        <w:t>Two preset links appear above the slider allowing you to set the rainfall multiplier to the live λ or to the climatological default (λ = 1.00).</w:t>
      </w:r>
    </w:p>
    <w:p>
      <w:pPr>
        <w:pStyle w:val="Normal"/>
        <w:spacing w:before="0" w:after="60"/>
        <w:rPr/>
      </w:pPr>
      <w:r>
        <w:rPr/>
      </w:r>
    </w:p>
    <w:p>
      <w:pPr>
        <w:pStyle w:val="Heading2"/>
        <w:rPr/>
      </w:pPr>
      <w:r>
        <w:rPr/>
        <w:t>A5.1 Manual fallback</w:t>
      </w:r>
    </w:p>
    <w:p>
      <w:pPr>
        <w:pStyle w:val="Normal"/>
        <w:spacing w:before="0" w:after="120"/>
        <w:rPr/>
      </w:pPr>
      <w:r>
        <w:rPr>
          <w:rFonts w:eastAsia="Arial" w:cs="Arial"/>
          <w:sz w:val="22"/>
          <w:szCs w:val="22"/>
        </w:rPr>
        <w:t>If the live fetch fails (CORS restriction, no internet, server down), a Retry button and an Enter rainfall manually button appear. The manual option opens a modal where you can paste the full contents of valleydata.txt copied from a browser tab. The parser extracts the same monthly totals and populates the banner identically.</w:t>
      </w:r>
    </w:p>
    <w:p>
      <w:pPr>
        <w:pStyle w:val="Heading1"/>
        <w:rPr/>
      </w:pPr>
      <w:r>
        <w:rPr/>
        <w:t>A6. The Rainfall Multiplier (λ)</w:t>
      </w:r>
    </w:p>
    <w:p>
      <w:pPr>
        <w:pStyle w:val="Normal"/>
        <w:spacing w:before="0" w:after="120"/>
        <w:rPr/>
      </w:pPr>
      <w:r>
        <w:rPr>
          <w:rFonts w:eastAsia="Arial" w:cs="Arial"/>
          <w:sz w:val="22"/>
          <w:szCs w:val="22"/>
        </w:rPr>
        <w:t>The slider at the top-right of the map controls the assumed winter rainfall multiplier λ, ranging from 0.60× (dry winter) to 2.00× (exceptional winter). As you drag it:</w:t>
      </w:r>
    </w:p>
    <w:p>
      <w:pPr>
        <w:pStyle w:val="ListParagraph"/>
        <w:numPr>
          <w:ilvl w:val="0"/>
          <w:numId w:val="2"/>
        </w:numPr>
        <w:spacing w:before="0" w:after="60"/>
        <w:rPr/>
      </w:pPr>
      <w:r>
        <w:rPr>
          <w:rFonts w:eastAsia="Arial" w:cs="Arial"/>
          <w:sz w:val="22"/>
          <w:szCs w:val="22"/>
        </w:rPr>
        <w:t>The map dots re-colour in real time to reflect updated P_flood vulnerability.</w:t>
      </w:r>
    </w:p>
    <w:p>
      <w:pPr>
        <w:pStyle w:val="ListParagraph"/>
        <w:numPr>
          <w:ilvl w:val="0"/>
          <w:numId w:val="2"/>
        </w:numPr>
        <w:spacing w:before="0" w:after="60"/>
        <w:rPr/>
      </w:pPr>
      <w:r>
        <w:rPr>
          <w:rFonts w:eastAsia="Arial" w:cs="Arial"/>
          <w:sz w:val="22"/>
          <w:szCs w:val="22"/>
        </w:rPr>
        <w:t>The forecast panel recalculates all three forecasts.</w:t>
      </w:r>
    </w:p>
    <w:p>
      <w:pPr>
        <w:pStyle w:val="ListParagraph"/>
        <w:numPr>
          <w:ilvl w:val="0"/>
          <w:numId w:val="2"/>
        </w:numPr>
        <w:spacing w:before="0" w:after="60"/>
        <w:rPr/>
      </w:pPr>
      <w:r>
        <w:rPr>
          <w:rFonts w:eastAsia="Arial" w:cs="Arial"/>
          <w:sz w:val="22"/>
          <w:szCs w:val="22"/>
        </w:rPr>
        <w:t>A descriptive label updates: Dry winter, Climatological, Wet winter, Very wet winter, or Exceptional winter.</w:t>
      </w:r>
    </w:p>
    <w:p>
      <w:pPr>
        <w:pStyle w:val="ListParagraph"/>
        <w:numPr>
          <w:ilvl w:val="0"/>
          <w:numId w:val="2"/>
        </w:numPr>
        <w:spacing w:before="0" w:after="60"/>
        <w:rPr>
          <w:rFonts w:ascii="Arial" w:hAnsi="Arial" w:eastAsia="Arial" w:cs="Arial"/>
          <w:sz w:val="22"/>
          <w:szCs w:val="22"/>
        </w:rPr>
      </w:pPr>
      <w:r>
        <w:rPr/>
      </w:r>
    </w:p>
    <w:p>
      <w:pPr>
        <w:pStyle w:val="Heading1"/>
        <w:rPr/>
      </w:pPr>
      <w:r>
        <w:rPr/>
        <w:t>A7. Understanding the Forecasts</w:t>
      </w:r>
    </w:p>
    <w:p>
      <w:pPr>
        <w:pStyle w:val="Normal"/>
        <w:spacing w:before="0" w:after="120"/>
        <w:rPr/>
      </w:pPr>
      <w:r>
        <w:rPr>
          <w:rFonts w:eastAsia="Arial" w:cs="Arial"/>
          <w:sz w:val="22"/>
          <w:szCs w:val="22"/>
        </w:rPr>
        <w:t>The right panel displays three forecast cards. Each card shows the general form of the equation (from the report table), then the same equation with values substituted and the result evaluated. A coloured ecological badge and explanatory text accompany each result.</w:t>
      </w:r>
    </w:p>
    <w:p>
      <w:pPr>
        <w:pStyle w:val="Normal"/>
        <w:spacing w:before="0" w:after="60"/>
        <w:rPr/>
      </w:pPr>
      <w:r>
        <w:rPr/>
      </w:r>
    </w:p>
    <w:p>
      <w:pPr>
        <w:pStyle w:val="Heading2"/>
        <w:rPr/>
      </w:pPr>
      <w:r>
        <w:rPr/>
        <w:t>A7.1 Forecast 1 — Next winter peak (Table 6)</w:t>
      </w:r>
    </w:p>
    <w:p>
      <w:pPr>
        <w:pStyle w:val="Normal"/>
        <w:spacing w:before="0" w:after="120"/>
        <w:rPr/>
      </w:pPr>
      <w:r>
        <w:rPr>
          <w:rFonts w:eastAsia="Arial" w:cs="Arial"/>
          <w:sz w:val="22"/>
          <w:szCs w:val="22"/>
        </w:rPr>
        <w:t>Uses the block transfer function to predict winter peak depth from the entered summer minimum and assumed winter rainfall. The equation is displayed inline:</w:t>
      </w:r>
    </w:p>
    <w:p>
      <w:pPr>
        <w:pStyle w:val="Normal"/>
        <w:spacing w:before="0" w:after="60"/>
        <w:rPr/>
      </w:pPr>
      <w:r>
        <w:rPr/>
      </w:r>
    </w:p>
    <w:p>
      <w:pPr>
        <w:pStyle w:val="Normal"/>
        <w:spacing w:before="0" w:after="200"/>
        <w:jc w:val="center"/>
        <w:rPr/>
      </w:pPr>
      <w:r>
        <w:rPr>
          <w:rFonts w:eastAsia="Consolas" w:cs="Consolas" w:ascii="Consolas" w:hAnsi="Consolas"/>
          <w:b/>
          <w:bCs/>
          <w:sz w:val="22"/>
          <w:szCs w:val="22"/>
        </w:rPr>
        <w:t>h_peak = β₁ · P_winter + β₂ · h_min + intercept</w:t>
      </w:r>
    </w:p>
    <w:p>
      <w:pPr>
        <w:pStyle w:val="Normal"/>
        <w:spacing w:before="0" w:after="60"/>
        <w:rPr/>
      </w:pPr>
      <w:r>
        <w:rPr/>
      </w:r>
    </w:p>
    <w:p>
      <w:pPr>
        <w:pStyle w:val="Normal"/>
        <w:spacing w:before="0" w:after="120"/>
        <w:rPr/>
      </w:pPr>
      <w:r>
        <w:rPr>
          <w:rFonts w:eastAsia="Arial" w:cs="Arial"/>
          <w:sz w:val="22"/>
          <w:szCs w:val="22"/>
        </w:rPr>
        <w:t>An amber timing note appears if the current date is before the cluster’s trough month (i.e. this year’s summer minimum has not yet been observed). The note explains three options: wait for the observation, enter last summer’s known value, or keep the long-term cluster mean as a “typical year” projection.</w:t>
      </w:r>
    </w:p>
    <w:p>
      <w:pPr>
        <w:pStyle w:val="Normal"/>
        <w:spacing w:before="0" w:after="60"/>
        <w:rPr/>
      </w:pPr>
      <w:r>
        <w:rPr/>
      </w:r>
    </w:p>
    <w:p>
      <w:pPr>
        <w:pStyle w:val="Normal"/>
        <w:spacing w:before="0" w:after="120"/>
        <w:rPr/>
      </w:pPr>
      <w:r>
        <w:rPr>
          <w:rFonts w:eastAsia="Arial" w:cs="Arial"/>
          <w:sz w:val="22"/>
          <w:szCs w:val="22"/>
        </w:rPr>
        <w:t>Ecological badge thresholds:</w:t>
      </w:r>
    </w:p>
    <w:p>
      <w:pPr>
        <w:pStyle w:val="ListParagraph"/>
        <w:numPr>
          <w:ilvl w:val="0"/>
          <w:numId w:val="2"/>
        </w:numPr>
        <w:spacing w:before="0" w:after="60"/>
        <w:rPr/>
      </w:pPr>
      <w:r>
        <w:rPr>
          <w:rFonts w:eastAsia="Arial" w:cs="Arial"/>
          <w:sz w:val="22"/>
          <w:szCs w:val="22"/>
        </w:rPr>
        <w:t>SD15b met (green): peak reaches within 0.10 m of the surface.</w:t>
      </w:r>
    </w:p>
    <w:p>
      <w:pPr>
        <w:pStyle w:val="ListParagraph"/>
        <w:numPr>
          <w:ilvl w:val="0"/>
          <w:numId w:val="2"/>
        </w:numPr>
        <w:spacing w:before="0" w:after="60"/>
        <w:rPr/>
      </w:pPr>
      <w:r>
        <w:rPr>
          <w:rFonts w:eastAsia="Arial" w:cs="Arial"/>
          <w:sz w:val="22"/>
          <w:szCs w:val="22"/>
        </w:rPr>
        <w:t>SD16 only (amber): peak reaches 0.10–0.25 m below ground.</w:t>
      </w:r>
    </w:p>
    <w:p>
      <w:pPr>
        <w:pStyle w:val="ListParagraph"/>
        <w:numPr>
          <w:ilvl w:val="0"/>
          <w:numId w:val="2"/>
        </w:numPr>
        <w:spacing w:before="0" w:after="60"/>
        <w:rPr/>
      </w:pPr>
      <w:r>
        <w:rPr>
          <w:rFonts w:eastAsia="Arial" w:cs="Arial"/>
          <w:sz w:val="22"/>
          <w:szCs w:val="22"/>
        </w:rPr>
        <w:t>Below SD16 (red): peak remains deeper than 0.25 m.</w:t>
      </w:r>
    </w:p>
    <w:p>
      <w:pPr>
        <w:pStyle w:val="Normal"/>
        <w:spacing w:before="0" w:after="60"/>
        <w:rPr/>
      </w:pPr>
      <w:r>
        <w:rPr/>
      </w:r>
    </w:p>
    <w:p>
      <w:pPr>
        <w:pStyle w:val="Heading2"/>
        <w:rPr/>
      </w:pPr>
      <w:r>
        <w:rPr/>
        <w:t>A7.2 Forecast 2 — Following summer minimum (Table 7)</w:t>
      </w:r>
    </w:p>
    <w:p>
      <w:pPr>
        <w:pStyle w:val="Normal"/>
        <w:spacing w:before="0" w:after="120"/>
        <w:rPr/>
      </w:pPr>
      <w:r>
        <w:rPr>
          <w:rFonts w:eastAsia="Arial" w:cs="Arial"/>
          <w:sz w:val="22"/>
          <w:szCs w:val="22"/>
        </w:rPr>
        <w:t>Projects the deepest summer water-table depth from the cluster-mean winter peak and climatological summer rainfall (Apr–Sep). The equation is displayed inline:</w:t>
      </w:r>
    </w:p>
    <w:p>
      <w:pPr>
        <w:pStyle w:val="Normal"/>
        <w:spacing w:before="0" w:after="60"/>
        <w:rPr/>
      </w:pPr>
      <w:r>
        <w:rPr/>
      </w:r>
    </w:p>
    <w:p>
      <w:pPr>
        <w:pStyle w:val="Normal"/>
        <w:spacing w:before="0" w:after="200"/>
        <w:jc w:val="center"/>
        <w:rPr/>
      </w:pPr>
      <w:r>
        <w:rPr>
          <w:rFonts w:eastAsia="Consolas" w:cs="Consolas" w:ascii="Consolas" w:hAnsi="Consolas"/>
          <w:b/>
          <w:bCs/>
          <w:sz w:val="22"/>
          <w:szCs w:val="22"/>
        </w:rPr>
        <w:t>h_min = β₁ · P_summer + β₂ · h_max(winter) + intercept</w:t>
      </w:r>
    </w:p>
    <w:p>
      <w:pPr>
        <w:pStyle w:val="Normal"/>
        <w:spacing w:before="0" w:after="60"/>
        <w:rPr/>
      </w:pPr>
      <w:r>
        <w:rPr/>
      </w:r>
    </w:p>
    <w:p>
      <w:pPr>
        <w:pStyle w:val="Normal"/>
        <w:spacing w:before="0" w:after="120"/>
        <w:rPr/>
      </w:pPr>
      <w:r>
        <w:rPr>
          <w:rFonts w:eastAsia="Arial" w:cs="Arial"/>
          <w:sz w:val="22"/>
          <w:szCs w:val="22"/>
        </w:rPr>
        <w:t>Ecological badge thresholds:</w:t>
      </w:r>
    </w:p>
    <w:p>
      <w:pPr>
        <w:pStyle w:val="ListParagraph"/>
        <w:numPr>
          <w:ilvl w:val="0"/>
          <w:numId w:val="2"/>
        </w:numPr>
        <w:spacing w:before="0" w:after="60"/>
        <w:rPr/>
      </w:pPr>
      <w:r>
        <w:rPr>
          <w:rFonts w:eastAsia="Arial" w:cs="Arial"/>
          <w:sz w:val="22"/>
          <w:szCs w:val="22"/>
        </w:rPr>
        <w:t>SD15b viable (green): minimum ≤0.61 m below ground.</w:t>
      </w:r>
    </w:p>
    <w:p>
      <w:pPr>
        <w:pStyle w:val="ListParagraph"/>
        <w:numPr>
          <w:ilvl w:val="0"/>
          <w:numId w:val="2"/>
        </w:numPr>
        <w:spacing w:before="0" w:after="60"/>
        <w:rPr/>
      </w:pPr>
      <w:r>
        <w:rPr>
          <w:rFonts w:eastAsia="Arial" w:cs="Arial"/>
          <w:sz w:val="22"/>
          <w:szCs w:val="22"/>
        </w:rPr>
        <w:t>SD16 only (amber): 0.61–0.98 m.</w:t>
      </w:r>
    </w:p>
    <w:p>
      <w:pPr>
        <w:pStyle w:val="ListParagraph"/>
        <w:numPr>
          <w:ilvl w:val="0"/>
          <w:numId w:val="2"/>
        </w:numPr>
        <w:spacing w:before="0" w:after="60"/>
        <w:rPr/>
      </w:pPr>
      <w:r>
        <w:rPr>
          <w:rFonts w:eastAsia="Arial" w:cs="Arial"/>
          <w:sz w:val="22"/>
          <w:szCs w:val="22"/>
        </w:rPr>
        <w:t>Below SD16 (red): deeper than 0.98 m.</w:t>
      </w:r>
    </w:p>
    <w:p>
      <w:pPr>
        <w:pStyle w:val="Normal"/>
        <w:spacing w:before="0" w:after="60"/>
        <w:rPr/>
      </w:pPr>
      <w:r>
        <w:rPr/>
      </w:r>
    </w:p>
    <w:p>
      <w:pPr>
        <w:pStyle w:val="Heading2"/>
        <w:rPr/>
      </w:pPr>
      <w:r>
        <w:rPr/>
        <w:t>A7.3 Forecast 3 — P_flood to slack floor (Table 10)</w:t>
      </w:r>
    </w:p>
    <w:p>
      <w:pPr>
        <w:pStyle w:val="Normal"/>
        <w:spacing w:before="0" w:after="120"/>
        <w:rPr/>
      </w:pPr>
      <w:r>
        <w:rPr>
          <w:rFonts w:eastAsia="Arial" w:cs="Arial"/>
          <w:sz w:val="22"/>
          <w:szCs w:val="22"/>
        </w:rPr>
        <w:t>Calculates the cumulative rainfall (in mm) over the cluster’s horizon period needed to bring groundwater from its current depth to the slack floor (0 m). The equation is displayed inline:</w:t>
      </w:r>
    </w:p>
    <w:p>
      <w:pPr>
        <w:pStyle w:val="Normal"/>
        <w:spacing w:before="0" w:after="60"/>
        <w:rPr/>
      </w:pPr>
      <w:r>
        <w:rPr/>
      </w:r>
    </w:p>
    <w:p>
      <w:pPr>
        <w:pStyle w:val="Normal"/>
        <w:spacing w:before="0" w:after="200"/>
        <w:jc w:val="center"/>
        <w:rPr/>
      </w:pPr>
      <w:r>
        <w:rPr>
          <w:rFonts w:eastAsia="Consolas" w:cs="Consolas" w:ascii="Consolas" w:hAnsi="Consolas"/>
          <w:b/>
          <w:bCs/>
          <w:sz w:val="22"/>
          <w:szCs w:val="22"/>
        </w:rPr>
        <w:t>P_flood = A · d + B</w:t>
      </w:r>
    </w:p>
    <w:p>
      <w:pPr>
        <w:pStyle w:val="Normal"/>
        <w:spacing w:before="0" w:after="60"/>
        <w:rPr/>
      </w:pPr>
      <w:r>
        <w:rPr/>
      </w:r>
    </w:p>
    <w:p>
      <w:pPr>
        <w:pStyle w:val="Normal"/>
        <w:spacing w:before="0" w:after="120"/>
        <w:rPr/>
      </w:pPr>
      <w:r>
        <w:rPr>
          <w:rFonts w:eastAsia="Arial" w:cs="Arial"/>
          <w:sz w:val="22"/>
          <w:szCs w:val="22"/>
        </w:rPr>
        <w:t>The result is also expressed as λ, the multiple of climatological rainfall:</w:t>
      </w:r>
    </w:p>
    <w:p>
      <w:pPr>
        <w:pStyle w:val="ListParagraph"/>
        <w:numPr>
          <w:ilvl w:val="0"/>
          <w:numId w:val="2"/>
        </w:numPr>
        <w:spacing w:before="0" w:after="60"/>
        <w:rPr/>
      </w:pPr>
      <w:r>
        <w:rPr>
          <w:rFonts w:eastAsia="Arial" w:cs="Arial"/>
          <w:sz w:val="22"/>
          <w:szCs w:val="22"/>
        </w:rPr>
        <w:t>Reachable (green): λ &lt; 1.0 — surface flooding possible under normal rainfall.</w:t>
      </w:r>
    </w:p>
    <w:p>
      <w:pPr>
        <w:pStyle w:val="ListParagraph"/>
        <w:numPr>
          <w:ilvl w:val="0"/>
          <w:numId w:val="2"/>
        </w:numPr>
        <w:spacing w:before="0" w:after="60"/>
        <w:rPr/>
      </w:pPr>
      <w:r>
        <w:rPr>
          <w:rFonts w:eastAsia="Arial" w:cs="Arial"/>
          <w:sz w:val="22"/>
          <w:szCs w:val="22"/>
        </w:rPr>
        <w:t>Wet winter required (amber): λ 1.0–1.3.</w:t>
      </w:r>
    </w:p>
    <w:p>
      <w:pPr>
        <w:pStyle w:val="ListParagraph"/>
        <w:numPr>
          <w:ilvl w:val="0"/>
          <w:numId w:val="2"/>
        </w:numPr>
        <w:spacing w:before="0" w:after="60"/>
        <w:rPr/>
      </w:pPr>
      <w:r>
        <w:rPr>
          <w:rFonts w:eastAsia="Arial" w:cs="Arial"/>
          <w:sz w:val="22"/>
          <w:szCs w:val="22"/>
        </w:rPr>
        <w:t>Exceptional winter (red): λ 1.3–2.0.</w:t>
      </w:r>
    </w:p>
    <w:p>
      <w:pPr>
        <w:pStyle w:val="ListParagraph"/>
        <w:numPr>
          <w:ilvl w:val="0"/>
          <w:numId w:val="2"/>
        </w:numPr>
        <w:spacing w:before="0" w:after="60"/>
        <w:rPr/>
      </w:pPr>
      <w:r>
        <w:rPr>
          <w:rFonts w:eastAsia="Arial" w:cs="Arial"/>
          <w:sz w:val="22"/>
          <w:szCs w:val="22"/>
        </w:rPr>
        <w:t>Structurally unreachable (grey): λ &gt; 2.0 — flooding essentially impossible.</w:t>
      </w:r>
    </w:p>
    <w:p>
      <w:pPr>
        <w:pStyle w:val="Heading1"/>
        <w:rPr/>
      </w:pPr>
      <w:r>
        <w:rPr/>
        <w:t>A8. Reading the Map</w:t>
      </w:r>
    </w:p>
    <w:p>
      <w:pPr>
        <w:pStyle w:val="Normal"/>
        <w:spacing w:before="0" w:after="120"/>
        <w:rPr/>
      </w:pPr>
      <w:r>
        <w:rPr>
          <w:rFonts w:eastAsia="Arial" w:cs="Arial"/>
          <w:sz w:val="22"/>
          <w:szCs w:val="22"/>
        </w:rPr>
        <w:t>The map uses a square viewBox (1000 × 1000) matching the square base-layer extent (3800 m × 3800 m). Well dots occupy a horizontal strip across the middle of the map reflecting their actual geography. Each dot is coloured by P_flood vulnerability:</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1799"/>
        <w:gridCol w:w="3613"/>
        <w:gridCol w:w="3614"/>
      </w:tblGrid>
      <w:tr>
        <w:trPr/>
        <w:tc>
          <w:tcPr>
            <w:tcW w:w="17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Colour</w:t>
            </w:r>
          </w:p>
        </w:tc>
        <w:tc>
          <w:tcPr>
            <w:tcW w:w="3613"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Category</w:t>
            </w:r>
          </w:p>
        </w:tc>
        <w:tc>
          <w:tcPr>
            <w:tcW w:w="3614"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λ range</w:t>
            </w:r>
          </w:p>
        </w:tc>
      </w:tr>
      <w:tr>
        <w:trPr/>
        <w:tc>
          <w:tcPr>
            <w:tcW w:w="1799" w:type="dxa"/>
            <w:tcBorders>
              <w:top w:val="single" w:sz="2" w:space="0" w:color="CCCCCC"/>
              <w:left w:val="single" w:sz="2" w:space="0" w:color="CCCCCC"/>
              <w:bottom w:val="single" w:sz="2" w:space="0" w:color="CCCCCC"/>
              <w:right w:val="single" w:sz="2" w:space="0" w:color="CCCCCC"/>
            </w:tcBorders>
            <w:shd w:fill="5A7D56" w:val="clear"/>
          </w:tcPr>
          <w:p>
            <w:pPr>
              <w:pStyle w:val="Normal"/>
              <w:rPr/>
            </w:pPr>
            <w:r>
              <w:rPr>
                <w:rFonts w:eastAsia="Arial" w:cs="Arial"/>
                <w:b/>
                <w:bCs/>
                <w:color w:val="FFFFFF"/>
                <w:sz w:val="20"/>
                <w:szCs w:val="20"/>
              </w:rPr>
              <w:t>Green</w:t>
            </w:r>
          </w:p>
        </w:tc>
        <w:tc>
          <w:tcPr>
            <w:tcW w:w="36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Reachable</w:t>
            </w:r>
          </w:p>
        </w:tc>
        <w:tc>
          <w:tcPr>
            <w:tcW w:w="36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&lt; 1.0× climatology</w:t>
            </w:r>
          </w:p>
        </w:tc>
      </w:tr>
      <w:tr>
        <w:trPr/>
        <w:tc>
          <w:tcPr>
            <w:tcW w:w="1799" w:type="dxa"/>
            <w:tcBorders>
              <w:top w:val="single" w:sz="2" w:space="0" w:color="CCCCCC"/>
              <w:left w:val="single" w:sz="2" w:space="0" w:color="CCCCCC"/>
              <w:bottom w:val="single" w:sz="2" w:space="0" w:color="CCCCCC"/>
              <w:right w:val="single" w:sz="2" w:space="0" w:color="CCCCCC"/>
            </w:tcBorders>
            <w:shd w:fill="C9983D" w:val="clear"/>
          </w:tcPr>
          <w:p>
            <w:pPr>
              <w:pStyle w:val="Normal"/>
              <w:rPr/>
            </w:pPr>
            <w:r>
              <w:rPr>
                <w:rFonts w:eastAsia="Arial" w:cs="Arial"/>
                <w:b/>
                <w:bCs/>
                <w:color w:val="FFFFFF"/>
                <w:sz w:val="20"/>
                <w:szCs w:val="20"/>
              </w:rPr>
              <w:t>Amber</w:t>
            </w:r>
          </w:p>
        </w:tc>
        <w:tc>
          <w:tcPr>
            <w:tcW w:w="36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Wet winter required</w:t>
            </w:r>
          </w:p>
        </w:tc>
        <w:tc>
          <w:tcPr>
            <w:tcW w:w="36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1.0–1.3×</w:t>
            </w:r>
          </w:p>
        </w:tc>
      </w:tr>
      <w:tr>
        <w:trPr/>
        <w:tc>
          <w:tcPr>
            <w:tcW w:w="1799" w:type="dxa"/>
            <w:tcBorders>
              <w:top w:val="single" w:sz="2" w:space="0" w:color="CCCCCC"/>
              <w:left w:val="single" w:sz="2" w:space="0" w:color="CCCCCC"/>
              <w:bottom w:val="single" w:sz="2" w:space="0" w:color="CCCCCC"/>
              <w:right w:val="single" w:sz="2" w:space="0" w:color="CCCCCC"/>
            </w:tcBorders>
            <w:shd w:fill="B85C4A" w:val="clear"/>
          </w:tcPr>
          <w:p>
            <w:pPr>
              <w:pStyle w:val="Normal"/>
              <w:rPr/>
            </w:pPr>
            <w:r>
              <w:rPr>
                <w:rFonts w:eastAsia="Arial" w:cs="Arial"/>
                <w:b/>
                <w:bCs/>
                <w:color w:val="FFFFFF"/>
                <w:sz w:val="20"/>
                <w:szCs w:val="20"/>
              </w:rPr>
              <w:t>Red</w:t>
            </w:r>
          </w:p>
        </w:tc>
        <w:tc>
          <w:tcPr>
            <w:tcW w:w="36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Exceptional winter</w:t>
            </w:r>
          </w:p>
        </w:tc>
        <w:tc>
          <w:tcPr>
            <w:tcW w:w="36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1.3–2.0×</w:t>
            </w:r>
          </w:p>
        </w:tc>
      </w:tr>
      <w:tr>
        <w:trPr/>
        <w:tc>
          <w:tcPr>
            <w:tcW w:w="1799" w:type="dxa"/>
            <w:tcBorders>
              <w:top w:val="single" w:sz="2" w:space="0" w:color="CCCCCC"/>
              <w:left w:val="single" w:sz="2" w:space="0" w:color="CCCCCC"/>
              <w:bottom w:val="single" w:sz="2" w:space="0" w:color="CCCCCC"/>
              <w:right w:val="single" w:sz="2" w:space="0" w:color="CCCCCC"/>
            </w:tcBorders>
            <w:shd w:fill="8E8577" w:val="clear"/>
          </w:tcPr>
          <w:p>
            <w:pPr>
              <w:pStyle w:val="Normal"/>
              <w:rPr/>
            </w:pPr>
            <w:r>
              <w:rPr>
                <w:rFonts w:eastAsia="Arial" w:cs="Arial"/>
                <w:b/>
                <w:bCs/>
                <w:color w:val="FFFFFF"/>
                <w:sz w:val="20"/>
                <w:szCs w:val="20"/>
              </w:rPr>
              <w:t>Grey</w:t>
            </w:r>
          </w:p>
        </w:tc>
        <w:tc>
          <w:tcPr>
            <w:tcW w:w="36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Structurally unreachable</w:t>
            </w:r>
          </w:p>
        </w:tc>
        <w:tc>
          <w:tcPr>
            <w:tcW w:w="36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&gt; 2.0×</w:t>
            </w:r>
          </w:p>
        </w:tc>
      </w:tr>
    </w:tbl>
    <w:p>
      <w:pPr>
        <w:pStyle w:val="Normal"/>
        <w:spacing w:before="0" w:after="60"/>
        <w:rPr/>
      </w:pPr>
      <w:r>
        <w:rPr/>
      </w:r>
    </w:p>
    <w:p>
      <w:pPr>
        <w:pStyle w:val="Normal"/>
        <w:spacing w:before="0" w:after="120"/>
        <w:rPr/>
      </w:pPr>
      <w:r>
        <w:rPr>
          <w:rFonts w:eastAsia="Arial" w:cs="Arial"/>
          <w:sz w:val="22"/>
          <w:szCs w:val="22"/>
        </w:rPr>
        <w:t>The legend and rainfall slider overlay the top-left and top-right corners of the map respectively. The map content is top-aligned within its container; any spare vertical space appears below as sand-coloured background.</w:t>
      </w:r>
    </w:p>
    <w:p>
      <w:pPr>
        <w:pStyle w:val="Heading1"/>
        <w:rPr/>
      </w:pPr>
      <w:r>
        <w:rPr/>
        <w:t>A9. Nearest-Type Assignments</w:t>
      </w:r>
    </w:p>
    <w:p>
      <w:pPr>
        <w:pStyle w:val="Normal"/>
        <w:spacing w:before="0" w:after="120"/>
        <w:rPr/>
      </w:pPr>
      <w:r>
        <w:rPr>
          <w:rFonts w:eastAsia="Arial" w:cs="Arial"/>
          <w:sz w:val="22"/>
          <w:szCs w:val="22"/>
        </w:rPr>
        <w:t>Some wells are flagged with an asterisk (*) and display a nearest-type assignment notice. These wells sit outside the SSM operational domain and were assigned to the nearest cluster as a best-available estimate. Forecasts for these wells should be treated as indicative rather than precise.</w:t>
      </w:r>
    </w:p>
    <w:p>
      <w:pPr>
        <w:pStyle w:val="Heading1"/>
        <w:rPr/>
      </w:pPr>
      <w:r>
        <w:rPr/>
        <w:t>A10. Practical Tips</w:t>
      </w:r>
    </w:p>
    <w:p>
      <w:pPr>
        <w:pStyle w:val="ListParagraph"/>
        <w:numPr>
          <w:ilvl w:val="0"/>
          <w:numId w:val="2"/>
        </w:numPr>
        <w:spacing w:before="0" w:after="60"/>
        <w:rPr/>
      </w:pPr>
      <w:r>
        <w:rPr>
          <w:rFonts w:eastAsia="Arial" w:cs="Arial"/>
          <w:sz w:val="22"/>
          <w:szCs w:val="22"/>
        </w:rPr>
        <w:t>After selecting a well, check both depth inputs: the current-depth default is the cluster’s long-term mean for this calendar month, and the summer-minimum default is the cluster’s long-term trough. Edit either to match your actual observations.</w:t>
      </w:r>
    </w:p>
    <w:p>
      <w:pPr>
        <w:pStyle w:val="ListParagraph"/>
        <w:numPr>
          <w:ilvl w:val="0"/>
          <w:numId w:val="2"/>
        </w:numPr>
        <w:spacing w:before="0" w:after="60"/>
        <w:rPr/>
      </w:pPr>
      <w:r>
        <w:rPr>
          <w:rFonts w:eastAsia="Arial" w:cs="Arial"/>
          <w:sz w:val="22"/>
          <w:szCs w:val="22"/>
        </w:rPr>
        <w:t>Use the live λ preset when available — it incorporates the actual current-season rainfall.</w:t>
      </w:r>
    </w:p>
    <w:p>
      <w:pPr>
        <w:pStyle w:val="ListParagraph"/>
        <w:numPr>
          <w:ilvl w:val="0"/>
          <w:numId w:val="2"/>
        </w:numPr>
        <w:spacing w:before="0" w:after="60"/>
        <w:rPr/>
      </w:pPr>
      <w:r>
        <w:rPr>
          <w:rFonts w:eastAsia="Arial" w:cs="Arial"/>
          <w:sz w:val="22"/>
          <w:szCs w:val="22"/>
        </w:rPr>
        <w:t>Compare the per-well long-term depths against the cluster averages in the well-details panel; large differences indicate the well behaves atypically within its cluster.</w:t>
      </w:r>
    </w:p>
    <w:p>
      <w:pPr>
        <w:pStyle w:val="ListParagraph"/>
        <w:numPr>
          <w:ilvl w:val="0"/>
          <w:numId w:val="2"/>
        </w:numPr>
        <w:spacing w:before="0" w:after="60"/>
        <w:rPr/>
      </w:pPr>
      <w:r>
        <w:rPr>
          <w:rFonts w:eastAsia="Arial" w:cs="Arial"/>
          <w:sz w:val="22"/>
          <w:szCs w:val="22"/>
        </w:rPr>
        <w:t>The forecaster works entirely offline after the initial page load; you can save the HTML file to a USB stick or phone for field use.</w:t>
      </w:r>
    </w:p>
    <w:p>
      <w:pPr>
        <w:pStyle w:val="ListParagraph"/>
        <w:numPr>
          <w:ilvl w:val="0"/>
          <w:numId w:val="2"/>
        </w:numPr>
        <w:spacing w:before="0" w:after="60"/>
        <w:rPr/>
      </w:pPr>
      <w:r>
        <w:rPr>
          <w:rFonts w:eastAsia="Arial" w:cs="Arial"/>
          <w:sz w:val="22"/>
          <w:szCs w:val="22"/>
        </w:rPr>
        <w:t>Drag the panel gutters to adjust the sidebar, map, and forecast panel widths to suit your screen.</w:t>
      </w:r>
    </w:p>
    <w:p>
      <w:pPr>
        <w:pStyle w:val="Normal"/>
        <w:rPr/>
      </w:pPr>
      <w:r>
        <w:rPr/>
      </w:r>
      <w:r>
        <w:br w:type="page"/>
      </w:r>
    </w:p>
    <w:p>
      <w:pPr>
        <w:pStyle w:val="Normal"/>
        <w:spacing w:before="0" w:after="60"/>
        <w:rPr/>
      </w:pPr>
      <w:r>
        <w:rPr/>
      </w:r>
    </w:p>
    <w:p>
      <w:pPr>
        <w:pStyle w:val="Normal"/>
        <w:spacing w:before="0" w:after="60"/>
        <w:rPr/>
      </w:pPr>
      <w:r>
        <w:rPr/>
      </w:r>
    </w:p>
    <w:p>
      <w:pPr>
        <w:pStyle w:val="Normal"/>
        <w:spacing w:before="0" w:after="80"/>
        <w:jc w:val="left"/>
        <w:rPr/>
      </w:pPr>
      <w:r>
        <w:rPr>
          <w:rFonts w:eastAsia="Arial" w:cs="Arial"/>
          <w:b/>
          <w:bCs/>
          <w:color w:val="4A7A8A"/>
          <w:sz w:val="28"/>
          <w:szCs w:val="28"/>
        </w:rPr>
        <w:t>Part B</w:t>
      </w:r>
    </w:p>
    <w:p>
      <w:pPr>
        <w:pStyle w:val="Normal"/>
        <w:pBdr>
          <w:bottom w:val="single" w:sz="6" w:space="1" w:color="C8B878"/>
        </w:pBdr>
        <w:spacing w:before="0" w:after="300"/>
        <w:jc w:val="left"/>
        <w:rPr/>
      </w:pPr>
      <w:r>
        <w:rPr>
          <w:rFonts w:eastAsia="Arial" w:cs="Arial"/>
          <w:b/>
          <w:bCs/>
          <w:color w:val="3A4A52"/>
          <w:sz w:val="40"/>
          <w:szCs w:val="40"/>
        </w:rPr>
        <w:t>Hydrological Scenario Viewer</w:t>
      </w:r>
    </w:p>
    <w:p>
      <w:pPr>
        <w:pStyle w:val="Normal"/>
        <w:spacing w:before="0" w:after="60"/>
        <w:rPr/>
      </w:pPr>
      <w:r>
        <w:rPr/>
      </w:r>
    </w:p>
    <w:p>
      <w:pPr>
        <w:pStyle w:val="Heading1"/>
        <w:rPr/>
      </w:pPr>
      <w:r>
        <w:rPr/>
        <w:t>B1. Introduction</w:t>
      </w:r>
    </w:p>
    <w:p>
      <w:pPr>
        <w:pStyle w:val="Normal"/>
        <w:spacing w:before="0" w:after="120"/>
        <w:rPr/>
      </w:pPr>
      <w:r>
        <w:rPr>
          <w:rFonts w:eastAsia="Arial" w:cs="Arial"/>
          <w:sz w:val="22"/>
          <w:szCs w:val="22"/>
        </w:rPr>
        <w:t>The Hydrological Scenario Viewer is an interactive HTML tool that allows you to explore how different climate and management scenarios affect groundwater levels across the Newborough Warren dipwell network. It computes per-well changes in equilibrium head (Δh) using the site’s fitted state-space model coefficients and displays the results as an IDW-interpolated surface map, a cluster-level bar chart, a numeric data table, and summary metric cards.</w:t>
      </w:r>
    </w:p>
    <w:p>
      <w:pPr>
        <w:pStyle w:val="Normal"/>
        <w:spacing w:before="0" w:after="120"/>
        <w:rPr/>
      </w:pPr>
      <w:r>
        <w:rPr>
          <w:rFonts w:eastAsia="Arial" w:cs="Arial"/>
          <w:sz w:val="22"/>
          <w:szCs w:val="22"/>
        </w:rPr>
        <w:t>The viewer is generated by Script 19 (19_spatial_groundwater.py) and contains all data embedded in the file. No server or internet connection is required.</w:t>
      </w:r>
    </w:p>
    <w:p>
      <w:pPr>
        <w:pStyle w:val="Heading1"/>
        <w:rPr/>
      </w:pPr>
      <w:r>
        <w:rPr/>
        <w:t>B2. Interface Layout</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199"/>
        <w:gridCol w:w="6826"/>
      </w:tblGrid>
      <w:tr>
        <w:trPr/>
        <w:tc>
          <w:tcPr>
            <w:tcW w:w="21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Panel</w:t>
            </w:r>
          </w:p>
        </w:tc>
        <w:tc>
          <w:tcPr>
            <w:tcW w:w="682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Purpose</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Left sidebar</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Scenario presets, climate sliders (winter/summer P and PET multipliers), forestry controls (interception, β₂ scaling), display toggles, and Sy mode selector. A draggable splitter adjusts its width.</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Season tabs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Toggle between Annual, Winter (Nov–Mar), and Summer (May–Sep) views. All forecasts, map, and table update accordingly.</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Map</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Canvas-rendered IDW interpolation surface of Δh (or absolute head, or depth-below-surface). Hillshade basemap with KML overlays.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Bar chart</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Per-cluster Δh shown as horizontal bars, coloured red (drying) or blue (wetting).</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Data table</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Numeric breakdown per cluster: Δh, scenario head, storage shift, effective precipitation, and PET draw.</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Metric cards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Summary cards for all clusters, each C1–C5, and a Forest (C4+C5) aggregate. Each shows Δh, Sy, and storage shift.</w:t>
            </w:r>
          </w:p>
        </w:tc>
      </w:tr>
    </w:tbl>
    <w:p>
      <w:pPr>
        <w:pStyle w:val="Normal"/>
        <w:spacing w:before="0" w:after="60"/>
        <w:rPr/>
      </w:pPr>
      <w:r>
        <w:rPr/>
      </w:r>
    </w:p>
    <w:p>
      <w:pPr>
        <w:pStyle w:val="Normal"/>
        <w:spacing w:before="0" w:after="120"/>
        <w:rPr/>
      </w:pPr>
      <w:r>
        <w:rPr>
          <w:rFonts w:eastAsia="Arial" w:cs="Arial"/>
          <w:sz w:val="22"/>
          <w:szCs w:val="22"/>
        </w:rPr>
        <w:t>On narrow screens (&lt; 640 px) the layout stacks vertically.</w:t>
      </w:r>
    </w:p>
    <w:p>
      <w:pPr>
        <w:pStyle w:val="Heading1"/>
        <w:rPr/>
      </w:pPr>
      <w:r>
        <w:rPr/>
        <w:t>B3. Scenario Presets</w:t>
      </w:r>
    </w:p>
    <w:p>
      <w:pPr>
        <w:pStyle w:val="Normal"/>
        <w:spacing w:before="0" w:after="120"/>
        <w:rPr/>
      </w:pPr>
      <w:r>
        <w:rPr>
          <w:rFonts w:eastAsia="Arial" w:cs="Arial"/>
          <w:sz w:val="22"/>
          <w:szCs w:val="22"/>
        </w:rPr>
        <w:t>Six preset buttons configure all sliders to physically meaningful combinations:</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199"/>
        <w:gridCol w:w="6826"/>
      </w:tblGrid>
      <w:tr>
        <w:trPr/>
        <w:tc>
          <w:tcPr>
            <w:tcW w:w="21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Preset</w:t>
            </w:r>
          </w:p>
        </w:tc>
        <w:tc>
          <w:tcPr>
            <w:tcW w:w="682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Baseline</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Current observed conditions. All multipliers at 1.00, forest interception at 24% (Corsican pine; Freeman 2008).</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UKCP18 2050s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Central estimate (50th percentile, RCP8.5) for Wales. Wetter winters (+10% P), drier summers (−15% P), higher summer PET (+20%).</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UKCP18 2080s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End-century projection. Winter P +20%, summer P −30%, summer PET +35%.</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Clearfell</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Complete canopy removal. Interception set to 0%, β₂ multiplier derived from BACI-corrected Edge-tier ratio (Script 10e; 1.108×, applied equally to both seasons).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Broadleaf</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Restocking with deciduous species. Interception reduced to 15% (Komatsu et al. 2011). Seasonally varying β₂: winter 0.87× (leaf-off), summer 1.09× (leaf-on), from Script 21 deciduous phenology profile.</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Thinning</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50% canopy density reduction. Interception halved to 12%, β₂ set to 1.054× (half the clearfell BACI perturbation, applied equally to both seasons).</w:t>
            </w:r>
          </w:p>
        </w:tc>
      </w:tr>
    </w:tbl>
    <w:p>
      <w:pPr>
        <w:pStyle w:val="Normal"/>
        <w:spacing w:before="0" w:after="60"/>
        <w:rPr/>
      </w:pPr>
      <w:r>
        <w:rPr/>
      </w:r>
    </w:p>
    <w:p>
      <w:pPr>
        <w:pStyle w:val="Normal"/>
        <w:spacing w:before="0" w:after="120"/>
        <w:rPr/>
      </w:pPr>
      <w:r>
        <w:rPr>
          <w:rFonts w:eastAsia="Arial" w:cs="Arial"/>
          <w:sz w:val="22"/>
          <w:szCs w:val="22"/>
        </w:rPr>
        <w:t>You can also adjust any slider individually after selecting a preset; the display updates in real time.</w:t>
      </w:r>
    </w:p>
    <w:p>
      <w:pPr>
        <w:pStyle w:val="Heading1"/>
        <w:rPr/>
      </w:pPr>
      <w:r>
        <w:rPr/>
        <w:t>B4. Climate Sliders</w:t>
      </w:r>
    </w:p>
    <w:p>
      <w:pPr>
        <w:pStyle w:val="Normal"/>
        <w:spacing w:before="0" w:after="120"/>
        <w:rPr/>
      </w:pPr>
      <w:r>
        <w:rPr>
          <w:rFonts w:eastAsia="Arial" w:cs="Arial"/>
          <w:sz w:val="22"/>
          <w:szCs w:val="22"/>
        </w:rPr>
        <w:t>Four sliders control the climate forcing multipliers independently:</w:t>
      </w:r>
    </w:p>
    <w:p>
      <w:pPr>
        <w:pStyle w:val="ListParagraph"/>
        <w:numPr>
          <w:ilvl w:val="0"/>
          <w:numId w:val="2"/>
        </w:numPr>
        <w:spacing w:before="0" w:after="60"/>
        <w:rPr/>
      </w:pPr>
      <w:r>
        <w:rPr>
          <w:rFonts w:eastAsia="Arial" w:cs="Arial"/>
          <w:sz w:val="22"/>
          <w:szCs w:val="22"/>
        </w:rPr>
        <w:t>Winter P (×): scales November–March precipitation. Range 0.6–1.5.</w:t>
      </w:r>
    </w:p>
    <w:p>
      <w:pPr>
        <w:pStyle w:val="ListParagraph"/>
        <w:numPr>
          <w:ilvl w:val="0"/>
          <w:numId w:val="2"/>
        </w:numPr>
        <w:spacing w:before="0" w:after="60"/>
        <w:rPr/>
      </w:pPr>
      <w:r>
        <w:rPr>
          <w:rFonts w:eastAsia="Arial" w:cs="Arial"/>
          <w:sz w:val="22"/>
          <w:szCs w:val="22"/>
        </w:rPr>
        <w:t>Summer P (×): scales May–September precipitation. Range 0.5–1.3.</w:t>
      </w:r>
    </w:p>
    <w:p>
      <w:pPr>
        <w:pStyle w:val="ListParagraph"/>
        <w:numPr>
          <w:ilvl w:val="0"/>
          <w:numId w:val="2"/>
        </w:numPr>
        <w:spacing w:before="0" w:after="60"/>
        <w:rPr/>
      </w:pPr>
      <w:r>
        <w:rPr>
          <w:rFonts w:eastAsia="Arial" w:cs="Arial"/>
          <w:sz w:val="22"/>
          <w:szCs w:val="22"/>
        </w:rPr>
        <w:t>Winter PET (×): scales winter potential evapotranspiration. Range 0.8–1.3.</w:t>
      </w:r>
    </w:p>
    <w:p>
      <w:pPr>
        <w:pStyle w:val="ListParagraph"/>
        <w:numPr>
          <w:ilvl w:val="0"/>
          <w:numId w:val="2"/>
        </w:numPr>
        <w:spacing w:before="0" w:after="60"/>
        <w:rPr/>
      </w:pPr>
      <w:r>
        <w:rPr>
          <w:rFonts w:eastAsia="Arial" w:cs="Arial"/>
          <w:sz w:val="22"/>
          <w:szCs w:val="22"/>
        </w:rPr>
        <w:t>Summer PET (×): scales summer PET. Range 0.8–1.5.</w:t>
      </w:r>
    </w:p>
    <w:p>
      <w:pPr>
        <w:pStyle w:val="Normal"/>
        <w:spacing w:before="0" w:after="60"/>
        <w:rPr/>
      </w:pPr>
      <w:r>
        <w:rPr/>
      </w:r>
    </w:p>
    <w:p>
      <w:pPr>
        <w:pStyle w:val="Normal"/>
        <w:spacing w:before="0" w:after="120"/>
        <w:rPr/>
      </w:pPr>
      <w:r>
        <w:rPr>
          <w:rFonts w:eastAsia="Arial" w:cs="Arial"/>
          <w:sz w:val="22"/>
          <w:szCs w:val="22"/>
        </w:rPr>
        <w:t>A warning banner appears if slider combinations exceed UKCP18 plausible ranges or create physically contradictory configurations.</w:t>
      </w:r>
    </w:p>
    <w:p>
      <w:pPr>
        <w:pStyle w:val="Heading1"/>
        <w:rPr/>
      </w:pPr>
      <w:r>
        <w:rPr/>
        <w:t>B5. Forestry Controls</w:t>
      </w:r>
    </w:p>
    <w:p>
      <w:pPr>
        <w:pStyle w:val="Normal"/>
        <w:spacing w:before="0" w:after="120"/>
        <w:rPr/>
      </w:pPr>
      <w:r>
        <w:rPr>
          <w:rFonts w:eastAsia="Arial" w:cs="Arial"/>
          <w:sz w:val="22"/>
          <w:szCs w:val="22"/>
        </w:rPr>
        <w:t>Separate interception sliders are provided for C4 (Main Forest) and C5 (Coastal Forest):</w:t>
      </w:r>
    </w:p>
    <w:p>
      <w:pPr>
        <w:pStyle w:val="ListParagraph"/>
        <w:numPr>
          <w:ilvl w:val="0"/>
          <w:numId w:val="2"/>
        </w:numPr>
        <w:spacing w:before="0" w:after="60"/>
        <w:rPr/>
      </w:pPr>
      <w:r>
        <w:rPr>
          <w:rFonts w:eastAsia="Arial" w:cs="Arial"/>
          <w:sz w:val="22"/>
          <w:szCs w:val="22"/>
        </w:rPr>
        <w:t>Interception fraction: the proportion of rainfall intercepted by the canopy. Corsican pine baseline is 0.24; broadleaf is 0.15; clearfell is 0.00.</w:t>
      </w:r>
    </w:p>
    <w:p>
      <w:pPr>
        <w:pStyle w:val="Normal"/>
        <w:spacing w:before="0" w:after="60"/>
        <w:rPr/>
      </w:pPr>
      <w:r>
        <w:rPr/>
      </w:r>
    </w:p>
    <w:p>
      <w:pPr>
        <w:pStyle w:val="Normal"/>
        <w:spacing w:before="0" w:after="120"/>
        <w:rPr/>
      </w:pPr>
      <w:r>
        <w:rPr>
          <w:rFonts w:eastAsia="Arial" w:cs="Arial"/>
          <w:sz w:val="22"/>
          <w:szCs w:val="22"/>
        </w:rPr>
        <w:t>Below the interception sliders, a shared β₂ scaling panel applies identically to both C4 and C5, with separate winter and summer controls:</w:t>
      </w:r>
    </w:p>
    <w:p>
      <w:pPr>
        <w:pStyle w:val="ListParagraph"/>
        <w:numPr>
          <w:ilvl w:val="0"/>
          <w:numId w:val="2"/>
        </w:numPr>
        <w:spacing w:before="0" w:after="60"/>
        <w:rPr/>
      </w:pPr>
      <w:r>
        <w:rPr>
          <w:rFonts w:eastAsia="Arial" w:cs="Arial"/>
          <w:sz w:val="22"/>
          <w:szCs w:val="22"/>
        </w:rPr>
        <w:t>Winter β₂: scales the evapotranspiration coefficient for the winter season. Range 0.5–2.0.</w:t>
      </w:r>
    </w:p>
    <w:p>
      <w:pPr>
        <w:pStyle w:val="ListParagraph"/>
        <w:numPr>
          <w:ilvl w:val="0"/>
          <w:numId w:val="2"/>
        </w:numPr>
        <w:spacing w:before="0" w:after="60"/>
        <w:rPr/>
      </w:pPr>
      <w:r>
        <w:rPr>
          <w:rFonts w:eastAsia="Arial" w:cs="Arial"/>
          <w:sz w:val="22"/>
          <w:szCs w:val="22"/>
        </w:rPr>
        <w:t>Summer β₂: scales the evapotranspiration coefficient for the summer season. Range 0.5–2.0.</w:t>
      </w:r>
    </w:p>
    <w:p>
      <w:pPr>
        <w:pStyle w:val="Normal"/>
        <w:spacing w:before="0" w:after="60"/>
        <w:rPr/>
      </w:pPr>
      <w:r>
        <w:rPr/>
      </w:r>
    </w:p>
    <w:p>
      <w:pPr>
        <w:pStyle w:val="Normal"/>
        <w:spacing w:before="0" w:after="120"/>
        <w:rPr/>
      </w:pPr>
      <w:r>
        <w:rPr>
          <w:rFonts w:eastAsia="Arial" w:cs="Arial"/>
          <w:sz w:val="22"/>
          <w:szCs w:val="22"/>
        </w:rPr>
        <w:t>The seasonal split captures deciduous phenology under broadleaf conversion: the Broadleaf preset sets winter β₂ to 0.87× (reduced transpiration when leaves are absent) and summer β₂ to 1.09× (elevated transpiration during the growing season). These controls only affect C4 and C5 wells; non-forest clusters are unaffected.</w:t>
      </w:r>
    </w:p>
    <w:p>
      <w:pPr>
        <w:pStyle w:val="Heading1"/>
        <w:rPr/>
      </w:pPr>
      <w:r>
        <w:rPr/>
        <w:t>B6. Map Rendering Modes</w:t>
      </w:r>
    </w:p>
    <w:p>
      <w:pPr>
        <w:pStyle w:val="Normal"/>
        <w:spacing w:before="0" w:after="120"/>
        <w:rPr/>
      </w:pPr>
      <w:r>
        <w:rPr>
          <w:rFonts w:eastAsia="Arial" w:cs="Arial"/>
          <w:sz w:val="22"/>
          <w:szCs w:val="22"/>
        </w:rPr>
        <w:t>Three tabs above the map switch the colour surface:</w:t>
      </w:r>
    </w:p>
    <w:p>
      <w:pPr>
        <w:pStyle w:val="ListParagraph"/>
        <w:numPr>
          <w:ilvl w:val="0"/>
          <w:numId w:val="2"/>
        </w:numPr>
        <w:spacing w:before="0" w:after="60"/>
        <w:rPr/>
      </w:pPr>
      <w:r>
        <w:rPr>
          <w:rFonts w:eastAsia="Arial" w:cs="Arial"/>
          <w:sz w:val="22"/>
          <w:szCs w:val="22"/>
        </w:rPr>
        <w:t>Δh mode (default): change from baseline equilibrium head. Blue = wetter, red = drier.</w:t>
      </w:r>
    </w:p>
    <w:p>
      <w:pPr>
        <w:pStyle w:val="ListParagraph"/>
        <w:numPr>
          <w:ilvl w:val="0"/>
          <w:numId w:val="2"/>
        </w:numPr>
        <w:spacing w:before="0" w:after="60"/>
        <w:rPr/>
      </w:pPr>
      <w:r>
        <w:rPr>
          <w:rFonts w:eastAsia="Arial" w:cs="Arial"/>
          <w:sz w:val="22"/>
          <w:szCs w:val="22"/>
        </w:rPr>
        <w:t>Absolute mode: scenario-adjusted head in metres AOD, sequential colour scale.</w:t>
      </w:r>
    </w:p>
    <w:p>
      <w:pPr>
        <w:pStyle w:val="ListParagraph"/>
        <w:numPr>
          <w:ilvl w:val="0"/>
          <w:numId w:val="2"/>
        </w:numPr>
        <w:spacing w:before="0" w:after="60"/>
        <w:rPr/>
      </w:pPr>
      <w:r>
        <w:rPr>
          <w:rFonts w:eastAsia="Arial" w:cs="Arial"/>
          <w:sz w:val="22"/>
          <w:szCs w:val="22"/>
        </w:rPr>
        <w:t>Depth mode: depth below ground surface (DEM minus IDW-interpolated head), anchored to Curreli et al. (2013) ecological thresholds: SD15b at 0.61 m and SD16 at 0.98 m.</w:t>
      </w:r>
    </w:p>
    <w:p>
      <w:pPr>
        <w:pStyle w:val="Normal"/>
        <w:spacing w:before="0" w:after="60"/>
        <w:rPr/>
      </w:pPr>
      <w:r>
        <w:rPr/>
      </w:r>
    </w:p>
    <w:p>
      <w:pPr>
        <w:pStyle w:val="Normal"/>
        <w:spacing w:before="0" w:after="120"/>
        <w:rPr/>
      </w:pPr>
      <w:r>
        <w:rPr>
          <w:rFonts w:eastAsia="Arial" w:cs="Arial"/>
          <w:sz w:val="22"/>
          <w:szCs w:val="22"/>
        </w:rPr>
        <w:t>In depth mode, a ridge-mask toggle suppresses interpolation over dune ridges where the DEM exceeds the local well-derived surface by more than 1.0 m.</w:t>
      </w:r>
    </w:p>
    <w:p>
      <w:pPr>
        <w:pStyle w:val="Heading1"/>
        <w:rPr/>
      </w:pPr>
      <w:r>
        <w:rPr/>
        <w:t>B7. Display Toggles and Tooltips</w:t>
      </w:r>
    </w:p>
    <w:p>
      <w:pPr>
        <w:pStyle w:val="ListParagraph"/>
        <w:numPr>
          <w:ilvl w:val="0"/>
          <w:numId w:val="2"/>
        </w:numPr>
        <w:spacing w:before="0" w:after="60"/>
        <w:rPr/>
      </w:pPr>
      <w:r>
        <w:rPr>
          <w:rFonts w:eastAsia="Arial" w:cs="Arial"/>
          <w:sz w:val="22"/>
          <w:szCs w:val="22"/>
        </w:rPr>
        <w:t>KML overlays: shows/hides the forest plantation, broadleaf restock area, clearfell compartment, and Llyn Rhos-ddu.</w:t>
      </w:r>
    </w:p>
    <w:p>
      <w:pPr>
        <w:pStyle w:val="ListParagraph"/>
        <w:numPr>
          <w:ilvl w:val="0"/>
          <w:numId w:val="2"/>
        </w:numPr>
        <w:spacing w:before="0" w:after="60"/>
        <w:rPr/>
      </w:pPr>
      <w:r>
        <w:rPr>
          <w:rFonts w:eastAsia="Arial" w:cs="Arial"/>
          <w:sz w:val="22"/>
          <w:szCs w:val="22"/>
        </w:rPr>
        <w:t>Well labels: toggles well identifiers on the map.</w:t>
      </w:r>
    </w:p>
    <w:p>
      <w:pPr>
        <w:pStyle w:val="ListParagraph"/>
        <w:numPr>
          <w:ilvl w:val="0"/>
          <w:numId w:val="2"/>
        </w:numPr>
        <w:spacing w:before="0" w:after="60"/>
        <w:rPr/>
      </w:pPr>
      <w:r>
        <w:rPr>
          <w:rFonts w:eastAsia="Arial" w:cs="Arial"/>
          <w:sz w:val="22"/>
          <w:szCs w:val="22"/>
        </w:rPr>
        <w:t>Ridge mask: in depth mode, suppresses interpolation over dune ridges.</w:t>
      </w:r>
    </w:p>
    <w:p>
      <w:pPr>
        <w:pStyle w:val="Normal"/>
        <w:spacing w:before="0" w:after="60"/>
        <w:rPr/>
      </w:pPr>
      <w:r>
        <w:rPr/>
      </w:r>
    </w:p>
    <w:p>
      <w:pPr>
        <w:pStyle w:val="Normal"/>
        <w:spacing w:before="0" w:after="120"/>
        <w:rPr/>
      </w:pPr>
      <w:r>
        <w:rPr>
          <w:rFonts w:eastAsia="Arial" w:cs="Arial"/>
          <w:sz w:val="22"/>
          <w:szCs w:val="22"/>
        </w:rPr>
        <w:t>Hovering over any well dot shows a floating tooltip with the well name, cluster, baseline head, Δh, scenario-adjusted head, specific yield, and storage shift.</w:t>
      </w:r>
    </w:p>
    <w:p>
      <w:pPr>
        <w:pStyle w:val="Heading1"/>
        <w:rPr/>
      </w:pPr>
      <w:r>
        <w:rPr/>
        <w:t>B8. Practical Tips</w:t>
      </w:r>
    </w:p>
    <w:p>
      <w:pPr>
        <w:pStyle w:val="ListParagraph"/>
        <w:numPr>
          <w:ilvl w:val="0"/>
          <w:numId w:val="2"/>
        </w:numPr>
        <w:spacing w:before="0" w:after="60"/>
        <w:rPr/>
      </w:pPr>
      <w:r>
        <w:rPr>
          <w:rFonts w:eastAsia="Arial" w:cs="Arial"/>
          <w:sz w:val="22"/>
          <w:szCs w:val="22"/>
        </w:rPr>
        <w:t>Start with a preset to see a scenario’s overall effect, then fine-tune individual sliders.</w:t>
      </w:r>
    </w:p>
    <w:p>
      <w:pPr>
        <w:pStyle w:val="ListParagraph"/>
        <w:numPr>
          <w:ilvl w:val="0"/>
          <w:numId w:val="2"/>
        </w:numPr>
        <w:spacing w:before="0" w:after="60"/>
        <w:rPr/>
      </w:pPr>
      <w:r>
        <w:rPr>
          <w:rFonts w:eastAsia="Arial" w:cs="Arial"/>
          <w:sz w:val="22"/>
          <w:szCs w:val="22"/>
        </w:rPr>
        <w:t>Use the season tabs to compare winter wetting against summer drying under the same scenario.</w:t>
      </w:r>
    </w:p>
    <w:p>
      <w:pPr>
        <w:pStyle w:val="ListParagraph"/>
        <w:numPr>
          <w:ilvl w:val="0"/>
          <w:numId w:val="2"/>
        </w:numPr>
        <w:spacing w:before="0" w:after="60"/>
        <w:rPr/>
      </w:pPr>
      <w:r>
        <w:rPr>
          <w:rFonts w:eastAsia="Arial" w:cs="Arial"/>
          <w:sz w:val="22"/>
          <w:szCs w:val="22"/>
        </w:rPr>
        <w:t>Switch to Depth mode with KML overlays on to see which areas breach the SD15b/SD16 thresholds.</w:t>
      </w:r>
    </w:p>
    <w:p>
      <w:pPr>
        <w:pStyle w:val="ListParagraph"/>
        <w:numPr>
          <w:ilvl w:val="0"/>
          <w:numId w:val="2"/>
        </w:numPr>
        <w:spacing w:before="0" w:after="60"/>
        <w:rPr/>
      </w:pPr>
      <w:r>
        <w:rPr>
          <w:rFonts w:eastAsia="Arial" w:cs="Arial"/>
          <w:sz w:val="22"/>
          <w:szCs w:val="22"/>
        </w:rPr>
        <w:t>The sidebar is resizable via the splitter; the map canvas is also resizable (drag the bottom-right corner).</w:t>
      </w:r>
    </w:p>
    <w:p>
      <w:pPr>
        <w:pStyle w:val="ListParagraph"/>
        <w:numPr>
          <w:ilvl w:val="0"/>
          <w:numId w:val="2"/>
        </w:numPr>
        <w:spacing w:before="0" w:after="60"/>
        <w:rPr/>
      </w:pPr>
      <w:r>
        <w:rPr>
          <w:rFonts w:eastAsia="Arial" w:cs="Arial"/>
          <w:sz w:val="22"/>
          <w:szCs w:val="22"/>
        </w:rPr>
        <w:t>The viewer works entirely offline once loaded.</w:t>
      </w:r>
    </w:p>
    <w:p>
      <w:pPr>
        <w:pStyle w:val="Normal"/>
        <w:rPr/>
      </w:pPr>
      <w:r>
        <w:rPr/>
      </w:r>
      <w:r>
        <w:br w:type="page"/>
      </w:r>
    </w:p>
    <w:p>
      <w:pPr>
        <w:pStyle w:val="Normal"/>
        <w:spacing w:before="0" w:after="60"/>
        <w:rPr/>
      </w:pPr>
      <w:r>
        <w:rPr/>
      </w:r>
    </w:p>
    <w:p>
      <w:pPr>
        <w:pStyle w:val="Normal"/>
        <w:spacing w:before="0" w:after="60"/>
        <w:rPr/>
      </w:pPr>
      <w:r>
        <w:rPr/>
      </w:r>
    </w:p>
    <w:p>
      <w:pPr>
        <w:pStyle w:val="Normal"/>
        <w:spacing w:before="0" w:after="80"/>
        <w:jc w:val="left"/>
        <w:rPr/>
      </w:pPr>
      <w:r>
        <w:rPr>
          <w:rFonts w:eastAsia="Arial" w:cs="Arial"/>
          <w:b/>
          <w:bCs/>
          <w:color w:val="4A7A8A"/>
          <w:sz w:val="28"/>
          <w:szCs w:val="28"/>
        </w:rPr>
        <w:t>Part C</w:t>
      </w:r>
    </w:p>
    <w:p>
      <w:pPr>
        <w:pStyle w:val="Normal"/>
        <w:pBdr>
          <w:bottom w:val="single" w:sz="6" w:space="1" w:color="C8B878"/>
        </w:pBdr>
        <w:spacing w:before="0" w:after="300"/>
        <w:jc w:val="left"/>
        <w:rPr/>
      </w:pPr>
      <w:r>
        <w:rPr>
          <w:rFonts w:eastAsia="Arial" w:cs="Arial"/>
          <w:b/>
          <w:bCs/>
          <w:color w:val="3A4A52"/>
          <w:sz w:val="40"/>
          <w:szCs w:val="40"/>
        </w:rPr>
        <w:t>Seasonal Extremes Scatter</w:t>
      </w:r>
    </w:p>
    <w:p>
      <w:pPr>
        <w:pStyle w:val="Normal"/>
        <w:spacing w:before="0" w:after="60"/>
        <w:rPr/>
      </w:pPr>
      <w:r>
        <w:rPr/>
      </w:r>
    </w:p>
    <w:p>
      <w:pPr>
        <w:pStyle w:val="Heading1"/>
        <w:rPr/>
      </w:pPr>
      <w:r>
        <w:rPr/>
        <w:t>C1. Introduction</w:t>
      </w:r>
    </w:p>
    <w:p>
      <w:pPr>
        <w:pStyle w:val="Normal"/>
        <w:spacing w:before="0" w:after="120"/>
        <w:rPr/>
      </w:pPr>
      <w:r>
        <w:rPr>
          <w:rFonts w:eastAsia="Arial" w:cs="Arial"/>
          <w:sz w:val="22"/>
          <w:szCs w:val="22"/>
        </w:rPr>
        <w:t>The Seasonal Extremes Scatter is an interactive chart plotting each well’s mean annual summer minimum water-table depth against its mean annual winter maximum depth for the monitoring period 2005–2026. Wells are coloured by hydrogeological cluster, and Curreli et al. (2013) eco-hydrological threshold lines are overlaid. The chart provides an at-a-glance summary of which wells and clusters meet the SD15b and SD16 habitat condition targets.</w:t>
      </w:r>
    </w:p>
    <w:p>
      <w:pPr>
        <w:pStyle w:val="Normal"/>
        <w:spacing w:before="0" w:after="120"/>
        <w:rPr/>
      </w:pPr>
      <w:r>
        <w:rPr>
          <w:rFonts w:eastAsia="Arial" w:cs="Arial"/>
          <w:sz w:val="22"/>
          <w:szCs w:val="22"/>
        </w:rPr>
        <w:t>The page is generated by Script 14 (14_climate_projections.py) and uses Chart.js for rendering.</w:t>
      </w:r>
    </w:p>
    <w:p>
      <w:pPr>
        <w:pStyle w:val="Heading1"/>
        <w:rPr/>
      </w:pPr>
      <w:r>
        <w:rPr/>
        <w:t>C2. Opening the Page</w:t>
      </w:r>
    </w:p>
    <w:p>
      <w:pPr>
        <w:pStyle w:val="Normal"/>
        <w:spacing w:before="0" w:after="120"/>
        <w:rPr/>
      </w:pPr>
      <w:r>
        <w:rPr>
          <w:rFonts w:eastAsia="Arial" w:cs="Arial"/>
          <w:sz w:val="22"/>
          <w:szCs w:val="22"/>
        </w:rPr>
        <w:t>Open 14_seasonal_extremes_scatter.html in any modern web browser. Chart.js is loaded from a CDN, so an internet connection is needed on first load (or the library can be cached). The well data is embedded inline.</w:t>
      </w:r>
    </w:p>
    <w:p>
      <w:pPr>
        <w:pStyle w:val="Heading1"/>
        <w:rPr/>
      </w:pPr>
      <w:r>
        <w:rPr/>
        <w:t>C3. Reading the Chart</w:t>
      </w:r>
    </w:p>
    <w:p>
      <w:pPr>
        <w:pStyle w:val="Normal"/>
        <w:spacing w:before="0" w:after="120"/>
        <w:rPr/>
      </w:pPr>
      <w:r>
        <w:rPr>
          <w:rFonts w:eastAsia="Arial" w:cs="Arial"/>
          <w:sz w:val="22"/>
          <w:szCs w:val="22"/>
        </w:rPr>
        <w:t>Each dot represents one well. The axes are:</w:t>
      </w:r>
    </w:p>
    <w:p>
      <w:pPr>
        <w:pStyle w:val="ListParagraph"/>
        <w:numPr>
          <w:ilvl w:val="0"/>
          <w:numId w:val="2"/>
        </w:numPr>
        <w:spacing w:before="0" w:after="60"/>
        <w:rPr/>
      </w:pPr>
      <w:r>
        <w:rPr>
          <w:rFonts w:eastAsia="Arial" w:cs="Arial"/>
          <w:sz w:val="22"/>
          <w:szCs w:val="22"/>
        </w:rPr>
        <w:t>X-axis: Mean annual summer minimum depth (m below pipe top). More negative = deeper water table in summer.</w:t>
      </w:r>
    </w:p>
    <w:p>
      <w:pPr>
        <w:pStyle w:val="ListParagraph"/>
        <w:numPr>
          <w:ilvl w:val="0"/>
          <w:numId w:val="2"/>
        </w:numPr>
        <w:spacing w:before="0" w:after="60"/>
        <w:rPr/>
      </w:pPr>
      <w:r>
        <w:rPr>
          <w:rFonts w:eastAsia="Arial" w:cs="Arial"/>
          <w:sz w:val="22"/>
          <w:szCs w:val="22"/>
        </w:rPr>
        <w:t>Y-axis: Mean annual winter maximum depth (m below pipe top). More negative = deeper water table in winter.</w:t>
      </w:r>
    </w:p>
    <w:p>
      <w:pPr>
        <w:pStyle w:val="Normal"/>
        <w:spacing w:before="0" w:after="60"/>
        <w:rPr/>
      </w:pPr>
      <w:r>
        <w:rPr/>
      </w:r>
    </w:p>
    <w:p>
      <w:pPr>
        <w:pStyle w:val="Normal"/>
        <w:spacing w:before="0" w:after="120"/>
        <w:rPr/>
      </w:pPr>
      <w:r>
        <w:rPr>
          <w:rFonts w:eastAsia="Arial" w:cs="Arial"/>
          <w:sz w:val="22"/>
          <w:szCs w:val="22"/>
        </w:rPr>
        <w:t>Wells in the upper-right quadrant have shallow water tables in both seasons (favourable for wet slack habitat). Wells in the lower-left have deep water tables year-round.</w:t>
      </w:r>
    </w:p>
    <w:p>
      <w:pPr>
        <w:pStyle w:val="Heading1"/>
        <w:rPr/>
      </w:pPr>
      <w:r>
        <w:rPr/>
        <w:t>C4. Threshold Lines</w:t>
      </w:r>
    </w:p>
    <w:p>
      <w:pPr>
        <w:pStyle w:val="Normal"/>
        <w:spacing w:before="0" w:after="120"/>
        <w:rPr/>
      </w:pPr>
      <w:r>
        <w:rPr>
          <w:rFonts w:eastAsia="Arial" w:cs="Arial"/>
          <w:sz w:val="22"/>
          <w:szCs w:val="22"/>
        </w:rPr>
        <w:t>Four dashed lines mark the Curreli et al. (2013) eco-hydrological thresholds:</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500"/>
        <w:gridCol w:w="3263"/>
        <w:gridCol w:w="3263"/>
      </w:tblGrid>
      <w:tr>
        <w:trPr/>
        <w:tc>
          <w:tcPr>
            <w:tcW w:w="25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Line</w:t>
            </w:r>
          </w:p>
        </w:tc>
        <w:tc>
          <w:tcPr>
            <w:tcW w:w="3263"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Threshold</w:t>
            </w:r>
          </w:p>
        </w:tc>
        <w:tc>
          <w:tcPr>
            <w:tcW w:w="3263"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Meaning</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Vertical green</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SD15b summer (−0.61 m)</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Summer minimum must be shallower than 0.61 m for wet slack viability.</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Vertical red</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SD16 summer (−0.98 m)</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Summer minimum must be shallower than 0.98 m for dry slack viability.</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Horizontal green</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SD15b winter (−0.10 m)</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 maximum must reach within 0.10 m of the surface for wet slack flooding.</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Horizontal red</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SD16 winter (−0.25 m)</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 maximum must reach within 0.25 m for dry slack flooding.</w:t>
            </w:r>
          </w:p>
        </w:tc>
      </w:tr>
    </w:tbl>
    <w:p>
      <w:pPr>
        <w:pStyle w:val="Normal"/>
        <w:spacing w:before="0" w:after="60"/>
        <w:rPr/>
      </w:pPr>
      <w:r>
        <w:rPr/>
      </w:r>
    </w:p>
    <w:p>
      <w:pPr>
        <w:pStyle w:val="Normal"/>
        <w:spacing w:before="0" w:after="120"/>
        <w:rPr/>
      </w:pPr>
      <w:r>
        <w:rPr>
          <w:rFonts w:eastAsia="Arial" w:cs="Arial"/>
          <w:sz w:val="22"/>
          <w:szCs w:val="22"/>
        </w:rPr>
        <w:t>A well meeting both the summer and winter SD15b thresholds (upper-right of both green lines) has full wet slack habitat viability.</w:t>
      </w:r>
    </w:p>
    <w:p>
      <w:pPr>
        <w:pStyle w:val="Heading1"/>
        <w:rPr/>
      </w:pPr>
      <w:r>
        <w:rPr/>
        <w:t>C5. Cluster Legend</w:t>
      </w:r>
    </w:p>
    <w:p>
      <w:pPr>
        <w:pStyle w:val="Normal"/>
        <w:spacing w:before="0" w:after="120"/>
        <w:rPr/>
      </w:pPr>
      <w:r>
        <w:rPr>
          <w:rFonts w:eastAsia="Arial" w:cs="Arial"/>
          <w:sz w:val="22"/>
          <w:szCs w:val="22"/>
        </w:rPr>
        <w:t>The legend shows the colour for each cluster: C1 (Lake Edge), C2 (Dune), C3 (Western Residual), C4 (Main Forest), and C5 (Coastal Forest). Wells not assigned to a core cluster appear as “UNKNOWN” in grey.</w:t>
      </w:r>
    </w:p>
    <w:p>
      <w:pPr>
        <w:pStyle w:val="Heading1"/>
        <w:rPr/>
      </w:pPr>
      <w:r>
        <w:rPr/>
        <w:t>C6. Search and Highlight</w:t>
      </w:r>
    </w:p>
    <w:p>
      <w:pPr>
        <w:pStyle w:val="Normal"/>
        <w:spacing w:before="0" w:after="120"/>
        <w:rPr/>
      </w:pPr>
      <w:r>
        <w:rPr>
          <w:rFonts w:eastAsia="Arial" w:cs="Arial"/>
          <w:sz w:val="22"/>
          <w:szCs w:val="22"/>
        </w:rPr>
        <w:t>A search box above the chart lets you type a well name (e.g. “ceh36” or “nw10”). Matching wells are highlighted in orange with an enlarged dot; all other wells fade. The result text shows the well’s exact values and cluster.</w:t>
      </w:r>
    </w:p>
    <w:p>
      <w:pPr>
        <w:pStyle w:val="Normal"/>
        <w:spacing w:before="0" w:after="120"/>
        <w:rPr/>
      </w:pPr>
      <w:r>
        <w:rPr>
          <w:rFonts w:eastAsia="Arial" w:cs="Arial"/>
          <w:sz w:val="22"/>
          <w:szCs w:val="22"/>
        </w:rPr>
        <w:t>Click Clear to reset the view.</w:t>
      </w:r>
    </w:p>
    <w:p>
      <w:pPr>
        <w:pStyle w:val="Heading1"/>
        <w:rPr/>
      </w:pPr>
      <w:r>
        <w:rPr/>
        <w:t>C7. Practical Tips</w:t>
      </w:r>
    </w:p>
    <w:p>
      <w:pPr>
        <w:pStyle w:val="ListParagraph"/>
        <w:numPr>
          <w:ilvl w:val="0"/>
          <w:numId w:val="2"/>
        </w:numPr>
        <w:spacing w:before="0" w:after="60"/>
        <w:rPr/>
      </w:pPr>
      <w:r>
        <w:rPr>
          <w:rFonts w:eastAsia="Arial" w:cs="Arial"/>
          <w:sz w:val="22"/>
          <w:szCs w:val="22"/>
        </w:rPr>
        <w:t>Use the search to locate specific wells of management interest.</w:t>
      </w:r>
    </w:p>
    <w:p>
      <w:pPr>
        <w:pStyle w:val="ListParagraph"/>
        <w:numPr>
          <w:ilvl w:val="0"/>
          <w:numId w:val="2"/>
        </w:numPr>
        <w:spacing w:before="0" w:after="60"/>
        <w:rPr/>
      </w:pPr>
      <w:r>
        <w:rPr>
          <w:rFonts w:eastAsia="Arial" w:cs="Arial"/>
          <w:sz w:val="22"/>
          <w:szCs w:val="22"/>
        </w:rPr>
        <w:t>Wells plotting far to the left within C4 and C5 indicate forest-influenced water-table suppression.</w:t>
      </w:r>
    </w:p>
    <w:p>
      <w:pPr>
        <w:pStyle w:val="ListParagraph"/>
        <w:numPr>
          <w:ilvl w:val="0"/>
          <w:numId w:val="2"/>
        </w:numPr>
        <w:spacing w:before="0" w:after="60"/>
        <w:rPr/>
      </w:pPr>
      <w:r>
        <w:rPr>
          <w:rFonts w:eastAsia="Arial" w:cs="Arial"/>
          <w:sz w:val="22"/>
          <w:szCs w:val="22"/>
        </w:rPr>
        <w:t>Compare the cluster distribution relative to the threshold lines to assess which parts of the site meet conservation targets.</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E8577"/>
        <w:sz w:val="16"/>
        <w:szCs w:val="16"/>
      </w:rPr>
      <w:t xml:space="preserve">NRG Web Tools — User Manual  —  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E8577"/>
        <w:sz w:val="16"/>
        <w:szCs w:val="16"/>
      </w:rPr>
      <w:t xml:space="preserve">NRG Web Tools — User Manual  —  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20" w:after="180"/>
      <w:outlineLvl w:val="0"/>
    </w:pPr>
    <w:rPr>
      <w:rFonts w:ascii="Arial" w:hAnsi="Arial" w:eastAsia="Arial" w:cs="Arial"/>
      <w:b/>
      <w:bCs/>
      <w:color w:val="3A4A52"/>
      <w:sz w:val="30"/>
      <w:szCs w:val="30"/>
    </w:rPr>
  </w:style>
  <w:style w:type="paragraph" w:styleId="Heading2">
    <w:name w:val="Heading 2"/>
    <w:basedOn w:val="Heading"/>
    <w:qFormat/>
    <w:pPr>
      <w:spacing w:before="240" w:after="140"/>
      <w:outlineLvl w:val="1"/>
    </w:pPr>
    <w:rPr>
      <w:rFonts w:ascii="Arial" w:hAnsi="Arial" w:eastAsia="Arial" w:cs="Arial"/>
      <w:b/>
      <w:bCs/>
      <w:color w:val="4A7A8A"/>
      <w:sz w:val="26"/>
      <w:szCs w:val="26"/>
    </w:rPr>
  </w:style>
  <w:style w:type="paragraph" w:styleId="Heading3">
    <w:name w:val="Heading 3"/>
    <w:basedOn w:val="Heading"/>
    <w:qFormat/>
    <w:pPr>
      <w:spacing w:before="200" w:after="120"/>
      <w:outlineLvl w:val="2"/>
    </w:pPr>
    <w:rPr>
      <w:rFonts w:ascii="Arial" w:hAnsi="Arial" w:eastAsia="Arial" w:cs="Arial"/>
      <w:b/>
      <w:bCs/>
      <w:color w:val="8E8577"/>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2826</Words>
  <Characters>15346</Characters>
  <CharactersWithSpaces>17878</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2026-05-15T09:35:32Z</dcterms:created>
  <dc:creator>Un-named</dc:creator>
  <dc:description/>
  <dc:language>en-GB</dc:language>
  <cp:lastModifiedBy/>
  <dcterms:modified xsi:type="dcterms:W3CDTF">2026-05-15T10:38:55Z</dcterms:modified>
  <cp:revision>2</cp:revision>
  <dc:subject/>
  <dc:title/>
</cp:coreProperties>
</file>