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C8B878"/>
          <w:sz w:val="28"/>
          <w:szCs w:val="28"/>
        </w:rPr>
        <w:t xml:space="preserve">Newborough Warren</w:t>
      </w:r>
    </w:p>
    <w:p>
      <w:pPr>
        <w:spacing w:after="120"/>
        <w:jc w:val="center"/>
      </w:pPr>
      <w:r>
        <w:rPr>
          <w:rFonts w:ascii="Arial" w:cs="Arial" w:eastAsia="Arial" w:hAnsi="Arial"/>
          <w:color w:val="4A7A8A"/>
          <w:sz w:val="28"/>
          <w:szCs w:val="28"/>
        </w:rPr>
        <w:t xml:space="preserve">Interactive Web Tools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3A4A52"/>
          <w:sz w:val="52"/>
          <w:szCs w:val="52"/>
        </w:rPr>
        <w:t xml:space="preserve">Technical Note</w:t>
      </w:r>
    </w:p>
    <w:p>
      <w:pPr>
        <w:spacing w:after="300"/>
        <w:jc w:val="center"/>
      </w:pPr>
      <w:r>
        <w:rPr>
          <w:rFonts w:ascii="Arial" w:cs="Arial" w:eastAsia="Arial" w:hAnsi="Arial"/>
          <w:i/>
          <w:iCs/>
          <w:color w:val="8E8577"/>
          <w:sz w:val="26"/>
          <w:szCs w:val="26"/>
        </w:rPr>
        <w:t xml:space="preserve">Model Equations · Data Architecture · Rendering</w:t>
      </w:r>
    </w:p>
    <w:p>
      <w:pPr>
        <w:spacing w:after="60"/>
        <w:jc w:val="center"/>
      </w:pPr>
      <w:r>
        <w:rPr>
          <w:rFonts w:ascii="Arial" w:cs="Arial" w:eastAsia="Arial" w:hAnsi="Arial"/>
          <w:color w:val="8E8577"/>
          <w:sz w:val="22"/>
          <w:szCs w:val="22"/>
        </w:rPr>
        <w:t xml:space="preserve">Hollingham (2026)</w:t>
      </w:r>
    </w:p>
    <w:p>
      <w:pPr>
        <w:spacing w:after="60"/>
        <w:jc w:val="center"/>
      </w:pPr>
      <w:r>
        <w:rPr>
          <w:rFonts w:ascii="Arial" w:cs="Arial" w:eastAsia="Arial" w:hAnsi="Arial"/>
          <w:color w:val="8E8577"/>
          <w:sz w:val="22"/>
          <w:szCs w:val="22"/>
        </w:rPr>
        <w:t xml:space="preserve">May 2026</w:t>
      </w:r>
    </w:p>
    <w:p>
      <w:r>
        <w:br w:type="page"/>
      </w:r>
    </w:p>
    <w:p>
      <w:pPr>
        <w:spacing w:after="60"/>
      </w:pPr>
    </w:p>
    <w:p>
      <w:pPr>
        <w:spacing w:after="60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color w:val="4A7A8A"/>
          <w:sz w:val="28"/>
          <w:szCs w:val="28"/>
        </w:rPr>
        <w:t xml:space="preserve">Part A</w:t>
      </w:r>
    </w:p>
    <w:p>
      <w:pPr>
        <w:pBdr>
          <w:bottom w:val="single" w:color="C8B878" w:sz="6" w:space="1"/>
        </w:pBdr>
        <w:spacing w:after="300"/>
        <w:jc w:val="left"/>
      </w:pPr>
      <w:r>
        <w:rPr>
          <w:rFonts w:ascii="Arial" w:cs="Arial" w:eastAsia="Arial" w:hAnsi="Arial"/>
          <w:b/>
          <w:bCs/>
          <w:color w:val="3A4A52"/>
          <w:sz w:val="40"/>
          <w:szCs w:val="40"/>
        </w:rPr>
        <w:t xml:space="preserve">Groundwater Flooding Forecaster</w:t>
      </w:r>
    </w:p>
    <w:p>
      <w:pPr>
        <w:spacing w:after="60"/>
      </w:pPr>
    </w:p>
    <w:p>
      <w:pPr>
        <w:pStyle w:val="Heading1"/>
      </w:pPr>
      <w:r>
        <w:t xml:space="preserve">A1. Overview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Groundwater Flooding Forecaster (forecaster.html) is a single-page application built as a standalone HTML file with embedded JavaScript, CSS, and a JSON data bundle. It was generated by Script 11b (build_forecaster_html) from the NRG analysis pipeline. All model coefficients, well metadata, map geometry, and climatological baselines are baked into a single DATA constant at build time.</w:t>
      </w:r>
    </w:p>
    <w:p>
      <w:pPr>
        <w:pStyle w:val="Heading1"/>
      </w:pPr>
      <w:r>
        <w:t xml:space="preserve">A2. Data Bundle Structure</w:t>
      </w:r>
    </w:p>
    <w:p>
      <w:pPr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A4A5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A4A5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Contents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cluster_coeffs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Per-cluster SSM coefficients (b1, b2, b3), peak month, P_flood linear-form slope A and intercept B, climatological horizon rainfall, and horizon length. Five clusters: C1 (Lake Edge), C2 (Dune), C3 (Western Residual), C4 (Main Forest), C5 (Coastal Forest).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block_tf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Seasonal transfer-function coefficients (b1, b2, c, R²) for each geographic block, split into winter and summer sub-models.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P_clim / PET_clim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Monthly climatological precipitation and PET (mm), keyed 1–12, from RAF Valley 2005–2026 means.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winter_climatology_mm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Mean Oct–Mar cumulative rainfall (514.6 mm), the denominator for λ.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wells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Array of 69 well objects with coordinates, elevation, cluster, default depths, and per-well SSM/P_flood coefficients where available.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base_layer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Map extent, Base64 hillshade PNG, and KML feature polylines with styling.</w:t>
            </w:r>
          </w:p>
        </w:tc>
      </w:tr>
    </w:tbl>
    <w:p>
      <w:pPr>
        <w:pStyle w:val="Heading1"/>
      </w:pPr>
      <w:r>
        <w:t xml:space="preserve">A3. Model Equations</w:t>
      </w:r>
    </w:p>
    <w:p>
      <w:pPr>
        <w:pStyle w:val="Heading2"/>
      </w:pPr>
      <w:r>
        <w:t xml:space="preserve">A3.1 Monthly state-space model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core recurrence relation steps groundwater head forward one month:</w:t>
      </w:r>
    </w:p>
    <w:p>
      <w:pPr>
        <w:spacing w:after="200"/>
        <w:jc w:val="center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h(t) = α · h(t−1) + b₁ · λ · P_clim(t) − b₂ · PET_clim(t)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where α = 1 − b₃, h is head relative to ground (negative = below), P_clim and PET_clim are monthly means, and λ is the rainfall multiplier. Coefficients are available at both cluster and per-well resolution.</w:t>
      </w:r>
    </w:p>
    <w:p>
      <w:pPr>
        <w:pStyle w:val="Heading2"/>
      </w:pPr>
      <w:r>
        <w:t xml:space="preserve">A3.2 Block transfer functions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At the block level, seasonal transfer functions provide a simpler regression:</w:t>
      </w:r>
    </w:p>
    <w:p>
      <w:pPr>
        <w:spacing w:after="200"/>
        <w:jc w:val="center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Winter peak:  h_peak = b₁ · P_winter + b₂ · h_min(summer) + c</w:t>
      </w:r>
    </w:p>
    <w:p>
      <w:pPr>
        <w:spacing w:after="200"/>
        <w:jc w:val="center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Summer min:   h_min  = b₁ · P_summer + b₂ · h_max(winter) + c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R² values range from 0.40 (Lake Edge winter) to 0.91 (Forest summer). When R² &lt; 0.50 the forecast card displays a low-explanatory-power caveat.</w:t>
      </w:r>
    </w:p>
    <w:p>
      <w:pPr>
        <w:pStyle w:val="Heading2"/>
      </w:pPr>
      <w:r>
        <w:t xml:space="preserve">A3.3 P_flood linear form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Cumulative rainfall to bring groundwater to the surface:</w:t>
      </w:r>
    </w:p>
    <w:p>
      <w:pPr>
        <w:spacing w:after="200"/>
        <w:jc w:val="center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P_flood (mm) = A · d + B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where d is depth below ground (m, positive), A is slope (mm/m), and B is intercept (mm). The result is normalised as λ = P_flood / P_clim_total.</w:t>
      </w:r>
    </w:p>
    <w:p>
      <w:pPr>
        <w:pStyle w:val="Heading1"/>
      </w:pPr>
      <w:r>
        <w:t xml:space="preserve">A4. Cluster and Block Mapping</w:t>
      </w:r>
    </w:p>
    <w:p>
      <w:pPr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2600"/>
        <w:gridCol w:w="1300"/>
        <w:gridCol w:w="1326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A4A5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Cluster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A4A5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Label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A4A5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Block TF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A4A5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Peak</w:t>
            </w:r>
          </w:p>
        </w:tc>
        <w:tc>
          <w:tcPr>
            <w:tcW w:type="dxa" w:w="1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A4A5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Horizon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C1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Lake 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Lake_Edge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Feb</w:t>
            </w:r>
          </w:p>
        </w:tc>
        <w:tc>
          <w:tcPr>
            <w:tcW w:type="dxa" w:w="1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 mo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C2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Dune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Eastern_Block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Feb</w:t>
            </w:r>
          </w:p>
        </w:tc>
        <w:tc>
          <w:tcPr>
            <w:tcW w:type="dxa" w:w="1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 mo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C3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Western Residual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Western_Block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</w:t>
            </w:r>
          </w:p>
        </w:tc>
        <w:tc>
          <w:tcPr>
            <w:tcW w:type="dxa" w:w="1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 mo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C4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Main Forest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Forest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</w:t>
            </w:r>
          </w:p>
        </w:tc>
        <w:tc>
          <w:tcPr>
            <w:tcW w:type="dxa" w:w="1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 mo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C5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Coastal Forest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Coastal_Forest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</w:t>
            </w:r>
          </w:p>
        </w:tc>
        <w:tc>
          <w:tcPr>
            <w:tcW w:type="dxa" w:w="1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 mo</w:t>
            </w:r>
          </w:p>
        </w:tc>
      </w:tr>
    </w:tbl>
    <w:p>
      <w:pPr>
        <w:pStyle w:val="Heading1"/>
      </w:pPr>
      <w:r>
        <w:t xml:space="preserve">A5. Live Met Office Integration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On initialisation, loadLiveData() fetches RAF Valley station data. The parser handles estimated values (asterisk-suffixed) and missing data (“---”). buildLiveBanner() computes Oct–Mar cumulative totals for current and prior hydrological winters, deriving λ = observed / climatological. The display adapts by calendar month (Oct–Dec emphasises the previous winter; Jan–Apr the current; May–Sep the most recently completed).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If the fetch fails, a manual fallback modal accepts pasted valleydata.txt and parses it identically.</w:t>
      </w:r>
    </w:p>
    <w:p>
      <w:pPr>
        <w:pStyle w:val="Heading1"/>
      </w:pPr>
      <w:r>
        <w:t xml:space="preserve">A6. Map Rendering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map uses a fixed SVG viewBox (1000 × 900) with OSGB coordinates (E 240100–243900, N 362100–365900). Rendering layers: (1) Base64 hillshade PNG at 85% opacity, (2) KML polylines/polygons, (3) well dots coloured by P_flood category, re-rendered on every slider change.</w:t>
      </w:r>
    </w:p>
    <w:p>
      <w:pPr>
        <w:pStyle w:val="Heading1"/>
      </w:pPr>
      <w:r>
        <w:t xml:space="preserve">A7. Build Provenance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Script 11b assembles SSM coefficients (Script 03), block transfer functions (Tables 8/9), cluster metadata, hillshade, KML features, and RAF Valley climatology into a single .html file. Google Fonts (Libre Baskerville, Source Sans 3, JetBrains Mono) are the only external resource; the tool degrades gracefully without them.</w:t>
      </w:r>
    </w:p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Citation: Hollingham, M. (2026). Hydrogeological Dynamics, Behavioural Clustering and Management Intervention Analysis at Newborough Warren Coastal Sand Dune Aquifer, Wales.</w:t>
      </w:r>
    </w:p>
    <w:p>
      <w:r>
        <w:br w:type="page"/>
      </w:r>
    </w:p>
    <w:p>
      <w:pPr>
        <w:spacing w:after="60"/>
      </w:pPr>
    </w:p>
    <w:p>
      <w:pPr>
        <w:spacing w:after="60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color w:val="4A7A8A"/>
          <w:sz w:val="28"/>
          <w:szCs w:val="28"/>
        </w:rPr>
        <w:t xml:space="preserve">Part B</w:t>
      </w:r>
    </w:p>
    <w:p>
      <w:pPr>
        <w:pBdr>
          <w:bottom w:val="single" w:color="C8B878" w:sz="6" w:space="1"/>
        </w:pBdr>
        <w:spacing w:after="300"/>
        <w:jc w:val="left"/>
      </w:pPr>
      <w:r>
        <w:rPr>
          <w:rFonts w:ascii="Arial" w:cs="Arial" w:eastAsia="Arial" w:hAnsi="Arial"/>
          <w:b/>
          <w:bCs/>
          <w:color w:val="3A4A52"/>
          <w:sz w:val="40"/>
          <w:szCs w:val="40"/>
        </w:rPr>
        <w:t xml:space="preserve">Hydrological Scenario Viewer</w:t>
      </w:r>
    </w:p>
    <w:p>
      <w:pPr>
        <w:spacing w:after="60"/>
      </w:pPr>
    </w:p>
    <w:p>
      <w:pPr>
        <w:pStyle w:val="Heading1"/>
      </w:pPr>
      <w:r>
        <w:t xml:space="preserve">B1. Overview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Scenario Viewer (scenario_viewer.html) is generated by Script 19 (19_spatial_groundwater.py, v2.4.2). All computation is client-side JavaScript; no server requests are made after the initial page load.</w:t>
      </w:r>
    </w:p>
    <w:p>
      <w:pPr>
        <w:pStyle w:val="Heading1"/>
      </w:pPr>
      <w:r>
        <w:t xml:space="preserve">B2. Physical Constants</w:t>
      </w:r>
    </w:p>
    <w:p>
      <w:pPr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26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A4A5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A4A5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 and source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Hydraulic conductivity K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 m/day (Betson et al. 2002)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Forest interception (Corsican pine)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24% (Freeman 2008)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Broadleaf interception (deciduous)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15% annual mean (Komatsu et al. 2011)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Sy floor (C1 / C2–C5)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6% / 12%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Ridge mask threshold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 m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Excluded wells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ceh12 (bedrock), ceh15 (forest slack edge)</w:t>
            </w:r>
          </w:p>
        </w:tc>
      </w:tr>
    </w:tbl>
    <w:p>
      <w:pPr>
        <w:pStyle w:val="Heading1"/>
      </w:pPr>
      <w:r>
        <w:t xml:space="preserve">B3. Δh Model Equation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For each well, baseline equilibrium net recharge is:</w:t>
      </w:r>
    </w:p>
    <w:p>
      <w:pPr>
        <w:spacing w:after="200"/>
        <w:jc w:val="center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net₀ = b₁ · P_eff₀ − b₂ · PET₀ − b₃ · |h|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Under a scenario:</w:t>
      </w:r>
    </w:p>
    <w:p>
      <w:pPr>
        <w:spacing w:after="200"/>
        <w:jc w:val="center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net_sc = b₁ · P_eff_sc − b₂_sc · PET_sc − b₃ · |h|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where P_eff_sc = P × sP × (1 − I_scenario) for forest wells, PET_sc = PET × sPET, and b₂_sc = b₂ × sB₂. The per-well Δh = net_sc − net₀. For the annual season, Δh is the unweighted mean of winter and summer values. The b₃ drainage term cancels in the difference.</w:t>
      </w:r>
    </w:p>
    <w:p>
      <w:pPr>
        <w:pStyle w:val="Heading1"/>
      </w:pPr>
      <w:r>
        <w:t xml:space="preserve">B4. Scenario Parameter Sets</w:t>
      </w:r>
    </w:p>
    <w:p>
      <w:pPr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100"/>
        <w:gridCol w:w="1100"/>
        <w:gridCol w:w="1100"/>
        <w:gridCol w:w="1100"/>
        <w:gridCol w:w="1100"/>
        <w:gridCol w:w="152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A4A5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Scenario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A4A5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sP_w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A4A5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sP_s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A4A5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sPET_w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A4A5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sPET_s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A4A5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I_c4/c5</w:t>
            </w:r>
          </w:p>
        </w:tc>
        <w:tc>
          <w:tcPr>
            <w:tcW w:type="dxa" w:w="1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A4A5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sB2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Baseline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0.24</w:t>
            </w:r>
          </w:p>
        </w:tc>
        <w:tc>
          <w:tcPr>
            <w:tcW w:type="dxa" w:w="1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1.00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UKCP18 2050s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1.10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0.85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1.05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1.20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0.24</w:t>
            </w:r>
          </w:p>
        </w:tc>
        <w:tc>
          <w:tcPr>
            <w:tcW w:type="dxa" w:w="1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1.00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UKCP18 2080s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1.20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0.70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1.10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1.35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0.24</w:t>
            </w:r>
          </w:p>
        </w:tc>
        <w:tc>
          <w:tcPr>
            <w:tcW w:type="dxa" w:w="1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1.00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Clearfell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0.00</w:t>
            </w:r>
          </w:p>
        </w:tc>
        <w:tc>
          <w:tcPr>
            <w:tcW w:type="dxa" w:w="1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1.20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Broadleaf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0.15</w:t>
            </w:r>
          </w:p>
        </w:tc>
        <w:tc>
          <w:tcPr>
            <w:tcW w:type="dxa" w:w="1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1.00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Thinning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0.12</w:t>
            </w:r>
          </w:p>
        </w:tc>
        <w:tc>
          <w:tcPr>
            <w:tcW w:type="dxa" w:w="1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1.10</w:t>
            </w:r>
          </w:p>
        </w:tc>
      </w:tr>
    </w:tbl>
    <w:p>
      <w:pPr>
        <w:pStyle w:val="Heading1"/>
      </w:pPr>
      <w:r>
        <w:t xml:space="preserve">B5. Spatial Interpolation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map surface uses inverse-distance-weighted (IDW) interpolation with power 1 and k = 8 nearest neighbours. A minimum distance floor of 10 m prevents singularities; points within 5 m of a well return the well’s exact value. Interpolation is constrained to the site boundary polygon.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In depth mode, a DEM grid (160 × 110 cells) provides the ground surface. Depth = DEM elevation minus IDW head. Ridge masking suppresses rendering where DEM exceeds the IDW-interpolated DEM surface by &gt; 1.0 m.</w:t>
      </w:r>
    </w:p>
    <w:p>
      <w:pPr>
        <w:pStyle w:val="Heading1"/>
      </w:pPr>
      <w:r>
        <w:t xml:space="preserve">B6. Data Bundle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WELLS: well objects with name, cluster, coordinates, seasonal heads, Sy, SSM coefficients, DEM ground elevation.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POLYS: KML polygons (site boundary, forest, clearfell, broadleaf, lake).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CLIMATE: seasonal baselines (P/PET), cluster heads, cluster betas, monthly climatology.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DEM_GRID: downsampled elevation grid for ridge masking and depth mode.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HILLSHADE: Base64 RGBA PNG (1100 × 750 px), site-masked, 32 grey levels.</w:t>
      </w:r>
    </w:p>
    <w:p>
      <w:pPr>
        <w:pStyle w:val="Heading1"/>
      </w:pPr>
      <w:r>
        <w:t xml:space="preserve">B7. Viewer Extent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Fixed at E 240200–243700, N 362400–364800 (OSGB36), covering all 69 wells. Canvas default 640 × 440 px, resizable. A parallel CSV (19_scenario_summary.csv) mirrors the viewer’s calculations for the manuscript.</w:t>
      </w:r>
    </w:p>
    <w:p>
      <w:pPr>
        <w:pStyle w:val="Heading1"/>
      </w:pPr>
      <w:r>
        <w:t xml:space="preserve">B8. Build Provenance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Script 19 assembles data from Scripts 00, 01, 03, 17, 18, and site GIS layers.</w:t>
      </w:r>
    </w:p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Citation: Hollingham, M. (2026). Hydrogeological Dynamics, Behavioural Clustering and Management Intervention Analysis at Newborough Warren Coastal Sand Dune Aquifer, Wales.</w:t>
      </w:r>
    </w:p>
    <w:p>
      <w:r>
        <w:br w:type="page"/>
      </w:r>
    </w:p>
    <w:p>
      <w:pPr>
        <w:spacing w:after="60"/>
      </w:pPr>
    </w:p>
    <w:p>
      <w:pPr>
        <w:spacing w:after="60"/>
      </w:pPr>
    </w:p>
    <w:p>
      <w:pPr>
        <w:spacing w:after="80"/>
        <w:jc w:val="left"/>
      </w:pPr>
      <w:r>
        <w:rPr>
          <w:rFonts w:ascii="Arial" w:cs="Arial" w:eastAsia="Arial" w:hAnsi="Arial"/>
          <w:b/>
          <w:bCs/>
          <w:color w:val="4A7A8A"/>
          <w:sz w:val="28"/>
          <w:szCs w:val="28"/>
        </w:rPr>
        <w:t xml:space="preserve">Part C</w:t>
      </w:r>
    </w:p>
    <w:p>
      <w:pPr>
        <w:pBdr>
          <w:bottom w:val="single" w:color="C8B878" w:sz="6" w:space="1"/>
        </w:pBdr>
        <w:spacing w:after="300"/>
        <w:jc w:val="left"/>
      </w:pPr>
      <w:r>
        <w:rPr>
          <w:rFonts w:ascii="Arial" w:cs="Arial" w:eastAsia="Arial" w:hAnsi="Arial"/>
          <w:b/>
          <w:bCs/>
          <w:color w:val="3A4A52"/>
          <w:sz w:val="40"/>
          <w:szCs w:val="40"/>
        </w:rPr>
        <w:t xml:space="preserve">Seasonal Extremes Scatter</w:t>
      </w:r>
    </w:p>
    <w:p>
      <w:pPr>
        <w:spacing w:after="60"/>
      </w:pPr>
    </w:p>
    <w:p>
      <w:pPr>
        <w:pStyle w:val="Heading1"/>
      </w:pPr>
      <w:r>
        <w:t xml:space="preserve">C1. Overview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seasonal extremes scatter (14_seasonal_extremes_scatter.html) is generated by Script 14 (14_climate_projections.py, v1.1.0). It reads per-well summary statistics from the well network table (00_well_network_table.csv) and cluster assignments from 02_cluster_stats.csv.</w:t>
      </w:r>
    </w:p>
    <w:p>
      <w:pPr>
        <w:pStyle w:val="Heading1"/>
      </w:pPr>
      <w:r>
        <w:t xml:space="preserve">C2. Data Sources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Mean_Summer_Min_m: mean of annual summer (Apr–Sep) minimum water-table depths, 2005–2026, per well. Values in metres relative to pipe top (negative = below).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Mean_Winter_Max_m: mean of annual winter (Oct–Mar) maximum depths, computed identically.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Cluster: from 02_cluster_stats.csv. Unmatched wells labelled “UNKNOWN”.</w:t>
      </w:r>
    </w:p>
    <w:p>
      <w:pPr>
        <w:pStyle w:val="Heading1"/>
      </w:pPr>
      <w:r>
        <w:t xml:space="preserve">C3. Threshold Definitions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Ecological thresholds from Curreli et al. (2013), imported from utils/config.py:</w:t>
      </w:r>
    </w:p>
    <w:p>
      <w:pPr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113"/>
        <w:gridCol w:w="3113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A4A5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Constant</w:t>
            </w:r>
          </w:p>
        </w:tc>
        <w:tc>
          <w:tcPr>
            <w:tcW w:type="dxa" w:w="31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A4A5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 (m)</w:t>
            </w:r>
          </w:p>
        </w:tc>
        <w:tc>
          <w:tcPr>
            <w:tcW w:type="dxa" w:w="31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A4A5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SD15b (summer)</w:t>
            </w:r>
          </w:p>
        </w:tc>
        <w:tc>
          <w:tcPr>
            <w:tcW w:type="dxa" w:w="31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0.61</w:t>
            </w:r>
          </w:p>
        </w:tc>
        <w:tc>
          <w:tcPr>
            <w:tcW w:type="dxa" w:w="31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Summer minimum viability limit for wet dune slack.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SD16 (summer)</w:t>
            </w:r>
          </w:p>
        </w:tc>
        <w:tc>
          <w:tcPr>
            <w:tcW w:type="dxa" w:w="31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0.98</w:t>
            </w:r>
          </w:p>
        </w:tc>
        <w:tc>
          <w:tcPr>
            <w:tcW w:type="dxa" w:w="31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Summer minimum viability limit for dry dune slack.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SD15b_WINTER</w:t>
            </w:r>
          </w:p>
        </w:tc>
        <w:tc>
          <w:tcPr>
            <w:tcW w:type="dxa" w:w="31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0.10</w:t>
            </w:r>
          </w:p>
        </w:tc>
        <w:tc>
          <w:tcPr>
            <w:tcW w:type="dxa" w:w="31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Winter maximum flooding threshold for wet slack.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SD16_WINTER</w:t>
            </w:r>
          </w:p>
        </w:tc>
        <w:tc>
          <w:tcPr>
            <w:tcW w:type="dxa" w:w="31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0.25</w:t>
            </w:r>
          </w:p>
        </w:tc>
        <w:tc>
          <w:tcPr>
            <w:tcW w:type="dxa" w:w="31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Winter maximum flooding threshold for dry slack.</w:t>
            </w:r>
          </w:p>
        </w:tc>
      </w:tr>
    </w:tbl>
    <w:p>
      <w:pPr>
        <w:pStyle w:val="Heading1"/>
      </w:pPr>
      <w:r>
        <w:t xml:space="preserve">C4. Chart Implementation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Uses Chart.js 4.4.1 from cdnjs. Well data serialised as JSON point objects. A custom plugin (thresholdPlugin) draws the four threshold lines after the scatter data. The search mechanism rebuilds datasets with modified colours and radii: matched well in orange (#ff6600) at radius 13, others at 33% opacity.</w:t>
      </w:r>
    </w:p>
    <w:p>
      <w:pPr>
        <w:pStyle w:val="Heading1"/>
      </w:pPr>
      <w:r>
        <w:t xml:space="preserve">C5. Cluster Styling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Colours, labels, and markers defined in utils/config.py (CLUSTER_COLOURS, CLUSTER_LABELS, CLUSTER_MARKERS) as the single source of truth. Five clusters under the k = 5 partition: C1 Lake Edge, C2 Dune, C3 Western Residual, C4 Main Forest, C5 Coastal Forest.</w:t>
      </w:r>
    </w:p>
    <w:p>
      <w:pPr>
        <w:pStyle w:val="Heading1"/>
      </w:pPr>
      <w:r>
        <w:t xml:space="preserve">C6. Build Provenance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Script 14 also produces static PNG figures (summer trajectory, winter flooding, stacked two-panel), a summer trend CSV, annual extremes CSV, and winter exceedance summary. The scatter HTML is an additional interactive output complementing these.</w:t>
      </w:r>
    </w:p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Citation: Hollingham, M. (2026). Hydrogeological Dynamics, Behavioural Clustering and Management Intervention Analysis at Newborough Warren Coastal Sand Dune Aquifer, Wales.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E8577"/>
        <w:sz w:val="16"/>
        <w:szCs w:val="16"/>
      </w:rPr>
      <w:t xml:space="preserve">NRG Web Tools — Technical Note  —  </w:t>
    </w:r>
    <w:r>
      <w:rPr>
        <w:rFonts w:ascii="Arial" w:cs="Arial" w:eastAsia="Arial" w:hAnsi="Arial"/>
        <w:color w:val="8E8577"/>
        <w:sz w:val="16"/>
        <w:szCs w:val="16"/>
      </w:rPr>
      <w:t xml:space="preserve">Page </w:t>
    </w:r>
    <w:r>
      <w:rPr>
        <w:rFonts w:ascii="Arial" w:cs="Arial" w:eastAsia="Arial" w:hAnsi="Arial"/>
        <w:color w:val="8E85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20"/>
      <w:outlineLvl w:val="0"/>
    </w:pPr>
    <w:rPr>
      <w:rFonts w:ascii="Arial" w:cs="Arial" w:eastAsia="Arial" w:hAnsi="Arial"/>
      <w:b/>
      <w:bCs/>
      <w:color w:val="3A4A52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Arial" w:cs="Arial" w:eastAsia="Arial" w:hAnsi="Arial"/>
      <w:b/>
      <w:bCs/>
      <w:color w:val="4A7A8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8E857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2026-05-06T09:28:39.456Z</dcterms:created>
  <dcterms:modified xsi:type="dcterms:W3CDTF">2026-05-06T09:28:39.456Z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