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supporting-information"/>
      <w:r>
        <w:rPr/>
        <w:t>Supporting Information</w:t>
      </w:r>
    </w:p>
    <w:p>
      <w:pPr>
        <w:pStyle w:val="Heading2"/>
        <w:rPr/>
      </w:pPr>
      <w:bookmarkStart w:id="1" w:name="Xc695a52bb1f046d50d11069faae5fb4a6a6b36c"/>
      <w:r>
        <w:rPr/>
        <w:t xml:space="preserve">Hollingham (2026), Paper 1 — </w:t>
      </w:r>
      <w:r>
        <w:rPr>
          <w:i/>
          <w:iCs/>
        </w:rPr>
        <w:t>A parameter-sparse state-space framework for aquifer characterization from long-term manual dipwell records: a 21-year case study at Newborough Warren</w:t>
      </w:r>
    </w:p>
    <w:p>
      <w:pPr>
        <w:pStyle w:val="FirstParagraph"/>
        <w:rPr/>
      </w:pPr>
      <w:r>
        <w:rPr/>
        <w:t>This Supporting Information document gives the methodological detail underlying the analyses reported in the main text. It is self-contained: every parameter, equation, and design choice that supports a result in the manuscript is laid out here. Section numbers in the manuscript refer back to the headed sections here (S1–S16).</w:t>
      </w:r>
    </w:p>
    <w:p>
      <w:pPr>
        <w:pStyle w:val="BodyText"/>
        <w:rPr/>
      </w:pPr>
      <w:bookmarkStart w:id="2" w:name="Xc695a52bb1f046d50d11069faae5fb4a6a6b36c"/>
      <w:r>
        <w:rPr/>
        <w:t>The pipeline and outputs are archived in full (Section S15). The headline numerical values used in the manuscript are reproduced live from the pipeline output CSVs cited at the foot of each section, and are unchanged at the time of submission.</w:t>
      </w:r>
      <w:bookmarkEnd w:id="2"/>
    </w:p>
    <w:p>
      <w:pPr>
        <w:pStyle w:val="Heading2"/>
        <w:rPr/>
      </w:pPr>
      <w:r>
        <w:rPr/>
        <w:t>Contents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70"/>
        <w:gridCol w:w="689"/>
      </w:tblGrid>
      <w:tr>
        <w:trPr>
          <w:tblHeader w:val="true"/>
        </w:trPr>
        <w:tc>
          <w:tcPr>
            <w:tcW w:w="867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Section</w:t>
            </w:r>
          </w:p>
        </w:tc>
        <w:tc>
          <w:tcPr>
            <w:tcW w:w="689"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Page</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 Field protocol, data preparation, and date semantics</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S2. Constants and configuration</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S3. Behavioural clustering and the </w:t>
            </w:r>
            <w:r>
              <w:rPr>
                <w:rFonts w:eastAsia="Calibri" w:cs=""/>
                <w:i/>
                <w:iCs/>
                <w:kern w:val="0"/>
                <w:sz w:val="24"/>
                <w:szCs w:val="24"/>
                <w:lang w:val="en-US" w:eastAsia="en-US" w:bidi="ar-SA"/>
              </w:rPr>
              <w:t>k</w:t>
            </w:r>
            <w:r>
              <w:rPr>
                <w:rFonts w:eastAsia="Calibri" w:cs=""/>
                <w:kern w:val="0"/>
                <w:sz w:val="24"/>
                <w:szCs w:val="24"/>
                <w:lang w:val="en-US" w:eastAsia="en-US" w:bidi="ar-SA"/>
              </w:rPr>
              <w:t xml:space="preserve"> = 5 partition</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5</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S4. Pearson affinity audit and spatial confidence</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7</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S5. The state-space model — displacement formulation</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7</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S6. SSM regression: per-well and cluster-mean fits, with LCSC</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10</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S7. SSM vs traditional linear model (benchmarking)</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12</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S8. Spatial interpolation of SSM coefficients</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13</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S9. Residual-field diagnostics</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14</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S10. Water-balance decomposition</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15</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S11. Water-table-fluctuation specific yield</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16</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S12. Mean water-table surface and the Darcy flow field</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18</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S13. Coastal-retreat gradient regression</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19</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S14. Forest-interception drawdown reach (Figure 17)</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21</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S15. Software, parameters and reproducibility</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22</w:t>
            </w:r>
          </w:p>
        </w:tc>
      </w:tr>
      <w:tr>
        <w:trPr/>
        <w:tc>
          <w:tcPr>
            <w:tcW w:w="86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S16. Supplementary references</w:t>
            </w:r>
          </w:p>
        </w:tc>
        <w:tc>
          <w:tcPr>
            <w:tcW w:w="689"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23</w:t>
            </w:r>
            <w:bookmarkStart w:id="3" w:name="contents"/>
            <w:bookmarkEnd w:id="3"/>
          </w:p>
        </w:tc>
      </w:tr>
    </w:tbl>
    <w:p>
      <w:pPr>
        <w:pStyle w:val="Heading2"/>
        <w:rPr/>
      </w:pPr>
      <w:r>
        <w:rPr/>
        <w:t>S1. Field protocol, data preparation, and date semantics</w:t>
      </w:r>
    </w:p>
    <w:p>
      <w:pPr>
        <w:pStyle w:val="FirstParagraph"/>
        <w:rPr/>
      </w:pPr>
      <w:r>
        <w:rPr/>
        <w:t xml:space="preserve">The 88-well manual dipwell network is read monthly by the author. Readings are taken at the </w:t>
      </w:r>
      <w:r>
        <w:rPr>
          <w:b/>
          <w:bCs/>
        </w:rPr>
        <w:t>end of each month</w:t>
      </w:r>
      <w:r>
        <w:rPr/>
        <w:t xml:space="preserve"> — typically the last day of that month, or the first day or two of the following month. Each reading is the water level </w:t>
      </w:r>
      <w:r>
        <w:rPr>
          <w:i/>
          <w:iCs/>
        </w:rPr>
        <w:t>for the month just ended</w:t>
      </w:r>
      <w:r>
        <w:rPr/>
        <w:t xml:space="preserve">: a measurement taken on 1 May 2026 represents the </w:t>
      </w:r>
      <w:r>
        <w:rPr>
          <w:b/>
          <w:bCs/>
        </w:rPr>
        <w:t>April 2026</w:t>
      </w:r>
      <w:r>
        <w:rPr/>
        <w:t xml:space="preserve"> water level. Climate data from RAF Valley Meteorological Station (53°14′32″N, ≈16 km from the site) is a monthly total for the same calendar month: rainfall </w:t>
      </w:r>
      <w:r>
        <w:rPr>
          <w:i/>
          <w:iCs/>
        </w:rPr>
        <w:t>P</w:t>
      </w:r>
      <w:r>
        <w:rPr/>
        <w:t xml:space="preserve"> (mm), and minimum and maximum temperatures from which monthly Thornthwaite PET is computed at the RAF Valley latitude (53.25°).</w:t>
      </w:r>
    </w:p>
    <w:p>
      <w:pPr>
        <w:pStyle w:val="BodyText"/>
        <w:rPr/>
      </w:pPr>
      <w:r>
        <w:rPr>
          <w:b/>
          <w:bCs/>
        </w:rPr>
        <w:t>Bucketing.</w:t>
      </w:r>
      <w:r>
        <w:rPr/>
        <w:t xml:space="preserve"> Readings on physical dates ≤ day 15 of month </w:t>
      </w:r>
      <w:r>
        <w:rPr>
          <w:i/>
          <w:iCs/>
        </w:rPr>
        <w:t>M</w:t>
      </w:r>
      <w:r>
        <w:rPr/>
        <w:t xml:space="preserve"> are bucketed into month </w:t>
      </w:r>
      <w:r>
        <w:rPr>
          <w:i/>
          <w:iCs/>
        </w:rPr>
        <w:t>M</w:t>
      </w:r>
      <w:r>
        <w:rPr/>
        <w:t xml:space="preserve">−1 because they belong to the previous month’s water table. Readings on physical dates &gt; day 15 of month </w:t>
      </w:r>
      <w:r>
        <w:rPr>
          <w:i/>
          <w:iCs/>
        </w:rPr>
        <w:t>M</w:t>
      </w:r>
      <w:r>
        <w:rPr/>
        <w:t xml:space="preserve"> are bucketed into month </w:t>
      </w:r>
      <w:r>
        <w:rPr>
          <w:i/>
          <w:iCs/>
        </w:rPr>
        <w:t>M</w:t>
      </w:r>
      <w:r>
        <w:rPr/>
        <w:t>. The cutoff is at day 15 because field readings are nearly always taken either within the first week of a month or on the last day of the preceding month; day 15 is comfortably in the middle of the gap.</w:t>
      </w:r>
    </w:p>
    <w:p>
      <w:pPr>
        <w:pStyle w:val="BodyText"/>
        <w:rPr/>
      </w:pPr>
      <w:r>
        <w:rPr>
          <w:b/>
          <w:bCs/>
        </w:rPr>
        <w:t>Date semantics.</w:t>
      </w:r>
      <w:r>
        <w:rPr/>
        <w:t xml:space="preserve"> Every monthly timestamp in the pipeline is recorded in </w:t>
      </w:r>
      <w:r>
        <w:rPr>
          <w:rStyle w:val="VerbatimChar"/>
        </w:rPr>
        <w:t>YYYY-MM-01</w:t>
      </w:r>
      <w:r>
        <w:rPr/>
        <w:t xml:space="preserve"> date format. The </w:t>
      </w:r>
      <w:r>
        <w:rPr>
          <w:rStyle w:val="VerbatimChar"/>
        </w:rPr>
        <w:t>-01</w:t>
      </w:r>
      <w:r>
        <w:rPr/>
        <w:t xml:space="preserve"> day component is a formatting convention used to make monthly records machine-readable as dates; it does not refer to the 1st of the month. A row labelled </w:t>
      </w:r>
      <w:r>
        <w:rPr>
          <w:rStyle w:val="VerbatimChar"/>
        </w:rPr>
        <w:t>2007-07-01</w:t>
      </w:r>
      <w:r>
        <w:rPr/>
        <w:t xml:space="preserve"> is “July 2007”: it contains the end-of-July water level and July’s climate totals.</w:t>
      </w:r>
    </w:p>
    <w:p>
      <w:pPr>
        <w:pStyle w:val="BodyText"/>
        <w:rPr/>
      </w:pPr>
      <w:r>
        <w:rPr/>
        <w:t xml:space="preserve">A concrete example for well CEH9, row </w:t>
      </w:r>
      <w:r>
        <w:rPr>
          <w:rStyle w:val="VerbatimChar"/>
        </w:rPr>
        <w:t>2007-07-01</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5"/>
        <w:gridCol w:w="1710"/>
        <w:gridCol w:w="5895"/>
      </w:tblGrid>
      <w:tr>
        <w:trPr>
          <w:tblHeader w:val="true"/>
        </w:trPr>
        <w:tc>
          <w:tcPr>
            <w:tcW w:w="175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Field</w:t>
            </w:r>
          </w:p>
        </w:tc>
        <w:tc>
          <w:tcPr>
            <w:tcW w:w="1710"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Value</w:t>
            </w:r>
          </w:p>
        </w:tc>
        <w:tc>
          <w:tcPr>
            <w:tcW w:w="589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Meaning</w:t>
            </w:r>
          </w:p>
        </w:tc>
      </w:tr>
      <w:tr>
        <w:trPr/>
        <w:tc>
          <w:tcPr>
            <w:tcW w:w="17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h</w:t>
            </w:r>
            <w:r>
              <w:rPr>
                <w:rFonts w:eastAsia="Calibri" w:cs=""/>
                <w:kern w:val="0"/>
                <w:sz w:val="24"/>
                <w:szCs w:val="24"/>
                <w:lang w:val="en-US" w:eastAsia="en-US" w:bidi="ar-SA"/>
              </w:rPr>
              <w:t>(</w:t>
            </w:r>
            <w:r>
              <w:rPr>
                <w:rFonts w:eastAsia="Calibri" w:cs=""/>
                <w:i/>
                <w:iCs/>
                <w:kern w:val="0"/>
                <w:sz w:val="24"/>
                <w:szCs w:val="24"/>
                <w:lang w:val="en-US" w:eastAsia="en-US" w:bidi="ar-SA"/>
              </w:rPr>
              <w:t>t</w:t>
            </w:r>
            <w:r>
              <w:rPr>
                <w:rFonts w:eastAsia="Calibri" w:cs=""/>
                <w:kern w:val="0"/>
                <w:sz w:val="24"/>
                <w:szCs w:val="24"/>
                <w:lang w:val="en-US" w:eastAsia="en-US" w:bidi="ar-SA"/>
              </w:rPr>
              <w:t>)</w:t>
            </w:r>
          </w:p>
        </w:tc>
        <w:tc>
          <w:tcPr>
            <w:tcW w:w="171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−0.610 m</w:t>
            </w:r>
          </w:p>
        </w:tc>
        <w:tc>
          <w:tcPr>
            <w:tcW w:w="58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End-of-July reading</w:t>
            </w:r>
          </w:p>
        </w:tc>
      </w:tr>
      <w:tr>
        <w:trPr/>
        <w:tc>
          <w:tcPr>
            <w:tcW w:w="17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h</w:t>
            </w:r>
            <w:r>
              <w:rPr>
                <w:rFonts w:eastAsia="Calibri" w:cs=""/>
                <w:kern w:val="0"/>
                <w:sz w:val="24"/>
                <w:szCs w:val="24"/>
                <w:lang w:val="en-US" w:eastAsia="en-US" w:bidi="ar-SA"/>
              </w:rPr>
              <w:t>(</w:t>
            </w:r>
            <w:r>
              <w:rPr>
                <w:rFonts w:eastAsia="Calibri" w:cs=""/>
                <w:i/>
                <w:iCs/>
                <w:kern w:val="0"/>
                <w:sz w:val="24"/>
                <w:szCs w:val="24"/>
                <w:lang w:val="en-US" w:eastAsia="en-US" w:bidi="ar-SA"/>
              </w:rPr>
              <w:t>t</w:t>
            </w:r>
            <w:r>
              <w:rPr>
                <w:rFonts w:eastAsia="Calibri" w:cs=""/>
                <w:kern w:val="0"/>
                <w:sz w:val="24"/>
                <w:szCs w:val="24"/>
                <w:lang w:val="en-US" w:eastAsia="en-US" w:bidi="ar-SA"/>
              </w:rPr>
              <w:t>−1)</w:t>
            </w:r>
          </w:p>
        </w:tc>
        <w:tc>
          <w:tcPr>
            <w:tcW w:w="171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−0.440 m</w:t>
            </w:r>
          </w:p>
        </w:tc>
        <w:tc>
          <w:tcPr>
            <w:tcW w:w="58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End-of-June reading</w:t>
            </w:r>
          </w:p>
        </w:tc>
      </w:tr>
      <w:tr>
        <w:trPr/>
        <w:tc>
          <w:tcPr>
            <w:tcW w:w="17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Δ</w:t>
            </w:r>
            <w:r>
              <w:rPr>
                <w:rFonts w:eastAsia="Calibri" w:cs=""/>
                <w:i/>
                <w:iCs/>
                <w:kern w:val="0"/>
                <w:sz w:val="24"/>
                <w:szCs w:val="24"/>
                <w:lang w:val="en-US" w:eastAsia="en-US" w:bidi="ar-SA"/>
              </w:rPr>
              <w:t>h</w:t>
            </w:r>
          </w:p>
        </w:tc>
        <w:tc>
          <w:tcPr>
            <w:tcW w:w="171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−0.170 m</w:t>
            </w:r>
          </w:p>
        </w:tc>
        <w:tc>
          <w:tcPr>
            <w:tcW w:w="58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Water-table change </w:t>
            </w:r>
            <w:r>
              <w:rPr>
                <w:rFonts w:eastAsia="Calibri" w:cs=""/>
                <w:i/>
                <w:iCs/>
                <w:kern w:val="0"/>
                <w:sz w:val="24"/>
                <w:szCs w:val="24"/>
                <w:lang w:val="en-US" w:eastAsia="en-US" w:bidi="ar-SA"/>
              </w:rPr>
              <w:t>during</w:t>
            </w:r>
            <w:r>
              <w:rPr>
                <w:rFonts w:eastAsia="Calibri" w:cs=""/>
                <w:kern w:val="0"/>
                <w:sz w:val="24"/>
                <w:szCs w:val="24"/>
                <w:lang w:val="en-US" w:eastAsia="en-US" w:bidi="ar-SA"/>
              </w:rPr>
              <w:t xml:space="preserve"> July</w:t>
            </w:r>
          </w:p>
        </w:tc>
      </w:tr>
      <w:tr>
        <w:trPr/>
        <w:tc>
          <w:tcPr>
            <w:tcW w:w="17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P</w:t>
            </w:r>
          </w:p>
        </w:tc>
        <w:tc>
          <w:tcPr>
            <w:tcW w:w="171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101.9 mm</w:t>
            </w:r>
          </w:p>
        </w:tc>
        <w:tc>
          <w:tcPr>
            <w:tcW w:w="58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July rainfall total</w:t>
            </w:r>
          </w:p>
        </w:tc>
      </w:tr>
      <w:tr>
        <w:trPr/>
        <w:tc>
          <w:tcPr>
            <w:tcW w:w="17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PET</w:t>
            </w:r>
          </w:p>
        </w:tc>
        <w:tc>
          <w:tcPr>
            <w:tcW w:w="171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98.5 mm</w:t>
            </w:r>
          </w:p>
        </w:tc>
        <w:tc>
          <w:tcPr>
            <w:tcW w:w="58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July Thornthwaite PET</w:t>
            </w:r>
          </w:p>
        </w:tc>
      </w:tr>
      <w:tr>
        <w:trPr/>
        <w:tc>
          <w:tcPr>
            <w:tcW w:w="175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h</w:t>
            </w:r>
            <w:r>
              <w:rPr>
                <w:rFonts w:eastAsia="Calibri" w:cs=""/>
                <w:kern w:val="0"/>
                <w:sz w:val="24"/>
                <w:szCs w:val="24"/>
                <w:lang w:val="en-US" w:eastAsia="en-US" w:bidi="ar-SA"/>
              </w:rPr>
              <w:t>disp,prev</w:t>
            </w:r>
          </w:p>
        </w:tc>
        <w:tc>
          <w:tcPr>
            <w:tcW w:w="171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3.260 m</w:t>
            </w:r>
          </w:p>
        </w:tc>
        <w:tc>
          <w:tcPr>
            <w:tcW w:w="58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3.7 + (−0.440), displacement above drainage datum at end of June</w:t>
            </w:r>
          </w:p>
        </w:tc>
      </w:tr>
    </w:tbl>
    <w:p>
      <w:pPr>
        <w:pStyle w:val="BodyText"/>
        <w:rPr/>
      </w:pPr>
      <w:r>
        <w:rPr/>
        <w:t>The state-space model (Section S5) uses this row to explain July’s 170 mm drop using July’s rainfall, July’s PET, and the water-table position at the start of July (= end of June).</w:t>
      </w:r>
    </w:p>
    <w:p>
      <w:pPr>
        <w:pStyle w:val="BodyText"/>
        <w:rPr/>
      </w:pPr>
      <w:r>
        <w:rPr>
          <w:b/>
          <w:bCs/>
        </w:rPr>
        <w:t>Above-Ordnance-Datum invariance.</w:t>
      </w:r>
      <w:r>
        <w:rPr/>
        <w:t xml:space="preserve"> The above-Ordnance-Datum (mAOD) water-table elevation is a physical quantity independent of the ground surface above it. Removing material from the surface does not move the water table; the mAOD reading is the same before and after. Era-specific data handling is therefore only required where depth-below-ground is the quantity of interest, not where mAOD water-table elevations are being averaged or compared.</w:t>
      </w:r>
    </w:p>
    <w:p>
      <w:pPr>
        <w:pStyle w:val="BodyText"/>
        <w:rPr/>
      </w:pPr>
      <w:r>
        <w:rPr/>
        <w:t>The data-preparation step (</w:t>
      </w:r>
      <w:r>
        <w:rPr>
          <w:rStyle w:val="VerbatimChar"/>
        </w:rPr>
        <w:t>01_data_prep.py</w:t>
      </w:r>
      <w:r>
        <w:rPr/>
        <w:t xml:space="preserve">) reads the three raw inputs — </w:t>
      </w:r>
      <w:r>
        <w:rPr>
          <w:rStyle w:val="VerbatimChar"/>
        </w:rPr>
        <w:t>Newborough_Cleaned_For_Model.csv</w:t>
      </w:r>
      <w:r>
        <w:rPr/>
        <w:t xml:space="preserve"> (water-table records), </w:t>
      </w:r>
      <w:r>
        <w:rPr>
          <w:rStyle w:val="VerbatimChar"/>
        </w:rPr>
        <w:t>Well_locations_height.csv</w:t>
      </w:r>
      <w:r>
        <w:rPr/>
        <w:t xml:space="preserve"> (well coordinates and DEM-derived ground elevations), </w:t>
      </w:r>
      <w:r>
        <w:rPr>
          <w:rStyle w:val="VerbatimChar"/>
        </w:rPr>
        <w:t>RAF_Valley_Climate.csv</w:t>
      </w:r>
      <w:r>
        <w:rPr/>
        <w:t xml:space="preserve"> (monthly rainfall and temperatures) — and produces the cleaned, bucketed, masked frames consumed by every downstream script.</w:t>
      </w:r>
    </w:p>
    <w:p>
      <w:pPr>
        <w:pStyle w:val="Heading3"/>
        <w:rPr/>
      </w:pPr>
      <w:bookmarkStart w:id="4" w:name="s1.3-cleaning-and-gap-rules"/>
      <w:r>
        <w:rPr/>
        <w:t>S1.3 Cleaning and gap rules</w:t>
      </w:r>
    </w:p>
    <w:p>
      <w:pPr>
        <w:pStyle w:val="FirstParagraph"/>
        <w:rPr/>
      </w:pPr>
      <w:r>
        <w:rPr/>
        <w:t xml:space="preserve">Water-table records are screened for sentinel values and obvious measurement errors. Short interpolation gaps (a single missing month with valid neighbours) are filled by linear interpolation, with the gap limit set to </w:t>
      </w:r>
      <w:r>
        <w:rPr>
          <w:rStyle w:val="VerbatimChar"/>
        </w:rPr>
        <w:t>limit = 1</w:t>
      </w:r>
      <w:r>
        <w:rPr/>
        <w:t>; 72 cells out of approximately 110,000 well-month observations across the 88-well network are filled by interpolation; the remainder are observed.</w:t>
      </w:r>
      <w:bookmarkEnd w:id="4"/>
    </w:p>
    <w:p>
      <w:pPr>
        <w:pStyle w:val="Heading3"/>
        <w:rPr/>
      </w:pPr>
      <w:bookmarkStart w:id="5" w:name="s1.4-reference-network-selection"/>
      <w:r>
        <w:rPr/>
        <w:t>S1.4 Reference-network selection</w:t>
      </w:r>
    </w:p>
    <w:p>
      <w:pPr>
        <w:pStyle w:val="FirstParagraph"/>
        <w:rPr/>
      </w:pPr>
      <w:r>
        <w:rPr/>
        <w:t xml:space="preserve">The reference network (66 wells, Section S3) is the subset of the 88-well network that meets all of: - record start ≥ 2005 and record continuing through </w:t>
      </w:r>
      <w:r>
        <w:rPr>
          <w:rStyle w:val="VerbatimChar"/>
        </w:rPr>
        <w:t>REFERENCE_CUTOFF_DATE</w:t>
      </w:r>
      <w:r>
        <w:rPr/>
        <w:t xml:space="preserve"> (2026-02-01); - not on the blacklist of wells with known tidal influence (notably the </w:t>
      </w:r>
      <w:r>
        <w:rPr>
          <w:rStyle w:val="VerbatimChar"/>
        </w:rPr>
        <w:t>pdfs</w:t>
      </w:r>
      <w:r>
        <w:rPr/>
        <w:t xml:space="preserve"> well at the south-eastern shore); - not within the clearfell-impacted zone (used for the BACI analysis in Paper 2 but excluded from Paper 1’s network-mean coefficients).</w:t>
      </w:r>
    </w:p>
    <w:p>
      <w:pPr>
        <w:pStyle w:val="BodyText"/>
        <w:rPr/>
      </w:pPr>
      <w:bookmarkStart w:id="6" w:name="s1.4-reference-network-selection"/>
      <w:r>
        <w:rPr/>
        <w:t>The extended network adds the remaining 22 wells (clearfell-zone, shorter records, scraped wells) for spatial visualization only; coefficients fitted to extended-network wells are reported only where stated, and the per-cluster coefficients in Table 1 are reference-network only.</w:t>
      </w:r>
      <w:bookmarkEnd w:id="6"/>
    </w:p>
    <w:p>
      <w:pPr>
        <w:pStyle w:val="Heading3"/>
        <w:rPr/>
      </w:pPr>
      <w:bookmarkStart w:id="7" w:name="s1.5-output"/>
      <w:r>
        <w:rPr/>
        <w:t>S1.5 Output</w:t>
      </w:r>
    </w:p>
    <w:p>
      <w:pPr>
        <w:pStyle w:val="FirstParagraph"/>
        <w:rPr/>
      </w:pPr>
      <w:r>
        <w:rPr/>
        <w:t xml:space="preserve">Cleaned monthly per-well frames, the climate frame, and the canonical pipeline parameters CSV are written to </w:t>
      </w:r>
      <w:r>
        <w:rPr>
          <w:rStyle w:val="VerbatimChar"/>
        </w:rPr>
        <w:t>outputs/01_data_prep/</w:t>
      </w:r>
      <w:r>
        <w:rPr/>
        <w:t>. The well-provenance audit (</w:t>
      </w:r>
      <w:r>
        <w:rPr>
          <w:rStyle w:val="VerbatimChar"/>
        </w:rPr>
        <w:t>01_wells_provenance.csv</w:t>
      </w:r>
      <w:r>
        <w:rPr/>
        <w:t>) records membership in each network and lists the reason for any exclusion, supporting reviewer reproducibility.</w:t>
      </w:r>
      <w:bookmarkEnd w:id="7"/>
    </w:p>
    <w:p>
      <w:pPr>
        <w:pStyle w:val="Heading2"/>
        <w:rPr/>
      </w:pPr>
      <w:bookmarkStart w:id="8" w:name="s2.-constants-and-configuration"/>
      <w:r>
        <w:rPr/>
        <w:t>S2. Constants and configuration</w:t>
      </w:r>
    </w:p>
    <w:p>
      <w:pPr>
        <w:pStyle w:val="FirstParagraph"/>
        <w:rPr/>
      </w:pPr>
      <w:r>
        <w:rPr/>
        <w:t>All pipeline constants and the canonical runtime-parameters file are described here. The cluster partition that determines which wells belong to which group is the output of the behavioural clustering step (Section S3); the full table is given there.</w:t>
      </w:r>
    </w:p>
    <w:p>
      <w:pPr>
        <w:pStyle w:val="Heading3"/>
        <w:rPr/>
      </w:pPr>
      <w:bookmarkStart w:id="9" w:name="s2.1-constants"/>
      <w:r>
        <w:rPr/>
        <w:t>S2.1 Constants</w:t>
      </w:r>
    </w:p>
    <w:p>
      <w:pPr>
        <w:pStyle w:val="FirstParagraph"/>
        <w:rPr/>
      </w:pPr>
      <w:r>
        <w:rPr/>
        <w:t>All values that are constant across the pipeline are defined in a single centralized configuration file, so that any change propagates everywhere and no script can redefine a value locally. The constants used in Paper 1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1695"/>
        <w:gridCol w:w="4545"/>
      </w:tblGrid>
      <w:tr>
        <w:trPr>
          <w:tblHeader w:val="true"/>
        </w:trPr>
        <w:tc>
          <w:tcPr>
            <w:tcW w:w="312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Constant</w:t>
            </w:r>
          </w:p>
        </w:tc>
        <w:tc>
          <w:tcPr>
            <w:tcW w:w="169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Value</w:t>
            </w:r>
          </w:p>
        </w:tc>
        <w:tc>
          <w:tcPr>
            <w:tcW w:w="454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Origin</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DRAINAGE_DATUM</w:t>
            </w:r>
          </w:p>
        </w:tc>
        <w:tc>
          <w:tcPr>
            <w:tcW w:w="16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3.7 m</w:t>
            </w:r>
          </w:p>
        </w:tc>
        <w:tc>
          <w:tcPr>
            <w:tcW w:w="45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Sensitivity analysis (Section S5.4)</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HEADLINE_LAG</w:t>
            </w:r>
          </w:p>
        </w:tc>
        <w:tc>
          <w:tcPr>
            <w:tcW w:w="16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c>
          <w:tcPr>
            <w:tcW w:w="45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Field-convention bucketing (Section S1)</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FOREST_INTERCEPTION</w:t>
            </w:r>
          </w:p>
        </w:tc>
        <w:tc>
          <w:tcPr>
            <w:tcW w:w="16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0.24</w:t>
            </w:r>
          </w:p>
        </w:tc>
        <w:tc>
          <w:tcPr>
            <w:tcW w:w="45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Freeman (2008), Newborough Corsican pine</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FOREST_CIDS</w:t>
            </w:r>
          </w:p>
        </w:tc>
        <w:tc>
          <w:tcPr>
            <w:tcW w:w="16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(4, 5)</w:t>
            </w:r>
          </w:p>
        </w:tc>
        <w:tc>
          <w:tcPr>
            <w:tcW w:w="45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k</w:t>
            </w:r>
            <w:r>
              <w:rPr>
                <w:rFonts w:eastAsia="Calibri" w:cs=""/>
                <w:kern w:val="0"/>
                <w:sz w:val="24"/>
                <w:szCs w:val="24"/>
                <w:lang w:val="en-US" w:eastAsia="en-US" w:bidi="ar-SA"/>
              </w:rPr>
              <w:t xml:space="preserve"> = 5 partition; forested clusters</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REFERENCE_CUTOFF_DATE</w:t>
            </w:r>
          </w:p>
        </w:tc>
        <w:tc>
          <w:tcPr>
            <w:tcW w:w="16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2026-02-01</w:t>
            </w:r>
          </w:p>
        </w:tc>
        <w:tc>
          <w:tcPr>
            <w:tcW w:w="45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Network selection (Section S1)</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RAF_VALLEY_LAT_DEG</w:t>
            </w:r>
          </w:p>
        </w:tc>
        <w:tc>
          <w:tcPr>
            <w:tcW w:w="16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53.25</w:t>
            </w:r>
          </w:p>
        </w:tc>
        <w:tc>
          <w:tcPr>
            <w:tcW w:w="45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53°14′32″N</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Hydraulic conductivity </w:t>
            </w:r>
            <w:r>
              <w:rPr>
                <w:rFonts w:eastAsia="Calibri" w:cs=""/>
                <w:i/>
                <w:iCs/>
                <w:kern w:val="0"/>
                <w:sz w:val="24"/>
                <w:szCs w:val="24"/>
                <w:lang w:val="en-US" w:eastAsia="en-US" w:bidi="ar-SA"/>
              </w:rPr>
              <w:t>K</w:t>
            </w:r>
          </w:p>
        </w:tc>
        <w:tc>
          <w:tcPr>
            <w:tcW w:w="169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 m day⁻¹</w:t>
            </w:r>
          </w:p>
        </w:tc>
        <w:tc>
          <w:tcPr>
            <w:tcW w:w="454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Betson et al. (2002) tracer test</w:t>
            </w:r>
          </w:p>
        </w:tc>
      </w:tr>
    </w:tbl>
    <w:p>
      <w:pPr>
        <w:pStyle w:val="BodyText"/>
        <w:rPr/>
      </w:pPr>
      <w:r>
        <w:rPr/>
        <w:t xml:space="preserve">The 24% Corsican pine canopy-interception fraction is from Freeman (2008), the most spatially proximate canopy-interception measurement available for the Newborough plantation. </w:t>
      </w:r>
      <w:r>
        <w:rPr>
          <w:i/>
          <w:iCs/>
        </w:rPr>
        <w:t>K</w:t>
      </w:r>
      <w:r>
        <w:rPr/>
        <w:t xml:space="preserve"> = 6 m day⁻¹ is from the single tracer test reported in the contemporaneous CCW groundwater-modelling study; it is required only in the Figure 17 forest-drawdown reach calculation (Section S14) and does not enter any other framework output.</w:t>
      </w:r>
      <w:bookmarkEnd w:id="9"/>
    </w:p>
    <w:p>
      <w:pPr>
        <w:pStyle w:val="Heading3"/>
        <w:rPr/>
      </w:pPr>
      <w:bookmarkStart w:id="10" w:name="s2.2-canonical-pipeline-parameters-file"/>
      <w:r>
        <w:rPr/>
        <w:t>S2.2 Canonical pipeline parameters file</w:t>
      </w:r>
    </w:p>
    <w:p>
      <w:pPr>
        <w:pStyle w:val="FirstParagraph"/>
        <w:rPr/>
      </w:pPr>
      <w:r>
        <w:rPr/>
        <w:t xml:space="preserve">A single canonical table of pipeline parameters, </w:t>
      </w:r>
      <w:r>
        <w:rPr>
          <w:rStyle w:val="VerbatimChar"/>
        </w:rPr>
        <w:t>pipeline_scenario_params.csv</w:t>
      </w:r>
      <w:r>
        <w:rPr/>
        <w:t>, is written by the data-preparation step (Section S1) and updated in place by the downstream steps that fit new parameter values (the SSM regression, the BACI auxiliaries, and the WTF specific-yield estimation). Every downstream step reads its pipeline parameters from this file rather than from a hardcoded value, which rules out a category of inconsistencies that can otherwise propagate silently through long pipelines.</w:t>
      </w:r>
      <w:bookmarkEnd w:id="8"/>
      <w:bookmarkEnd w:id="10"/>
    </w:p>
    <w:p>
      <w:pPr>
        <w:pStyle w:val="Heading2"/>
        <w:rPr/>
      </w:pPr>
      <w:bookmarkStart w:id="11" w:name="Xde1d27413af1ba5fc32076bac0e13c80e25551b"/>
      <w:r>
        <w:rPr/>
        <w:t xml:space="preserve">S3. Behavioural clustering and the </w:t>
      </w:r>
      <w:r>
        <w:rPr>
          <w:i/>
          <w:iCs/>
        </w:rPr>
        <w:t>k</w:t>
      </w:r>
      <w:r>
        <w:rPr/>
        <w:t xml:space="preserve"> = 5 partition</w:t>
      </w:r>
    </w:p>
    <w:p>
      <w:pPr>
        <w:pStyle w:val="Heading3"/>
        <w:rPr/>
      </w:pPr>
      <w:bookmarkStart w:id="12" w:name="s3.1-distance-metric-and-linkage"/>
      <w:r>
        <w:rPr/>
        <w:t>S3.1 Distance metric and linkage</w:t>
      </w:r>
    </w:p>
    <w:p>
      <w:pPr>
        <w:pStyle w:val="FirstParagraph"/>
        <w:rPr/>
      </w:pPr>
      <w:r>
        <w:rPr/>
        <w:t>Cluster identification (</w:t>
      </w:r>
      <w:r>
        <w:rPr>
          <w:rStyle w:val="VerbatimChar"/>
        </w:rPr>
        <w:t>02_clustering.py</w:t>
      </w:r>
      <w:r>
        <w:rPr/>
        <w:t>) operates on a pairwise distance matrix between per-well hydrographs. The metric is one minus the Pearson correlation coefficient between any two wells’ monthly time series over their common record window. A small minimum-overlap requirement (≥ 36 months) prevents short pairs from dominating; pairs that do not meet it are flagged as undefined and the affected well is excluded from clustering rather than imputed.</w:t>
      </w:r>
    </w:p>
    <w:p>
      <w:pPr>
        <w:pStyle w:val="BodyText"/>
        <w:rPr/>
      </w:pPr>
      <w:bookmarkStart w:id="13" w:name="s3.1-distance-metric-and-linkage"/>
      <w:r>
        <w:rPr/>
        <w:t>Ward’s hierarchical linkage (Ward, 1963) is then applied. Ward’s criterion minimizes the increase in within-cluster sum of squares at each merge, which produces compact, well-separated clusters when the underlying data have structure. The choice of Ward over alternatives (single, complete, average linkage) reflects its well-attested performance on behavioural time-series data (Rao and Srinivas, 2006; Liao, 2005) and its tendency to produce spherical, balanced clusters of comparable size (Milligan and Cooper, 1985) — desirable for downstream interpretation against physical substrate units.</w:t>
      </w:r>
      <w:bookmarkEnd w:id="13"/>
    </w:p>
    <w:p>
      <w:pPr>
        <w:pStyle w:val="Heading3"/>
        <w:rPr/>
      </w:pPr>
      <w:bookmarkStart w:id="14" w:name="s3.2-cluster-count-selection"/>
      <w:r>
        <w:rPr/>
        <w:t>S3.2 Cluster-count selection</w:t>
      </w:r>
    </w:p>
    <w:p>
      <w:pPr>
        <w:pStyle w:val="FirstParagraph"/>
        <w:rPr/>
      </w:pPr>
      <w:r>
        <w:rPr/>
        <w:t xml:space="preserve">The clustering literature offers several internal-validity indices for choosing the cluster count </w:t>
      </w:r>
      <w:r>
        <w:rPr>
          <w:i/>
          <w:iCs/>
        </w:rPr>
        <w:t>k</w:t>
      </w:r>
      <w:r>
        <w:rPr/>
        <w:t>. The two used here are the Rousseeuw silhouette coefficient (Rousseeuw, 1987) and the Calinski–Harabasz pseudo-</w:t>
      </w:r>
      <w:r>
        <w:rPr>
          <w:i/>
          <w:iCs/>
        </w:rPr>
        <w:t>F</w:t>
      </w:r>
      <w:r>
        <w:rPr/>
        <w:t xml:space="preserve"> statistic (Calinski and Harabasz, 1974). Both are evaluated for </w:t>
      </w:r>
      <w:r>
        <w:rPr>
          <w:i/>
          <w:iCs/>
        </w:rPr>
        <w:t>k</w:t>
      </w:r>
      <w:r>
        <w:rPr/>
        <w:t xml:space="preserve"> in {2, …, 8}. Each curve has its own maximum and the maxima do not generally agree; this is a known property of internal validity indices applied to real data.</w:t>
      </w:r>
    </w:p>
    <w:p>
      <w:pPr>
        <w:pStyle w:val="BodyText"/>
        <w:rPr/>
      </w:pPr>
      <w:r>
        <w:rPr/>
        <w:t xml:space="preserve">For Newborough the silhouette curve maximizes at </w:t>
      </w:r>
      <w:r>
        <w:rPr>
          <w:i/>
          <w:iCs/>
        </w:rPr>
        <w:t>k</w:t>
      </w:r>
      <w:r>
        <w:rPr/>
        <w:t xml:space="preserve"> = 2 (~0.41) and falls monotonically to </w:t>
      </w:r>
      <w:r>
        <w:rPr>
          <w:i/>
          <w:iCs/>
        </w:rPr>
        <w:t>k</w:t>
      </w:r>
      <w:r>
        <w:rPr/>
        <w:t xml:space="preserve"> = 8 (~0.18). The Calinski–Harabasz curve also favours small </w:t>
      </w:r>
      <w:r>
        <w:rPr>
          <w:i/>
          <w:iCs/>
        </w:rPr>
        <w:t>k</w:t>
      </w:r>
      <w:r>
        <w:rPr/>
        <w:t xml:space="preserve">. By the internal-validity criterion alone, the best choice would be </w:t>
      </w:r>
      <w:r>
        <w:rPr>
          <w:i/>
          <w:iCs/>
        </w:rPr>
        <w:t>k</w:t>
      </w:r>
      <w:r>
        <w:rPr/>
        <w:t xml:space="preserve"> = 2: a single eastern–western split.</w:t>
      </w:r>
    </w:p>
    <w:p>
      <w:pPr>
        <w:pStyle w:val="BodyText"/>
        <w:rPr/>
      </w:pPr>
      <w:r>
        <w:rPr/>
        <w:t xml:space="preserve">This was not adopted. The internal-validity indices reward separability; they are agnostic to the physical interpretability of the resulting clusters. A </w:t>
      </w:r>
      <w:r>
        <w:rPr>
          <w:i/>
          <w:iCs/>
        </w:rPr>
        <w:t>k</w:t>
      </w:r>
      <w:r>
        <w:rPr/>
        <w:t xml:space="preserve"> = 2 partition collapses C4 Main Forest into either the eastern (C1, C2) or the western (C3) block depending on which well dominates the merge order, losing the canopy-interception signature that drives the management interpretation. </w:t>
      </w:r>
      <w:r>
        <w:rPr>
          <w:i/>
          <w:iCs/>
        </w:rPr>
        <w:t>k</w:t>
      </w:r>
      <w:r>
        <w:rPr/>
        <w:t xml:space="preserve"> = 4 collapses C5 Coastal Forest into C3, losing the coastal-retreat signature. The Coastal Forest cluster is small (</w:t>
      </w:r>
      <w:r>
        <w:rPr>
          <w:i/>
          <w:iCs/>
        </w:rPr>
        <w:t>n</w:t>
      </w:r>
      <w:r>
        <w:rPr/>
        <w:t xml:space="preserve"> = 5) and lies at the edge of the network, where bootstrap stability is fragile (Section S3.5), but its physical distinctness — Corsican pine on the coastal sand body, with the most rapid recent water-table decline in the network — is the basis on which it is retained as a separate cluster.</w:t>
      </w:r>
    </w:p>
    <w:p>
      <w:pPr>
        <w:pStyle w:val="BodyText"/>
        <w:rPr/>
      </w:pPr>
      <w:r>
        <w:rPr/>
        <w:t xml:space="preserve">This study therefore selects </w:t>
      </w:r>
      <w:r>
        <w:rPr>
          <w:i/>
          <w:iCs/>
        </w:rPr>
        <w:t>k</w:t>
      </w:r>
      <w:r>
        <w:rPr/>
        <w:t xml:space="preserve"> = 5 on a physical–mechanistic basis rather than on an internal-validity-index basis, and reports the indices transparently. The decision is taken openly in Section 3.2 of the main manuscript and is also reflected in the Pearson affinity audit (Section S4), which shows that C5 wells sit at the edge of cluster space rather than in its interior, but that the edge position is consistent and reproducible across the 21-year record.</w:t>
      </w:r>
      <w:bookmarkEnd w:id="14"/>
    </w:p>
    <w:p>
      <w:pPr>
        <w:pStyle w:val="Heading3"/>
        <w:rPr/>
      </w:pPr>
      <w:bookmarkStart w:id="15" w:name="s3.3-the-k-5-partition-table"/>
      <w:r>
        <w:rPr/>
        <w:t>S3.3 The k = 5 partition table</w:t>
      </w:r>
    </w:p>
    <w:p>
      <w:pPr>
        <w:pStyle w:val="FirstParagraph"/>
        <w:rPr/>
      </w:pPr>
      <w:r>
        <w:rPr/>
        <w:t>The reference network is partitioned into five behavioural clusters by Ward’s linkage on correlation distance between cluster-mean hydrographs (Section S3). The cluster IDs and labels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5"/>
        <w:gridCol w:w="2775"/>
        <w:gridCol w:w="795"/>
        <w:gridCol w:w="5054"/>
      </w:tblGrid>
      <w:tr>
        <w:trPr>
          <w:tblHeader w:val="true"/>
        </w:trPr>
        <w:tc>
          <w:tcPr>
            <w:tcW w:w="73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ID</w:t>
            </w:r>
          </w:p>
        </w:tc>
        <w:tc>
          <w:tcPr>
            <w:tcW w:w="277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Label</w:t>
            </w:r>
          </w:p>
        </w:tc>
        <w:tc>
          <w:tcPr>
            <w:tcW w:w="795" w:type="dxa"/>
            <w:tcBorders>
              <w:bottom w:val="single" w:sz="6" w:space="0" w:color="000000"/>
            </w:tcBorders>
            <w:vAlign w:val="bottom"/>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n</w:t>
            </w:r>
          </w:p>
        </w:tc>
        <w:tc>
          <w:tcPr>
            <w:tcW w:w="5054"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Substrate / vegetation</w:t>
            </w:r>
          </w:p>
        </w:tc>
      </w:tr>
      <w:tr>
        <w:trPr/>
        <w:tc>
          <w:tcPr>
            <w:tcW w:w="73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w:t>
            </w:r>
          </w:p>
        </w:tc>
        <w:tc>
          <w:tcPr>
            <w:tcW w:w="277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C1 Lake Edge</w:t>
            </w:r>
          </w:p>
        </w:tc>
        <w:tc>
          <w:tcPr>
            <w:tcW w:w="7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7</w:t>
            </w:r>
          </w:p>
        </w:tc>
        <w:tc>
          <w:tcPr>
            <w:tcW w:w="505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Lake-adjacent (Llyn Rhos-Ddu), finer sediments</w:t>
            </w:r>
          </w:p>
        </w:tc>
      </w:tr>
      <w:tr>
        <w:trPr/>
        <w:tc>
          <w:tcPr>
            <w:tcW w:w="73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w:t>
            </w:r>
          </w:p>
        </w:tc>
        <w:tc>
          <w:tcPr>
            <w:tcW w:w="277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C2 Dune</w:t>
            </w:r>
          </w:p>
        </w:tc>
        <w:tc>
          <w:tcPr>
            <w:tcW w:w="7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24</w:t>
            </w:r>
          </w:p>
        </w:tc>
        <w:tc>
          <w:tcPr>
            <w:tcW w:w="505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Mature open dune, eastern block</w:t>
            </w:r>
          </w:p>
        </w:tc>
      </w:tr>
      <w:tr>
        <w:trPr/>
        <w:tc>
          <w:tcPr>
            <w:tcW w:w="73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3</w:t>
            </w:r>
          </w:p>
        </w:tc>
        <w:tc>
          <w:tcPr>
            <w:tcW w:w="277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 Western Residual</w:t>
            </w:r>
          </w:p>
        </w:tc>
        <w:tc>
          <w:tcPr>
            <w:tcW w:w="7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21</w:t>
            </w:r>
          </w:p>
        </w:tc>
        <w:tc>
          <w:tcPr>
            <w:tcW w:w="505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Deep aeolian sand, western block</w:t>
            </w:r>
          </w:p>
        </w:tc>
      </w:tr>
      <w:tr>
        <w:trPr/>
        <w:tc>
          <w:tcPr>
            <w:tcW w:w="73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4</w:t>
            </w:r>
          </w:p>
        </w:tc>
        <w:tc>
          <w:tcPr>
            <w:tcW w:w="277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C4 Main Forest</w:t>
            </w:r>
          </w:p>
        </w:tc>
        <w:tc>
          <w:tcPr>
            <w:tcW w:w="7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9</w:t>
            </w:r>
          </w:p>
        </w:tc>
        <w:tc>
          <w:tcPr>
            <w:tcW w:w="505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Corsican pine on deep sand, northern ridge flank</w:t>
            </w:r>
          </w:p>
        </w:tc>
      </w:tr>
      <w:tr>
        <w:trPr/>
        <w:tc>
          <w:tcPr>
            <w:tcW w:w="73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5</w:t>
            </w:r>
          </w:p>
        </w:tc>
        <w:tc>
          <w:tcPr>
            <w:tcW w:w="277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C5 Coastal Forest</w:t>
            </w:r>
          </w:p>
        </w:tc>
        <w:tc>
          <w:tcPr>
            <w:tcW w:w="79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w:t>
            </w:r>
          </w:p>
        </w:tc>
        <w:tc>
          <w:tcPr>
            <w:tcW w:w="505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Corsican pine, coastal margin</w:t>
            </w:r>
          </w:p>
        </w:tc>
      </w:tr>
    </w:tbl>
    <w:p>
      <w:pPr>
        <w:pStyle w:val="BodyText"/>
        <w:rPr/>
      </w:pPr>
      <w:r>
        <w:rPr/>
        <w:t xml:space="preserve">Membership counts (canonical </w:t>
      </w:r>
      <w:r>
        <w:rPr>
          <w:i/>
          <w:iCs/>
        </w:rPr>
        <w:t>k</w:t>
      </w:r>
      <w:r>
        <w:rPr/>
        <w:t xml:space="preserve"> = 5 partition under the live data-preparation pipeline) total 66 wells in the reference network. The extended network of 22 additional dipwells is used for spatial visualization and BACI work but is not part of the partition. Llyn Rhos-Ddu is treated as a fixed-head boundary feature rather than a behavioural cluster.</w:t>
      </w:r>
      <w:bookmarkEnd w:id="15"/>
    </w:p>
    <w:p>
      <w:pPr>
        <w:pStyle w:val="Heading3"/>
        <w:rPr/>
      </w:pPr>
      <w:bookmarkStart w:id="16" w:name="s3.4-canonical-id-anchoring"/>
      <w:r>
        <w:rPr/>
        <w:t>S3.4 Canonical ID anchoring</w:t>
      </w:r>
    </w:p>
    <w:p>
      <w:pPr>
        <w:pStyle w:val="FirstParagraph"/>
        <w:rPr/>
      </w:pPr>
      <w:bookmarkStart w:id="17" w:name="s3.4-canonical-id-anchoring"/>
      <w:r>
        <w:rPr/>
        <w:t>Ward’s linkage produces clusters in an arbitrary integer-numbering order that depends on the merge sequence. To make cluster IDs stable across pipeline runs and across partition changes, the clustering step carries a lookup table mapping each canonical cluster ID to one or two anchor wells whose membership identifies the cluster. After Ward returns its raw partition, the clusters are re-numbered so that the anchor wells fall in the expected ID, and an automated check confirms that the renumbering succeeded. This convention has the practical effect that “C1” refers to the same physical cluster across all pipeline outputs, irrespective of run order.</w:t>
      </w:r>
      <w:bookmarkEnd w:id="17"/>
    </w:p>
    <w:p>
      <w:pPr>
        <w:pStyle w:val="Heading3"/>
        <w:rPr/>
      </w:pPr>
      <w:bookmarkStart w:id="18" w:name="s3.5-stability"/>
      <w:r>
        <w:rPr/>
        <w:t>S3.5 Stability</w:t>
      </w:r>
    </w:p>
    <w:p>
      <w:pPr>
        <w:pStyle w:val="FirstParagraph"/>
        <w:rPr/>
      </w:pPr>
      <w:r>
        <w:rPr/>
        <w:t>Bootstrap resampling of the per-well hydrograph set returns the same five clusters with stable core memberships at C1, C2, C3 and C4. The procedure draws 1000 random samples (with replacement) from the 66 reference-network wells, repeats the Ward’s-linkage clustering on each draw, and counts the proportion of bootstrap draws in which each well is co-assigned to its canonical-partition cluster. C5 has lower bootstrap stability because its small membership (</w:t>
      </w:r>
      <w:r>
        <w:rPr>
          <w:i/>
          <w:iCs/>
        </w:rPr>
        <w:t>n</w:t>
      </w:r>
      <w:r>
        <w:rPr/>
        <w:t xml:space="preserve"> = 5) is sensitive to the inclusion or exclusion of any single well; the most marginal members of C5 (those with the lowest Pearson affinity to the C5 centroid, Section S4) are not the wells that anchor the cluster, and the anchors ceh16 and nw9 remain in C5 across all bootstrap draws.</w:t>
      </w:r>
      <w:bookmarkEnd w:id="11"/>
      <w:bookmarkEnd w:id="18"/>
    </w:p>
    <w:p>
      <w:pPr>
        <w:pStyle w:val="Heading2"/>
        <w:rPr/>
      </w:pPr>
      <w:bookmarkStart w:id="19" w:name="Xd33c19c7f7eb13e3c28f2155efad53d3dcfabaf"/>
      <w:r>
        <w:rPr/>
        <w:t>S4. Pearson affinity audit and spatial confidence</w:t>
      </w:r>
    </w:p>
    <w:p>
      <w:pPr>
        <w:pStyle w:val="FirstParagraph"/>
        <w:rPr/>
      </w:pPr>
      <w:r>
        <w:rPr/>
        <w:t xml:space="preserve">The clustering algorithm assigns each well to the cluster with whose centroid it has the highest Pearson correlation. The </w:t>
      </w:r>
      <w:r>
        <w:rPr>
          <w:i/>
          <w:iCs/>
        </w:rPr>
        <w:t>strength</w:t>
      </w:r>
      <w:r>
        <w:rPr/>
        <w:t xml:space="preserve"> of that assignment — how clearly a well belongs to its cluster, rather than sitting near the boundary between two — is recoverable from the affinity matrix: each well’s Pearson correlation against every cluster centroid.</w:t>
      </w:r>
    </w:p>
    <w:p>
      <w:pPr>
        <w:pStyle w:val="BodyText"/>
        <w:rPr/>
      </w:pPr>
      <w:r>
        <w:rPr/>
        <w:t xml:space="preserve">A well with a high primary affinity and substantially lower secondary affinities is a </w:t>
      </w:r>
      <w:r>
        <w:rPr>
          <w:i/>
          <w:iCs/>
        </w:rPr>
        <w:t>core member</w:t>
      </w:r>
      <w:r>
        <w:rPr/>
        <w:t xml:space="preserve"> of its cluster. A well with a primary affinity only slightly above its secondary is </w:t>
      </w:r>
      <w:r>
        <w:rPr>
          <w:i/>
          <w:iCs/>
        </w:rPr>
        <w:t>gradational</w:t>
      </w:r>
      <w:r>
        <w:rPr/>
        <w:t xml:space="preserve"> — it sits at the boundary between two behavioural patterns. The Pearson affinity audit (</w:t>
      </w:r>
      <w:r>
        <w:rPr>
          <w:rStyle w:val="VerbatimChar"/>
        </w:rPr>
        <w:t>05_pearson_affinity.py</w:t>
      </w:r>
      <w:r>
        <w:rPr/>
        <w:t>, Figure 5 of the main manuscript) makes this structure visible at the well level.</w:t>
      </w:r>
    </w:p>
    <w:p>
      <w:pPr>
        <w:pStyle w:val="BodyText"/>
        <w:rPr/>
      </w:pPr>
      <w:r>
        <w:rPr/>
        <w:t>The audit shows three patterns. First, the cluster cores are spatially compact and behaviourally distinct, with high primary affinities and substantially lower secondary affinities. Second, the boundary between C2 (eastern Dune) and C3 (Western Residual) is gradational rather than sharp — several wells in the centre-east of the network have primary affinity to one cluster but a secondary affinity within 0.05 of the primary, indicating that they sit on a continuous substrate gradient between the two clusters rather than within a structural discontinuity. Third, C5 Coastal Forest is a tight core with the lowest affinity to any other cluster, indicating that even though C5 has only five members, those five behave consistently with each other and distinctly from the rest of the network.</w:t>
      </w:r>
    </w:p>
    <w:p>
      <w:pPr>
        <w:pStyle w:val="BodyText"/>
        <w:rPr/>
      </w:pPr>
      <w:r>
        <w:rPr/>
        <w:t>The C2/C3 gradation is discussed at length in Section 5.1 of the main manuscript and is the basis for the “behaviourally coherent cluster on a continuous substrate gradient” interpretation of C3. It is also why the discussion uses “C3 transitional zone” rather than “C2/C3 boundary”.</w:t>
      </w:r>
    </w:p>
    <w:p>
      <w:pPr>
        <w:pStyle w:val="BodyText"/>
        <w:rPr/>
      </w:pPr>
      <w:r>
        <w:rPr/>
        <w:t xml:space="preserve">The output </w:t>
      </w:r>
      <w:r>
        <w:rPr>
          <w:rStyle w:val="VerbatimChar"/>
        </w:rPr>
        <w:t>05_pear_01_spatial_confidence_map.png</w:t>
      </w:r>
      <w:r>
        <w:rPr/>
        <w:t xml:space="preserve"> is Figure 5 of the main manuscript. The underlying affinity matrix is in </w:t>
      </w:r>
      <w:r>
        <w:rPr>
          <w:rStyle w:val="VerbatimChar"/>
        </w:rPr>
        <w:t>outputs/05_pearson_affinity/05_affinity_per_well.csv</w:t>
      </w:r>
      <w:r>
        <w:rPr/>
        <w:t>.</w:t>
      </w:r>
    </w:p>
    <w:p>
      <w:pPr>
        <w:pStyle w:val="BodyText"/>
        <w:rPr/>
      </w:pPr>
      <w:bookmarkStart w:id="20" w:name="Xd33c19c7f7eb13e3c28f2155efad53d3dcfabaf"/>
      <w:r>
        <w:rPr/>
        <w:t>Across the 66 reference-network wells, the audit classifies 17 as Core (sitting cleanly in their assigned cluster, with Pearson margin above 0.05), 46 as Fuzzy (assigned cluster is the best match but the margin to the second-best is small), and three as Spy (k-means assignment and Pearson best match disagree): ceh4 and ceh21, both assigned to C3 Western Residual but matching C5 Coastal Forest by margins of 1.7 % and 0.9 % respectively, and nw13, assigned to C3 but matching C2 Dune by 0.3 %. Closer inspection shows ceh21 and nw13 to be persistent borderline cases with margins of around 1 % throughout the record. The ceh4 case is more interesting: its pre-2018 hydrograph preferred C5 by 1.8 %, but its post-clearfell (December 2017 onwards) hydrograph prefers its k-means assignment C3 by 3.1 % — the full-record audit is dominated by the longer pre-clearfell period. The three borderline cases are documented but retained in their k-means assignments; Pearson margins within sampling noise are not a defensible basis for re-partitioning. The 96 % Core + Fuzzy share within the assigned cluster supports the partition as a reasonable behavioural grouping of the network.</w:t>
      </w:r>
      <w:bookmarkEnd w:id="20"/>
    </w:p>
    <w:p>
      <w:pPr>
        <w:pStyle w:val="Normal"/>
        <w:rPr/>
      </w:pPr>
      <w:r>
        <w:rPr/>
        <mc:AlternateContent>
          <mc:Choice Requires="wps">
            <w:drawing>
              <wp:inline distT="0" distB="0" distL="0" distR="0">
                <wp:extent cx="5943600" cy="19050"/>
                <wp:effectExtent l="0" t="0" r="0" b="0"/>
                <wp:docPr id="1"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rPr/>
      </w:pPr>
      <w:bookmarkStart w:id="21" w:name="X8b4e7ff72618a58a6443ba63175d84350d1cb8e"/>
      <w:r>
        <w:rPr/>
        <w:t>S5. The state-space model — displacement formulation</w:t>
      </w:r>
    </w:p>
    <w:p>
      <w:pPr>
        <w:pStyle w:val="FirstParagraph"/>
        <w:rPr/>
      </w:pPr>
      <w:r>
        <w:rPr/>
        <w:t>The state-space model (SSM) is the methodological core of the analysis. The cluster characterization, the specific-yield estimation, the water-balance decomposition, the residual field and the coastal-retreat gradient regression all rest on it.</w:t>
      </w:r>
    </w:p>
    <w:p>
      <w:pPr>
        <w:pStyle w:val="Heading3"/>
        <w:rPr/>
      </w:pPr>
      <w:bookmarkStart w:id="22" w:name="s5.1-equation"/>
      <w:r>
        <w:rPr/>
        <w:t>S5.1 Equation</w:t>
      </w:r>
    </w:p>
    <w:p>
      <w:pPr>
        <w:pStyle w:val="FirstParagraph"/>
        <w:rPr/>
      </w:pPr>
      <w:r>
        <w:rPr/>
        <w:t>The fitted equation is</w:t>
      </w:r>
    </w:p>
    <w:p>
      <w:pPr>
        <w:pStyle w:val="BlockText"/>
        <w:rPr/>
      </w:pPr>
      <w:r>
        <w:rPr/>
        <w:t>Δ</w:t>
      </w:r>
      <w:r>
        <w:rPr>
          <w:i/>
          <w:iCs/>
        </w:rPr>
        <w:t>h</w:t>
      </w:r>
      <w:r>
        <w:rPr/>
        <w:t>(</w:t>
      </w:r>
      <w:r>
        <w:rPr>
          <w:i/>
          <w:iCs/>
        </w:rPr>
        <w:t>t</w:t>
      </w:r>
      <w:r>
        <w:rPr/>
        <w:t xml:space="preserve">) = β₁ · </w:t>
      </w:r>
      <w:r>
        <w:rPr>
          <w:i/>
          <w:iCs/>
        </w:rPr>
        <w:t>P</w:t>
      </w:r>
      <w:r>
        <w:rPr/>
        <w:t>(</w:t>
      </w:r>
      <w:r>
        <w:rPr>
          <w:i/>
          <w:iCs/>
        </w:rPr>
        <w:t>t</w:t>
      </w:r>
      <w:r>
        <w:rPr/>
        <w:t>) − β₂ · PET(</w:t>
      </w:r>
      <w:r>
        <w:rPr>
          <w:i/>
          <w:iCs/>
        </w:rPr>
        <w:t>t</w:t>
      </w:r>
      <w:r>
        <w:rPr/>
        <w:t>) − β₃ · (</w:t>
      </w:r>
      <w:r>
        <w:rPr>
          <w:i/>
          <w:iCs/>
        </w:rPr>
        <w:t>D</w:t>
      </w:r>
      <w:r>
        <w:rPr/>
        <w:t xml:space="preserve"> + </w:t>
      </w:r>
      <w:r>
        <w:rPr>
          <w:i/>
          <w:iCs/>
        </w:rPr>
        <w:t>h</w:t>
      </w:r>
      <w:r>
        <w:rPr/>
        <w:t>(</w:t>
      </w:r>
      <w:r>
        <w:rPr>
          <w:i/>
          <w:iCs/>
        </w:rPr>
        <w:t>t</w:t>
      </w:r>
      <w:r>
        <w:rPr/>
        <w:t>−1))</w:t>
      </w:r>
    </w:p>
    <w:p>
      <w:pPr>
        <w:pStyle w:val="FirstParagraph"/>
        <w:rPr/>
      </w:pPr>
      <w:r>
        <w:rPr/>
        <w:t>where Δ</w:t>
      </w:r>
      <w:r>
        <w:rPr>
          <w:i/>
          <w:iCs/>
        </w:rPr>
        <w:t>h</w:t>
      </w:r>
      <w:r>
        <w:rPr/>
        <w:t>(</w:t>
      </w:r>
      <w:r>
        <w:rPr>
          <w:i/>
          <w:iCs/>
        </w:rPr>
        <w:t>t</w:t>
      </w:r>
      <w:r>
        <w:rPr/>
        <w:t xml:space="preserve">) is the change in water table during month </w:t>
      </w:r>
      <w:r>
        <w:rPr>
          <w:i/>
          <w:iCs/>
        </w:rPr>
        <w:t>t</w:t>
      </w:r>
      <w:r>
        <w:rPr/>
        <w:t xml:space="preserve"> (m, signed; negative when the water table falls); </w:t>
      </w:r>
      <w:r>
        <w:rPr>
          <w:i/>
          <w:iCs/>
        </w:rPr>
        <w:t>P</w:t>
      </w:r>
      <w:r>
        <w:rPr/>
        <w:t>(</w:t>
      </w:r>
      <w:r>
        <w:rPr>
          <w:i/>
          <w:iCs/>
        </w:rPr>
        <w:t>t</w:t>
      </w:r>
      <w:r>
        <w:rPr/>
        <w:t>) and PET(</w:t>
      </w:r>
      <w:r>
        <w:rPr>
          <w:i/>
          <w:iCs/>
        </w:rPr>
        <w:t>t</w:t>
      </w:r>
      <w:r>
        <w:rPr/>
        <w:t xml:space="preserve">) are the rainfall and Thornthwaite PET during month </w:t>
      </w:r>
      <w:r>
        <w:rPr>
          <w:i/>
          <w:iCs/>
        </w:rPr>
        <w:t>t</w:t>
      </w:r>
      <w:r>
        <w:rPr/>
        <w:t xml:space="preserve"> (m); </w:t>
      </w:r>
      <w:r>
        <w:rPr>
          <w:i/>
          <w:iCs/>
        </w:rPr>
        <w:t>h</w:t>
      </w:r>
      <w:r>
        <w:rPr/>
        <w:t>(</w:t>
      </w:r>
      <w:r>
        <w:rPr>
          <w:i/>
          <w:iCs/>
        </w:rPr>
        <w:t>t</w:t>
      </w:r>
      <w:r>
        <w:rPr/>
        <w:t xml:space="preserve">−1) is the water table at the end of month </w:t>
      </w:r>
      <w:r>
        <w:rPr>
          <w:i/>
          <w:iCs/>
        </w:rPr>
        <w:t>t</w:t>
      </w:r>
      <w:r>
        <w:rPr/>
        <w:t xml:space="preserve">−1 (m, signed; negative below ground surface); </w:t>
      </w:r>
      <w:r>
        <w:rPr>
          <w:i/>
          <w:iCs/>
        </w:rPr>
        <w:t>D</w:t>
      </w:r>
      <w:r>
        <w:rPr/>
        <w:t xml:space="preserve"> is the drainage datum, </w:t>
      </w:r>
      <w:r>
        <w:rPr>
          <w:i/>
          <w:iCs/>
        </w:rPr>
        <w:t>D</w:t>
      </w:r>
      <w:r>
        <w:rPr/>
        <w:t xml:space="preserve"> = 3.7 m (Section S2); and β₁, β₂, β₃ are positive coefficients fitted by ordinary least squares (no intercept).</w:t>
      </w:r>
    </w:p>
    <w:p>
      <w:pPr>
        <w:pStyle w:val="BodyText"/>
        <w:rPr/>
      </w:pPr>
      <w:r>
        <w:rPr/>
        <w:t xml:space="preserve">The quantity </w:t>
      </w:r>
      <w:r>
        <w:rPr>
          <w:i/>
          <w:iCs/>
        </w:rPr>
        <w:t>D</w:t>
      </w:r>
      <w:r>
        <w:rPr/>
        <w:t xml:space="preserve"> + </w:t>
      </w:r>
      <w:r>
        <w:rPr>
          <w:i/>
          <w:iCs/>
        </w:rPr>
        <w:t>h</w:t>
      </w:r>
      <w:r>
        <w:rPr/>
        <w:t>(</w:t>
      </w:r>
      <w:r>
        <w:rPr>
          <w:i/>
          <w:iCs/>
        </w:rPr>
        <w:t>t</w:t>
      </w:r>
      <w:r>
        <w:rPr/>
        <w:t xml:space="preserve">−1) is the displacement of the water table above the drainage datum at the start of month </w:t>
      </w:r>
      <w:r>
        <w:rPr>
          <w:i/>
          <w:iCs/>
        </w:rPr>
        <w:t>t</w:t>
      </w:r>
      <w:r>
        <w:rPr/>
        <w:t xml:space="preserve">. With </w:t>
      </w:r>
      <w:r>
        <w:rPr>
          <w:i/>
          <w:iCs/>
        </w:rPr>
        <w:t>D</w:t>
      </w:r>
      <w:r>
        <w:rPr/>
        <w:t xml:space="preserve"> = 3.7 m and a typical end-of-previous-month head of −0.4 m, displacement is 3.3 m; with a deeper end-of-month head of −2.0 m, displacement is 1.7 m. The β₃ term says: the deeper the water table sits below ground at the start of a month, the smaller the drainage during that month — consistent with Darcy’s law for a shallow unconfined aquifer drained to a fixed lateral discharge horizon.</w:t>
      </w:r>
    </w:p>
    <w:p>
      <w:pPr>
        <w:pStyle w:val="BodyText"/>
        <w:rPr/>
      </w:pPr>
      <w:r>
        <w:rPr/>
        <w:t>The equation is a multiple linear regression: three predictor variables (rainfall, PET, start-of-month displacement) and one response variable (Δ</w:t>
      </w:r>
      <w:r>
        <w:rPr>
          <w:i/>
          <w:iCs/>
        </w:rPr>
        <w:t>h</w:t>
      </w:r>
      <w:r>
        <w:rPr/>
        <w:t xml:space="preserve">). The three coefficients are estimated jointly by ordinary least squares (OLS), which finds the values that minimize the sum of squared residuals across all (well, month) observations in the regression sample. The fit returns each coefficient with its standard error and </w:t>
      </w:r>
      <w:r>
        <w:rPr>
          <w:i/>
          <w:iCs/>
        </w:rPr>
        <w:t>p</w:t>
      </w:r>
      <w:r>
        <w:rPr/>
        <w:t xml:space="preserve">-value, the overall regression </w:t>
      </w:r>
      <w:r>
        <w:rPr>
          <w:i/>
          <w:iCs/>
        </w:rPr>
        <w:t>R</w:t>
      </w:r>
      <w:r>
        <w:rPr/>
        <w:t>² (the fraction of monthly Δ</w:t>
      </w:r>
      <w:r>
        <w:rPr>
          <w:i/>
          <w:iCs/>
        </w:rPr>
        <w:t>h</w:t>
      </w:r>
      <w:r>
        <w:rPr/>
        <w:t xml:space="preserve"> variance jointly explained by the three predictors), and the residual series at every observation.</w:t>
      </w:r>
      <w:bookmarkEnd w:id="22"/>
    </w:p>
    <w:p>
      <w:pPr>
        <w:pStyle w:val="Heading3"/>
        <w:rPr/>
      </w:pPr>
      <w:bookmarkStart w:id="23" w:name="s5.2-sign-conventions"/>
      <w:r>
        <w:rPr/>
        <w:t>S5.2 Sign conventions</w:t>
      </w:r>
    </w:p>
    <w:p>
      <w:pPr>
        <w:pStyle w:val="FirstParagraph"/>
        <w:rPr/>
      </w:pPr>
      <w:r>
        <w:rPr/>
        <w:t>All three β values are reported positive. Signs are baked into the design matrix, not into the coefficient values. In the design matrix the β₁ column is +</w:t>
      </w:r>
      <w:r>
        <w:rPr>
          <w:i/>
          <w:iCs/>
        </w:rPr>
        <w:t>P</w:t>
      </w:r>
      <w:r>
        <w:rPr/>
        <w:t xml:space="preserve"> (a positive β₁ means rainfall raises the water table), the β₂ column is −PET (a positive β₂ means PET lowers the water table), and the β₃ column is −(</w:t>
      </w:r>
      <w:r>
        <w:rPr>
          <w:i/>
          <w:iCs/>
        </w:rPr>
        <w:t>D</w:t>
      </w:r>
      <w:r>
        <w:rPr/>
        <w:t xml:space="preserve"> + </w:t>
      </w:r>
      <w:r>
        <w:rPr>
          <w:i/>
          <w:iCs/>
        </w:rPr>
        <w:t>h</w:t>
      </w:r>
      <w:r>
        <w:rPr/>
        <w:t>prev) (a positive β₃ means displacement above the datum drives drainage downward). A fitted β₁ ≤ 0 or β₂ ≤ 0 halts the pipeline because either is physical nonsense; β₃ &gt; 0 is soft-asserted (a negative β₃ is anomalous and worth investigating but does not halt the pipeline).</w:t>
      </w:r>
      <w:bookmarkEnd w:id="23"/>
    </w:p>
    <w:p>
      <w:pPr>
        <w:pStyle w:val="Heading3"/>
        <w:rPr/>
      </w:pPr>
      <w:bookmarkStart w:id="24" w:name="s5.3-why-ht1-rather-than-ht"/>
      <w:r>
        <w:rPr/>
        <w:t xml:space="preserve">S5.3 Why </w:t>
      </w:r>
      <w:r>
        <w:rPr>
          <w:i/>
          <w:iCs/>
        </w:rPr>
        <w:t>h</w:t>
      </w:r>
      <w:r>
        <w:rPr/>
        <w:t>(</w:t>
      </w:r>
      <w:r>
        <w:rPr>
          <w:i/>
          <w:iCs/>
        </w:rPr>
        <w:t>t</w:t>
      </w:r>
      <w:r>
        <w:rPr/>
        <w:t xml:space="preserve">−1) rather than </w:t>
      </w:r>
      <w:r>
        <w:rPr>
          <w:i/>
          <w:iCs/>
        </w:rPr>
        <w:t>h</w:t>
      </w:r>
      <w:r>
        <w:rPr/>
        <w:t>(</w:t>
      </w:r>
      <w:r>
        <w:rPr>
          <w:i/>
          <w:iCs/>
        </w:rPr>
        <w:t>t</w:t>
      </w:r>
      <w:r>
        <w:rPr/>
        <w:t>)</w:t>
      </w:r>
    </w:p>
    <w:p>
      <w:pPr>
        <w:pStyle w:val="FirstParagraph"/>
        <w:rPr/>
      </w:pPr>
      <w:bookmarkStart w:id="25" w:name="s5.3-why-ht1-rather-than-ht"/>
      <w:r>
        <w:rPr/>
        <w:t>The drainage term uses the water-table position at the end of the previous month, not the contemporaneous level, for two reasons. First, h(t) is the dependent variable through Δh = h(t) − h(t−1); using it simultaneously as a predictor would create simultaneity bias and break the interpretation of β₃. Second — and physically — drainage during a month is driven by the head at the start of that month, not the head at the end; the end-of-month head is the result of drainage, not its cause. The displacement at the start of month t equals the displacement at the end of month t−1, hence the h(t−1) form. The within-month mean head would in principle be a more faithful driver still, since total monthly drainage is the time-integral of a head-dependent flux and the start-of-month form is in effect its forward discretization; but the mean is not observed. With a single end-of-month reading it can only be reconstructed as ½·[h(t−1) + h(t)], which carries h(t) — and hence Δh — back into the predictor, reinstating the simultaneity the h(t−1) form is chosen to avoid while adding no information beyond the two endpoints. The two discretizations are in fact an exact reparameterization of one another on monthly data — the mean-head form rescales β₃ by 1/(1 − β₃/2) and leaves the fit, residuals and cluster contrasts unchanged — so the start-of-month choice costs nothing in fit, and only the simultaneity argument bears on it.</w:t>
      </w:r>
      <w:bookmarkEnd w:id="25"/>
    </w:p>
    <w:p>
      <w:pPr>
        <w:pStyle w:val="Heading3"/>
        <w:rPr/>
      </w:pPr>
      <w:bookmarkStart w:id="26" w:name="s5.4-drainage-datum"/>
      <w:r>
        <w:rPr/>
        <w:t>S5.4 Drainage datum</w:t>
      </w:r>
    </w:p>
    <w:p>
      <w:pPr>
        <w:pStyle w:val="FirstParagraph"/>
        <w:rPr/>
      </w:pPr>
      <w:r>
        <w:rPr/>
        <w:t xml:space="preserve">The 3.7 m drainage datum was selected to give comfortable β₃ identification at the forest clusters (C4 Main Forest, C5 Coastal Forest), where β₃ is hardest to pin down because the water table sits deepest below ground there. A sensitivity sweep over </w:t>
      </w:r>
      <w:r>
        <w:rPr>
          <w:i/>
          <w:iCs/>
        </w:rPr>
        <w:t>D</w:t>
      </w:r>
      <w:r>
        <w:rPr/>
        <w:t xml:space="preserve"> compares the live empirical minimum </w:t>
      </w:r>
      <w:r>
        <w:rPr>
          <w:i/>
          <w:iCs/>
        </w:rPr>
        <w:t>D</w:t>
      </w:r>
      <w:r>
        <w:rPr/>
        <w:t xml:space="preserve"> = 1.7 m — the shallowest depth at which all five clusters simultaneously satisfy β₃ &gt; 0 with </w:t>
      </w:r>
      <w:r>
        <w:rPr>
          <w:i/>
          <w:iCs/>
        </w:rPr>
        <w:t>p</w:t>
      </w:r>
      <w:r>
        <w:rPr/>
        <w:t xml:space="preserve"> &lt; 0.05 — against the operating value </w:t>
      </w:r>
      <w:r>
        <w:rPr>
          <w:i/>
          <w:iCs/>
        </w:rPr>
        <w:t>D</w:t>
      </w:r>
      <w:r>
        <w:rPr/>
        <w:t xml:space="preserve"> = 3.7 m. At the empirical minimum C4’s β₃ </w:t>
      </w:r>
      <w:r>
        <w:rPr>
          <w:i/>
          <w:iCs/>
        </w:rPr>
        <w:t>p</w:t>
      </w:r>
      <w:r>
        <w:rPr/>
        <w:t xml:space="preserve">-value sits at the significance edge (0.040); at 3.7 m it drops to 0.0027, with C5 also gaining substantially (β₃ </w:t>
      </w:r>
      <w:r>
        <w:rPr>
          <w:i/>
          <w:iCs/>
        </w:rPr>
        <w:t>p</w:t>
      </w:r>
      <w:r>
        <w:rPr/>
        <w:t xml:space="preserve">-value from 4 × 10⁻¹¹ to 4 × 10⁻¹⁶, </w:t>
      </w:r>
      <w:r>
        <w:rPr>
          <w:i/>
          <w:iCs/>
        </w:rPr>
        <w:t>R</w:t>
      </w:r>
      <w:r>
        <w:rPr/>
        <w:t xml:space="preserve">² from 0.648 to 0.680). The trade-off is small </w:t>
      </w:r>
      <w:r>
        <w:rPr>
          <w:i/>
          <w:iCs/>
        </w:rPr>
        <w:t>R</w:t>
      </w:r>
      <w:r>
        <w:rPr/>
        <w:t xml:space="preserve">² penalties at C1 Lake Edge (−0.052) and C2 Dune (−0.029), where β₃ is over-determined and remains significant at </w:t>
      </w:r>
      <w:r>
        <w:rPr>
          <w:i/>
          <w:iCs/>
        </w:rPr>
        <w:t>p</w:t>
      </w:r>
      <w:r>
        <w:rPr/>
        <w:t xml:space="preserve"> &lt; 10⁻²⁵ at either depth.</w:t>
      </w:r>
    </w:p>
    <w:p>
      <w:pPr>
        <w:pStyle w:val="BodyText"/>
        <w:rPr/>
      </w:pPr>
      <w:r>
        <w:rPr/>
        <w:t xml:space="preserve">The role of the datum is to shift the reference for the drainage term. Without it (i.e. with </w:t>
      </w:r>
      <w:r>
        <w:rPr>
          <w:i/>
          <w:iCs/>
        </w:rPr>
        <w:t>h</w:t>
      </w:r>
      <w:r>
        <w:rPr/>
        <w:t>(</w:t>
      </w:r>
      <w:r>
        <w:rPr>
          <w:i/>
          <w:iCs/>
        </w:rPr>
        <w:t>t</w:t>
      </w:r>
      <w:r>
        <w:rPr/>
        <w:t>−1) instead of (</w:t>
      </w:r>
      <w:r>
        <w:rPr>
          <w:i/>
          <w:iCs/>
        </w:rPr>
        <w:t>D</w:t>
      </w:r>
      <w:r>
        <w:rPr/>
        <w:t xml:space="preserve"> + </w:t>
      </w:r>
      <w:r>
        <w:rPr>
          <w:i/>
          <w:iCs/>
        </w:rPr>
        <w:t>h</w:t>
      </w:r>
      <w:r>
        <w:rPr/>
        <w:t>(</w:t>
      </w:r>
      <w:r>
        <w:rPr>
          <w:i/>
          <w:iCs/>
        </w:rPr>
        <w:t>t</w:t>
      </w:r>
      <w:r>
        <w:rPr/>
        <w:t>−1)) in the design column), the C3, C4 and C5 clusters produced negative β₃ estimates. This was a sign-convention artefact: it reflected that the OLS was correlating drainage with a quantity that crossed zero rather than staying on one side of a fixed reference. Setting the reference 3.7 m below ground places every observation comfortably on the positive side of the datum.</w:t>
      </w:r>
    </w:p>
    <w:p>
      <w:pPr>
        <w:pStyle w:val="BodyText"/>
        <w:rPr/>
      </w:pPr>
      <w:r>
        <w:rPr/>
        <w:t>Δ</w:t>
      </w:r>
      <w:r>
        <w:rPr>
          <w:i/>
          <w:iCs/>
        </w:rPr>
        <w:t>h</w:t>
      </w:r>
      <w:r>
        <w:rPr/>
        <w:t xml:space="preserve"> is invariant under the choice of datum (the datum cancels in first differences). β₁ and β₂ are also invariant. Only β₃ shifts numerically, in a way that preserves its physical interpretation as a Darcy drainage coefficient.</w:t>
      </w:r>
      <w:bookmarkEnd w:id="26"/>
    </w:p>
    <w:p>
      <w:pPr>
        <w:pStyle w:val="Heading3"/>
        <w:rPr/>
      </w:pPr>
      <w:bookmarkStart w:id="27" w:name="s5.5-implementation-two-levels-of-fit"/>
      <w:r>
        <w:rPr/>
        <w:t>S5.5 Implementation: two levels of fit</w:t>
      </w:r>
    </w:p>
    <w:p>
      <w:pPr>
        <w:pStyle w:val="FirstParagraph"/>
        <w:rPr/>
      </w:pPr>
      <w:r>
        <w:rPr/>
        <w:t>The SSM is fitted at two distinct levels of aggregation and Paper 1 uses both. The distinction is material because the two fits address different questions and feed different downstream products. Section S6 maps the fits to the products explicitly; the rest of this subsection covers the construction of the design matrix, which is common to both.</w:t>
      </w:r>
    </w:p>
    <w:p>
      <w:pPr>
        <w:pStyle w:val="BodyText"/>
        <w:rPr/>
      </w:pPr>
      <w:r>
        <w:rPr>
          <w:b/>
          <w:bCs/>
        </w:rPr>
        <w:t>Cluster-mean fit — the primary characterization tool.</w:t>
      </w:r>
      <w:r>
        <w:rPr/>
        <w:t xml:space="preserve"> A single OLS regression is run for each cluster on the cluster-mean hydrograph. The cluster centroid is constructed by averaging the water-table depths of cluster members month by month, producing one mean-depth time series per cluster; the SSM design matrix is then built from that centroid series and the shared climate forcing, and fitted by OLS. The result is one set of coefficients (β₁, β₂, β₃) per cluster, with the regression </w:t>
      </w:r>
      <w:r>
        <w:rPr>
          <w:i/>
          <w:iCs/>
        </w:rPr>
        <w:t>R</w:t>
      </w:r>
      <w:r>
        <w:rPr/>
        <w:t xml:space="preserve">² and per-coefficient </w:t>
      </w:r>
      <w:r>
        <w:rPr>
          <w:i/>
          <w:iCs/>
        </w:rPr>
        <w:t>p</w:t>
      </w:r>
      <w:r>
        <w:rPr/>
        <w:t xml:space="preserve">-values that anchor Table 1 of the main manuscript. Working on the centroid rather than on per-well-stacked rows is the standard behavioural-cluster characterisation approach: the cluster centroid is the canonical “average member” of the cluster, and fitting the SSM to it gives the coefficients that describe the cluster’s collective behaviour without per-well noise. The cluster-mean fit is what underwrites the substrate-gradient interpretation of Sections 5.1–5.2, the lumped climate-storage contribution (Section S6.4), and the drainage-timescale τ = </w:t>
      </w:r>
      <w:r>
        <w:rPr>
          <w:i/>
          <w:iCs/>
        </w:rPr>
        <w:t>S</w:t>
      </w:r>
      <w:r>
        <w:rPr/>
        <w:t>y/β₃ used throughout the discussion.</w:t>
      </w:r>
    </w:p>
    <w:p>
      <w:pPr>
        <w:pStyle w:val="BodyText"/>
        <w:rPr/>
      </w:pPr>
      <w:r>
        <w:rPr>
          <w:b/>
          <w:bCs/>
        </w:rPr>
        <w:t>Per-well fit — the spatial-products tool.</w:t>
      </w:r>
      <w:r>
        <w:rPr/>
        <w:t xml:space="preserve"> The SSM is also fitted independently at each well in the reference network, producing a separate (β₁, β₂, β₃) at every well. The per-well fits feed the spatial products: the coefficient atlas (Figure 11, four interpolated surfaces built from the per-well values), the per-well residual field (Figure 15, the per-well residuals from the per-well fit interpolated to a continuous surface), and the per-well water-balance decomposition (Section S10). Per-well fits are noisier than the cluster-mean fit because each is conditioned on a single well’s record; per-well coefficient values are therefore best read in the spatial pattern they form across the network rather than at any single point.</w:t>
      </w:r>
    </w:p>
    <w:p>
      <w:pPr>
        <w:pStyle w:val="BodyText"/>
        <w:rPr/>
      </w:pPr>
      <w:r>
        <w:rPr>
          <w:b/>
          <w:bCs/>
        </w:rPr>
        <w:t>Common design-matrix construction.</w:t>
      </w:r>
      <w:r>
        <w:rPr/>
        <w:t xml:space="preserve"> The design matrix is built one (well, month) row at a time. For each row the well’s water-table series is joined with the RAF Valley climate record on the bucketed monthly index, and Δ</w:t>
      </w:r>
      <w:r>
        <w:rPr>
          <w:i/>
          <w:iCs/>
        </w:rPr>
        <w:t>h</w:t>
      </w:r>
      <w:r>
        <w:rPr/>
        <w:t xml:space="preserve"> and </w:t>
      </w:r>
      <w:r>
        <w:rPr>
          <w:i/>
          <w:iCs/>
        </w:rPr>
        <w:t>h</w:t>
      </w:r>
      <w:r>
        <w:rPr/>
        <w:t xml:space="preserve">disp,prev are computed, producing a row with columns </w:t>
      </w:r>
      <w:r>
        <w:rPr>
          <w:i/>
          <w:iCs/>
        </w:rPr>
        <w:t>h</w:t>
      </w:r>
      <w:r>
        <w:rPr/>
        <w:t xml:space="preserve">, </w:t>
      </w:r>
      <w:r>
        <w:rPr>
          <w:i/>
          <w:iCs/>
        </w:rPr>
        <w:t>h</w:t>
      </w:r>
      <w:r>
        <w:rPr/>
        <w:t>prev, Δ</w:t>
      </w:r>
      <w:r>
        <w:rPr>
          <w:i/>
          <w:iCs/>
        </w:rPr>
        <w:t>h</w:t>
      </w:r>
      <w:r>
        <w:rPr/>
        <w:t xml:space="preserve">, </w:t>
      </w:r>
      <w:r>
        <w:rPr>
          <w:i/>
          <w:iCs/>
        </w:rPr>
        <w:t>P</w:t>
      </w:r>
      <w:r>
        <w:rPr/>
        <w:t xml:space="preserve">, PET and </w:t>
      </w:r>
      <w:r>
        <w:rPr>
          <w:i/>
          <w:iCs/>
        </w:rPr>
        <w:t>h</w:t>
      </w:r>
      <w:r>
        <w:rPr/>
        <w:t xml:space="preserve">disp,prev. The per-well fit at well </w:t>
      </w:r>
      <w:r>
        <w:rPr>
          <w:i/>
          <w:iCs/>
        </w:rPr>
        <w:t>w</w:t>
      </w:r>
      <w:r>
        <w:rPr/>
        <w:t xml:space="preserve"> runs OLS over the rows belonging to </w:t>
      </w:r>
      <w:r>
        <w:rPr>
          <w:i/>
          <w:iCs/>
        </w:rPr>
        <w:t>w</w:t>
      </w:r>
      <w:r>
        <w:rPr/>
        <w:t xml:space="preserve"> alone, yielding a per-well (β₁, β₂, β₃). The cluster-mean fit at cluster </w:t>
      </w:r>
      <w:r>
        <w:rPr>
          <w:i/>
          <w:iCs/>
        </w:rPr>
        <w:t>c</w:t>
      </w:r>
      <w:r>
        <w:rPr/>
        <w:t xml:space="preserve"> builds the same row structure from the cluster centroid — the month-by-month mean of cluster members’ depth series — joined against the shared climate record, and runs OLS over those centroid rows. A three-coefficient OLS regression (no intercept) is fitted in either case and reports the coefficients with their standard errors, </w:t>
      </w:r>
      <w:r>
        <w:rPr>
          <w:i/>
          <w:iCs/>
        </w:rPr>
        <w:t>p</w:t>
      </w:r>
      <w:r>
        <w:rPr/>
        <w:t xml:space="preserve">-values from a two-sided </w:t>
      </w:r>
      <w:r>
        <w:rPr>
          <w:i/>
          <w:iCs/>
        </w:rPr>
        <w:t>t</w:t>
      </w:r>
      <w:r>
        <w:rPr/>
        <w:t xml:space="preserve">-test against zero, regression </w:t>
      </w:r>
      <w:r>
        <w:rPr>
          <w:i/>
          <w:iCs/>
        </w:rPr>
        <w:t>R</w:t>
      </w:r>
      <w:r>
        <w:rPr/>
        <w:t xml:space="preserve">², and residual series. The row construction and the regression are implemented in </w:t>
      </w:r>
      <w:r>
        <w:rPr>
          <w:rStyle w:val="VerbatimChar"/>
        </w:rPr>
        <w:t>03_state_space_model.py</w:t>
      </w:r>
      <w:r>
        <w:rPr/>
        <w:t xml:space="preserve">, which calls the shared helpers </w:t>
      </w:r>
      <w:r>
        <w:rPr>
          <w:rStyle w:val="VerbatimChar"/>
        </w:rPr>
        <w:t>build_ssm_frame()</w:t>
      </w:r>
      <w:r>
        <w:rPr/>
        <w:t xml:space="preserve"> and </w:t>
      </w:r>
      <w:r>
        <w:rPr>
          <w:rStyle w:val="VerbatimChar"/>
        </w:rPr>
        <w:t>fit_ssm()</w:t>
      </w:r>
      <w:r>
        <w:rPr/>
        <w:t xml:space="preserve"> from </w:t>
      </w:r>
      <w:r>
        <w:rPr>
          <w:rStyle w:val="VerbatimChar"/>
        </w:rPr>
        <w:t>src/utils/model_utils.py</w:t>
      </w:r>
      <w:r>
        <w:rPr/>
        <w:t>; there is no reimplementation of the displacement calculation or the OLS fit elsewhere in the pipeline.</w:t>
      </w:r>
      <w:bookmarkEnd w:id="21"/>
      <w:bookmarkEnd w:id="27"/>
    </w:p>
    <w:p>
      <w:pPr>
        <w:pStyle w:val="Heading3"/>
        <w:rPr/>
      </w:pPr>
      <w:r>
        <w:rPr/>
        <w:t xml:space="preserve">S5.6 Residual serial correlation and inference validity</w:t>
      </w:r>
    </w:p>
    <w:p>
      <w:pPr>
        <w:pStyle w:val="BodyText"/>
        <w:rPr/>
      </w:pPr>
      <w:r>
        <w:rPr/>
        <w:t xml:space="preserve">Because the SSM is a monthly time-series regression, the classical OLS standard errors that produce the coefficient </w:t>
      </w:r>
      <w:r>
        <w:rPr>
          <w:i/>
          <w:iCs/>
        </w:rPr>
        <w:t xml:space="preserve">p</w:t>
      </w:r>
      <w:r>
        <w:rPr/>
        <w:t xml:space="preserve">-values are valid only if the residuals are free of substantial serial correlation. This is tested directly (</w:t>
      </w:r>
      <w:r>
        <w:rPr>
          <w:rStyle w:val="VerbatimChar"/>
        </w:rPr>
        <w:t xml:space="preserve">22_residual_lag_analysis.py</w:t>
      </w:r>
      <w:r>
        <w:rPr/>
        <w:t xml:space="preserve">, output </w:t>
      </w:r>
      <w:r>
        <w:rPr>
          <w:rStyle w:val="VerbatimChar"/>
        </w:rPr>
        <w:t xml:space="preserve">22_05_ssm_residual_autocorrelation.csv</w:t>
      </w:r>
      <w:r>
        <w:rPr/>
        <w:t xml:space="preserve">). The headline (no-intercept) SSM is refitted at each of the 66 reference wells and the residuals are examined: the median Durbin–Watson statistic is 2.20 (interquartile range 2.11–2.37) and the median lag-1 autocorrelation is −0.12. The residuals therefore carry a slight </w:t>
      </w:r>
      <w:r>
        <w:rPr>
          <w:i/>
          <w:iCs/>
        </w:rPr>
        <w:t xml:space="preserve">negative</w:t>
      </w:r>
      <w:r>
        <w:rPr/>
        <w:t xml:space="preserve"> first-order autocorrelation rather than the positive persistence that would inflate significance — a direct consequence of the drainage term −β₃·(</w:t>
      </w:r>
      <w:r>
        <w:rPr>
          <w:i/>
          <w:iCs/>
        </w:rPr>
        <w:t xml:space="preserve">D</w:t>
      </w:r>
      <w:r>
        <w:rPr/>
        <w:t xml:space="preserve"> + </w:t>
      </w:r>
      <w:r>
        <w:rPr>
          <w:i/>
          <w:iCs/>
        </w:rPr>
        <w:t xml:space="preserve">h</w:t>
      </w:r>
      <w:r>
        <w:rPr/>
        <w:t xml:space="preserve">(</w:t>
      </w:r>
      <w:r>
        <w:rPr>
          <w:i/>
          <w:iCs/>
        </w:rPr>
        <w:t xml:space="preserve">t</w:t>
      </w:r>
      <w:r>
        <w:rPr/>
        <w:t xml:space="preserve">−1)), which acts as an error-correction term and absorbs the first-order persistence of the level series. Negative residual autocorrelation makes the OLS standard errors mildly conservative, not anti-conservative. A Ljung–Box test at lag 12 rejects white-noise residuals at 19 of the 66 wells; this reflects the </w:t>
      </w:r>
      <w:r>
        <w:rPr>
          <w:i/>
          <w:iCs/>
        </w:rPr>
        <w:t xml:space="preserve">seasonal</w:t>
      </w:r>
      <w:r>
        <w:rPr/>
        <w:t xml:space="preserve"> residual structure characterized independently in Section S9.3 (winter–spring phased), not low-order persistence, and it is orthogonal to the coefficient standard errors.</w:t>
      </w:r>
    </w:p>
    <w:p>
      <w:pPr>
        <w:pStyle w:val="BodyText"/>
        <w:rPr/>
      </w:pPr>
      <w:r>
        <w:rPr/>
        <w:t xml:space="preserve">As a robustness check the coefficient </w:t>
      </w:r>
      <w:r>
        <w:rPr>
          <w:i/>
          <w:iCs/>
        </w:rPr>
        <w:t xml:space="preserve">p</w:t>
      </w:r>
      <w:r>
        <w:rPr/>
        <w:t xml:space="preserve">-values are re-estimated with heteroskedasticity- and autocorrelation-consistent (Newey–West / HAC) standard errors, using the </w:t>
      </w:r>
      <w:r>
        <w:rPr>
          <w:i/>
          <w:iCs/>
        </w:rPr>
        <w:t xml:space="preserve">n</w:t>
      </w:r>
      <w:r>
        <w:rPr/>
        <w:t xml:space="preserve">-adaptive rule-of-thumb truncation lag </w:t>
      </w:r>
      <w:r>
        <w:rPr>
          <w:rStyle w:val="VerbatimChar"/>
        </w:rPr>
        <w:t xml:space="preserve">L = floor(4·(n/100)^(2/9))</w:t>
      </w:r>
      <w:r>
        <w:rPr/>
        <w:t xml:space="preserve">. Across the 198 coefficient tests (66 wells × three coefficients), the HAC and OLS significance verdicts at α = 0.05 agree in all but one instance — β₂ at CEH25, which moves from </w:t>
      </w:r>
      <w:r>
        <w:rPr>
          <w:i/>
          <w:iCs/>
        </w:rPr>
        <w:t xml:space="preserve">p</w:t>
      </w:r>
      <w:r>
        <w:rPr/>
        <w:t xml:space="preserve"> = 0.079 to </w:t>
      </w:r>
      <w:r>
        <w:rPr>
          <w:i/>
          <w:iCs/>
        </w:rPr>
        <w:t xml:space="preserve">p</w:t>
      </w:r>
      <w:r>
        <w:rPr/>
        <w:t xml:space="preserve"> = 0.028, i.e. </w:t>
      </w:r>
      <w:r>
        <w:rPr>
          <w:i/>
          <w:iCs/>
        </w:rPr>
        <w:t xml:space="preserve">toward</w:t>
      </w:r>
      <w:r>
        <w:rPr/>
        <w:t xml:space="preserve"> significance. No coefficient that OLS reports as significant is overturned under HAC. The classical-OLS inference underlying the coefficient tables is therefore sound. These diagnostics are run at the per-well level, the noisier of the two fits. </w:t>
      </w:r>
      <w:r>
        <w:rPr/>
        <w:t xml:space="preserve">The same battery applied to the five cluster centroids that carry the headline β table (Table 1; </w:t>
      </w:r>
      <w:r>
        <w:rPr>
          <w:rStyle w:val="VerbatimChar"/>
        </w:rPr>
        <w:t xml:space="preserve">22_06_ssm_cluster_mean_inference.csv</w:t>
      </w:r>
      <w:r>
        <w:rPr/>
        <w:t xml:space="preserve">, whose centroid β and OLS </w:t>
      </w:r>
      <w:r>
        <w:rPr>
          <w:i/>
          <w:iCs/>
        </w:rPr>
        <w:t xml:space="preserve">p</w:t>
      </w:r>
      <w:r>
        <w:rPr/>
        <w:t xml:space="preserve">-values reproduce </w:t>
      </w:r>
      <w:r>
        <w:rPr>
          <w:rStyle w:val="VerbatimChar"/>
        </w:rPr>
        <w:t xml:space="preserve">03_03_cluster_mechanistic_coefficients.csv</w:t>
      </w:r>
      <w:r>
        <w:rPr/>
        <w:t xml:space="preserve"> exactly) leaves every coefficient significant under both OLS and HAC: none of the fifteen cluster-level tests (five clusters × three coefficients) changes verdict. The centroid residuals are close to white (Durbin–Watson 2.0–2.4) at every cluster except C4 Main Forest, where a mild </w:t>
      </w:r>
      <w:r>
        <w:rPr>
          <w:i/>
          <w:iCs/>
        </w:rPr>
        <w:t xml:space="preserve">positive</w:t>
      </w:r>
      <w:r>
        <w:rPr/>
        <w:t xml:space="preserve"> autocorrelation (Durbin–Watson 1.66, φ = +0.06) still leaves all three coefficients HAC-significant. The cluster-mean fits, pooling every well in a cluster, are the better-conditioned of the two levels.</w:t>
      </w:r>
    </w:p>
    <w:p>
      <w:pPr>
        <w:pStyle w:val="Heading2"/>
        <w:rPr/>
      </w:pPr>
      <w:bookmarkStart w:id="28" w:name="X8d57e3fa5eb8dcfca8202532c4b64466dd68bf1"/>
      <w:r>
        <w:rPr/>
        <w:t>S6. State-space regression and the lumped climate-storage characterization</w:t>
      </w:r>
    </w:p>
    <w:p>
      <w:pPr>
        <w:pStyle w:val="Heading3"/>
        <w:rPr/>
      </w:pPr>
      <w:bookmarkStart w:id="29" w:name="X200ccb31271239d119f5cc94cfde2781a159993"/>
      <w:r>
        <w:rPr/>
        <w:t>S6.1 Per-well and cluster-mean fits, and where each is used</w:t>
      </w:r>
    </w:p>
    <w:p>
      <w:pPr>
        <w:pStyle w:val="FirstParagraph"/>
        <w:rPr/>
      </w:pPr>
      <w:r>
        <w:rPr/>
        <w:t xml:space="preserve">Section S5.5 introduced the two levels of fit; both are implemented in </w:t>
      </w:r>
      <w:r>
        <w:rPr>
          <w:rStyle w:val="VerbatimChar"/>
        </w:rPr>
        <w:t>03_state_space_model.py</w:t>
      </w:r>
      <w:r>
        <w:rPr/>
        <w:t>. The mapping of each fit to the downstream products of Paper 1 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10"/>
        <w:gridCol w:w="3060"/>
        <w:gridCol w:w="1590"/>
      </w:tblGrid>
      <w:tr>
        <w:trPr>
          <w:tblHeader w:val="true"/>
        </w:trPr>
        <w:tc>
          <w:tcPr>
            <w:tcW w:w="471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Output</w:t>
            </w:r>
          </w:p>
        </w:tc>
        <w:tc>
          <w:tcPr>
            <w:tcW w:w="306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Fit used</w:t>
            </w:r>
          </w:p>
        </w:tc>
        <w:tc>
          <w:tcPr>
            <w:tcW w:w="159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Section</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Table 1 cluster mechanistic coefficients</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Cluster-mean</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S6.2</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Lumped climate-storage contribution (LCSC)</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Cluster-mean</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S6.4</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Drainage timescale τ = </w:t>
            </w:r>
            <w:r>
              <w:rPr>
                <w:rFonts w:eastAsia="Calibri" w:cs=""/>
                <w:i/>
                <w:iCs/>
                <w:kern w:val="0"/>
                <w:sz w:val="24"/>
                <w:szCs w:val="24"/>
                <w:lang w:val="en-US" w:eastAsia="en-US" w:bidi="ar-SA"/>
              </w:rPr>
              <w:t>S</w:t>
            </w:r>
            <w:r>
              <w:rPr>
                <w:rFonts w:eastAsia="Calibri" w:cs=""/>
                <w:kern w:val="0"/>
                <w:sz w:val="24"/>
                <w:szCs w:val="24"/>
                <w:lang w:val="en-US" w:eastAsia="en-US" w:bidi="ar-SA"/>
              </w:rPr>
              <w:t>y/β₃ by cluster</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Cluster-mean</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S10, main text §5.5</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Traditional-linear-model benchmarking</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Cluster-mean</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S6.5</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Substrate-gradient interpretation (Sections 5.1–5.2)</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Cluster-mean</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main text</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Coefficient atlas, Figure 11 (β₁, β₂, β₃, LCSC surfaces)</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Per-well, interpolated</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S8</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Per-well residuals and residual field (Figure 15)</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Per-well, interpolated</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S9</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Per-well water-balance decomposition</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Per-well</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S9</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Coastal-retreat panel regression (Section S13)</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Per-well (cumulative water-balance covariate)</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S12</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Residual-field diagnostics (cross-correlation, climatology)</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Per-well (residual series)</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S13</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Pearson affinity audit (Figure 5)</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Independent of SSM — operates on raw hydrographs</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S7</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Water-table-fluctuation specific yield</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Independent of SSM — operates on recharge / Δ</w:t>
            </w:r>
            <w:r>
              <w:rPr>
                <w:rFonts w:eastAsia="Calibri" w:cs=""/>
                <w:i/>
                <w:iCs/>
                <w:kern w:val="0"/>
                <w:sz w:val="24"/>
                <w:szCs w:val="24"/>
                <w:lang w:val="en-US" w:eastAsia="en-US" w:bidi="ar-SA"/>
              </w:rPr>
              <w:t>h</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S10</w:t>
            </w:r>
          </w:p>
        </w:tc>
      </w:tr>
      <w:tr>
        <w:trPr/>
        <w:tc>
          <w:tcPr>
            <w:tcW w:w="471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Mean water-table head surface (Figure 14)</w:t>
            </w:r>
          </w:p>
        </w:tc>
        <w:tc>
          <w:tcPr>
            <w:tcW w:w="306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Independent of SSM — operates on observed mean heads</w:t>
            </w:r>
          </w:p>
        </w:tc>
        <w:tc>
          <w:tcPr>
            <w:tcW w:w="159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S11</w:t>
            </w:r>
          </w:p>
        </w:tc>
      </w:tr>
    </w:tbl>
    <w:p>
      <w:pPr>
        <w:pStyle w:val="BodyText"/>
        <w:rPr/>
      </w:pPr>
      <w:r>
        <w:rPr/>
        <w:t>The cluster-mean fit is the primary characterization tool: Table 1 of the manuscript and the substrate-gradient discussion that runs through Sections 5.1, 5.2 and 5.5 are all carried by the cluster-mean coefficients. The per-well fit is the spatial-products tool: it lets the cluster characterization be projected as continuous surfaces across the site for visual and diagnostic interpretation.</w:t>
      </w:r>
    </w:p>
    <w:p>
      <w:pPr>
        <w:pStyle w:val="BodyText"/>
        <w:rPr/>
      </w:pPr>
      <w:r>
        <w:rPr/>
        <w:t xml:space="preserve">Three of the Paper 1 outputs are independent of the SSM regression entirely. The Pearson affinity audit is the principal independent cross-check on the cluster structure: it tests, well by well, whether each dipwell sits closer to its assigned cluster centroid than to any other, using a Pearson correlation that does not depend on the SSM regression. Of the 66 reference-network wells, 63 sit in their assigned cluster as Core or Fuzzy members (96 %); three (ceh4, ceh21, nw13) are flagged as borderline cases where the Pearson best match disagrees with the k-means assignment by margins below 1.7 % — documented but retained, since within-noise Pearson differences are not a defensible basis for re-partitioning. The water-table-fluctuation specific-yield estimation takes cluster identity as an input rather than testing it, but the distinguishably different cluster-level </w:t>
      </w:r>
      <w:r>
        <w:rPr>
          <w:i/>
          <w:iCs/>
        </w:rPr>
        <w:t>S</w:t>
      </w:r>
      <w:r>
        <w:rPr/>
        <w:t xml:space="preserve">y values that emerge (Section S11.2) provide a storage-side validation that the clusters mean something physically rather than being a statistical artefact. The mean water-table head surface is a third independent product — independent of the cluster structure by construction, since clusters describe behaviour (how hydrographs move together) while the head surface describes where the water table sits (geometry and discharge boundary positions) — and feeds the Darcy flow field in Section S12 rather than the cluster argument. The justification for the cluster framework rests on the Pearson affinity audit, with WTF </w:t>
      </w:r>
      <w:r>
        <w:rPr>
          <w:i/>
          <w:iCs/>
        </w:rPr>
        <w:t>S</w:t>
      </w:r>
      <w:r>
        <w:rPr/>
        <w:t>y as a supporting line of evidence.</w:t>
      </w:r>
      <w:bookmarkEnd w:id="29"/>
    </w:p>
    <w:p>
      <w:pPr>
        <w:pStyle w:val="Heading3"/>
        <w:rPr/>
      </w:pPr>
      <w:bookmarkStart w:id="30" w:name="s6.2-cluster-mean-coefficients"/>
      <w:r>
        <w:rPr/>
        <w:t>S6.2 Cluster-mean coefficients</w:t>
      </w:r>
    </w:p>
    <w:p>
      <w:pPr>
        <w:pStyle w:val="FirstParagraph"/>
        <w:rPr/>
      </w:pPr>
      <w:r>
        <w:rPr/>
        <w:t xml:space="preserve">The full per-cluster (β₁, β₂, β₃) values, their standard errors and </w:t>
      </w:r>
      <w:r>
        <w:rPr>
          <w:i/>
          <w:iCs/>
        </w:rPr>
        <w:t>p</w:t>
      </w:r>
      <w:r>
        <w:rPr/>
        <w:t xml:space="preserve">-values, regression </w:t>
      </w:r>
      <w:r>
        <w:rPr>
          <w:i/>
          <w:iCs/>
        </w:rPr>
        <w:t>R</w:t>
      </w:r>
      <w:r>
        <w:rPr/>
        <w:t xml:space="preserve">², sample sizes </w:t>
      </w:r>
      <w:r>
        <w:rPr>
          <w:i/>
          <w:iCs/>
        </w:rPr>
        <w:t>n</w:t>
      </w:r>
      <w:r>
        <w:rPr/>
        <w:t xml:space="preserve"> and lumped climate-storage contributions (LCSC %, defined in S6.4) are reported as Table 1 of the main manuscript and are read live from </w:t>
      </w:r>
      <w:r>
        <w:rPr>
          <w:rStyle w:val="VerbatimChar"/>
        </w:rPr>
        <w:t>03_03_cluster_mechanistic_coefficients.csv</w:t>
      </w:r>
      <w:r>
        <w:rPr/>
        <w:t>. The substantive interpretation — the physical meaning of each coefficient, the direction of the cluster-to-cluster contrasts, and the comparison of C4 with C5 — is developed in Section 5.2 of the main manuscript.</w:t>
      </w:r>
      <w:bookmarkEnd w:id="30"/>
    </w:p>
    <w:p>
      <w:pPr>
        <w:pStyle w:val="Heading3"/>
        <w:rPr/>
      </w:pPr>
      <w:bookmarkStart w:id="31" w:name="s6.3-caveats-on-ols-coefficient-values"/>
      <w:bookmarkEnd w:id="31"/>
      <w:r>
        <w:rPr/>
        <w:t>S6.3 Caveats on OLS coefficient values</w:t>
      </w:r>
    </w:p>
    <w:p>
      <w:pPr>
        <w:pStyle w:val="BodyText"/>
        <w:rPr/>
      </w:pPr>
      <w:bookmarkStart w:id="32" w:name="s6.3-caveats-on-ols-coefficient-values"/>
      <w:bookmarkEnd w:id="32"/>
      <w:r>
        <w:rPr/>
        <w:t xml:space="preserve">The cluster-mean coefficients are well-determined within the OLS framework: regression </w:t>
      </w:r>
      <w:r>
        <w:rPr>
          <w:rStyle w:val="Emphasis"/>
        </w:rPr>
        <w:t>R</w:t>
      </w:r>
      <w:r>
        <w:rPr/>
        <w:t xml:space="preserve">² values lie between 0.68 and 0.81, the per-coefficient </w:t>
      </w:r>
      <w:r>
        <w:rPr>
          <w:rStyle w:val="Emphasis"/>
        </w:rPr>
        <w:t>p</w:t>
      </w:r>
      <w:r>
        <w:rPr/>
        <w:t xml:space="preserve">-values are all very small (Section S6.2, Table 1 of the manuscript), and bootstrap resampling of the within-cluster wells gives tight confidence intervals on each (β₁, β₂, β₃). The interpretive caveat is not about coefficient accuracy in that statistical sense but about the </w:t>
      </w:r>
      <w:r>
        <w:rPr>
          <w:rStyle w:val="Emphasis"/>
        </w:rPr>
        <w:t>scope</w:t>
      </w:r>
      <w:r>
        <w:rPr/>
        <w:t xml:space="preserve"> of what the coefficients represent.</w:t>
      </w:r>
    </w:p>
    <w:p>
      <w:pPr>
        <w:pStyle w:val="BodyText"/>
        <w:rPr/>
      </w:pPr>
      <w:r>
        <w:rPr/>
        <w:t>First, the coefficients are lumped cluster-mean responses, not point-flux measurements. β₁ is the system-aggregate sensitivity of monthly Δ</w:t>
      </w:r>
      <w:r>
        <w:rPr>
          <w:rStyle w:val="Emphasis"/>
        </w:rPr>
        <w:t>h</w:t>
      </w:r>
      <w:r>
        <w:rPr/>
        <w:t xml:space="preserve"> to rainfall, integrated over the cluster's heterogeneity, not a point recharge efficiency at any particular location; β₂ and β₃ are analogous lumped responses. Two wells from the same cluster need not share a common (β₁, β₂, β₃) — the per-well fits show modest within-cluster variation around the cluster mean — and a literal reading of the cluster coefficient as the value at any individual well over-extends the claim.</w:t>
      </w:r>
    </w:p>
    <w:p>
      <w:pPr>
        <w:pStyle w:val="BodyText"/>
        <w:rPr/>
      </w:pPr>
      <w:r>
        <w:rPr/>
        <w:t xml:space="preserve">Second, the SSM is linearised — it assumes additive superposition of recharge, atmospheric draw and drainage. Real shallow-aquifer systems have nonlinearities (soil-moisture deficit thresholding recharge, depth-dependent ET access, hysteresis in the unsaturated zone) that the lumped monthly fit averages over. The high </w:t>
      </w:r>
      <w:r>
        <w:rPr>
          <w:rStyle w:val="Emphasis"/>
        </w:rPr>
        <w:t>R</w:t>
      </w:r>
      <w:r>
        <w:rPr/>
        <w:t>² values say the linearisation works at monthly timestep — much of the variance is recovered by a three-coefficient linear model — but they do not say there is no nonlinearity to find. The residual climatology (Section S9.3) shows systematic seasonal structure at the cluster level rather than month-to-month random variation, consistent with residual nonlinearity in the recharge term, the atmospheric-draw term, or both.</w:t>
      </w:r>
    </w:p>
    <w:p>
      <w:pPr>
        <w:pStyle w:val="BodyText"/>
        <w:rPr/>
      </w:pPr>
      <w:r>
        <w:rPr/>
        <w:t xml:space="preserve">Third, at monthly timestep </w:t>
      </w:r>
      <w:r>
        <w:rPr>
          <w:rStyle w:val="Emphasis"/>
        </w:rPr>
        <w:t>P</w:t>
      </w:r>
      <w:r>
        <w:rPr/>
        <w:t xml:space="preserve">, PET and </w:t>
      </w:r>
      <w:r>
        <w:rPr>
          <w:rStyle w:val="Emphasis"/>
        </w:rPr>
        <w:t>h</w:t>
      </w:r>
      <w:r>
        <w:rPr/>
        <w:t xml:space="preserve"> co-vary during recharge events. Collinearity between regressors widens the practical confidence interval on each individual coefficient relative to the OLS standard error, without inflating the point estimate in a known direction. The cluster-mean fits mitigate this by averaging over wells with slightly different individual covariances, but the issue is in principle present in any lumped state-space model fitted by OLS (Knotters and van Walsum, 1997; Healy and Cook, 2002).</w:t>
      </w:r>
    </w:p>
    <w:p>
      <w:pPr>
        <w:pStyle w:val="BodyText"/>
        <w:rPr/>
      </w:pPr>
      <w:r>
        <w:rPr/>
        <w:t xml:space="preserve">The practical implication is that the </w:t>
      </w:r>
      <w:r>
        <w:rPr>
          <w:rStyle w:val="Emphasis"/>
        </w:rPr>
        <w:t>ranking</w:t>
      </w:r>
      <w:r>
        <w:rPr/>
        <w:t xml:space="preserve"> of clusters by each coefficient — C4 has the highest β₂; the forest clusters have the lowest β₁; C1 has the highest β₃ — is robust to all three caveats. Cross-cluster contrasts at this level reflect the substrate, vegetation and topographic differences between clusters, which the SSM is designed to detect. Absolute coefficient values should be interpreted as lumped cluster-mean responses, not as instrument-equivalent calibrated fluxes. The main manuscript Section 5.2 notes the same scope in the context of the β₂ ranking — that cross-cluster β₂ comparisons rest on the ordering and the relative magnitudes, not on absolute flux interpretation.</w:t>
      </w:r>
    </w:p>
    <w:p>
      <w:pPr>
        <w:pStyle w:val="Heading3"/>
        <w:rPr/>
      </w:pPr>
      <w:bookmarkStart w:id="33" w:name="s6.4-lumped-climate-storage-contribution"/>
      <w:r>
        <w:rPr/>
        <w:t>S6.4 Lumped climate-storage contribution</w:t>
      </w:r>
    </w:p>
    <w:p>
      <w:pPr>
        <w:pStyle w:val="FirstParagraph"/>
        <w:rPr/>
      </w:pPr>
      <w:r>
        <w:rPr/>
        <w:t>The lumped climate-storage contribution (LCSC) is the fraction of monthly Δ</w:t>
      </w:r>
      <w:r>
        <w:rPr>
          <w:i/>
          <w:iCs/>
        </w:rPr>
        <w:t>h</w:t>
      </w:r>
      <w:r>
        <w:rPr/>
        <w:t xml:space="preserve"> variance explained by climate forcing alone, conditional on the start-of-month displacement. It is computed from a nested fit that fixes β₃ at its cluster-mean value and reports the fraction of total variance attributable to the (β₁·</w:t>
      </w:r>
      <w:r>
        <w:rPr>
          <w:i/>
          <w:iCs/>
        </w:rPr>
        <w:t>P</w:t>
      </w:r>
      <w:r>
        <w:rPr/>
        <w:t xml:space="preserve"> − β₂·PET) component versus the residual. Per-cluster LCSC values are reported alongside the cluster-mean coefficients in Table 1 of the main manuscript; the relative ordering across clusters is interpreted in Section 5.2.</w:t>
      </w:r>
      <w:bookmarkEnd w:id="28"/>
      <w:bookmarkEnd w:id="33"/>
    </w:p>
    <w:p>
      <w:pPr>
        <w:pStyle w:val="Heading2"/>
        <w:rPr/>
      </w:pPr>
      <w:bookmarkStart w:id="34" w:name="X8136c78db759b7f22ee801f329bb17b16b17a41"/>
      <w:r>
        <w:rPr/>
        <w:t>S7. SSM vs traditional linear model (benchmarking)</w:t>
      </w:r>
    </w:p>
    <w:p>
      <w:pPr>
        <w:pStyle w:val="FirstParagraph"/>
        <w:rPr/>
      </w:pPr>
      <w:r>
        <w:rPr/>
        <w:t>The SSM’s third coefficient β₃ — the drainage feedback term — is what distinguishes it from a generic climate-only linear model. Whether it earns its place is the question the TLM benchmark (</w:t>
      </w:r>
      <w:r>
        <w:rPr>
          <w:rStyle w:val="VerbatimChar"/>
        </w:rPr>
        <w:t>08_model_benchmarking.py</w:t>
      </w:r>
      <w:r>
        <w:rPr/>
        <w:t>) addresses, by fitting a structurally simpler counterfactual at every reference well and comparing performance.</w:t>
      </w:r>
    </w:p>
    <w:p>
      <w:pPr>
        <w:pStyle w:val="BodyText"/>
        <w:rPr/>
      </w:pPr>
      <w:r>
        <w:rPr/>
        <w:t>The TLM is the simplest unphysical alternative:</w:t>
      </w:r>
    </w:p>
    <w:p>
      <w:pPr>
        <w:pStyle w:val="BlockText"/>
        <w:rPr/>
      </w:pPr>
      <w:r>
        <w:rPr/>
        <w:t>Δ</w:t>
      </w:r>
      <w:r>
        <w:rPr>
          <w:i/>
          <w:iCs/>
        </w:rPr>
        <w:t>h</w:t>
      </w:r>
      <w:r>
        <w:rPr/>
        <w:t>(</w:t>
      </w:r>
      <w:r>
        <w:rPr>
          <w:i/>
          <w:iCs/>
        </w:rPr>
        <w:t>t</w:t>
      </w:r>
      <w:r>
        <w:rPr/>
        <w:t xml:space="preserve">) = α + β₁ · </w:t>
      </w:r>
      <w:r>
        <w:rPr>
          <w:i/>
          <w:iCs/>
        </w:rPr>
        <w:t>P</w:t>
      </w:r>
      <w:r>
        <w:rPr/>
        <w:t>(</w:t>
      </w:r>
      <w:r>
        <w:rPr>
          <w:i/>
          <w:iCs/>
        </w:rPr>
        <w:t>t</w:t>
      </w:r>
      <w:r>
        <w:rPr/>
        <w:t>) − β₂ · PET(</w:t>
      </w:r>
      <w:r>
        <w:rPr>
          <w:i/>
          <w:iCs/>
        </w:rPr>
        <w:t>t</w:t>
      </w:r>
      <w:r>
        <w:rPr/>
        <w:t>)</w:t>
      </w:r>
    </w:p>
    <w:p>
      <w:pPr>
        <w:pStyle w:val="FirstParagraph"/>
        <w:rPr/>
      </w:pPr>
      <w:r>
        <w:rPr/>
        <w:t xml:space="preserve">— rainfall, PET, and an intercept α; no drainage feedback. The intercept absorbs any constant lateral subsidy or systematic offset that the SSM’s β₃ term would otherwise represent. The TLM therefore has one degree of freedom more than the SSM (the intercept) but lacks the drainage feedback. This makes the comparison conservative: if the SSM outperforms the TLM, it does so despite the TLM’s extra fitted parameter.</w:t>
      </w:r>
    </w:p>
    <w:p>
      <w:pPr>
        <w:pStyle w:val="BodyText"/>
        <w:rPr/>
      </w:pPr>
      <w:r>
        <w:rPr/>
        <w:t>The TLM is not proposed as a published model and is not claimed to be optimal in any sense. It is a deliberately weak counterfactual that quantifies how much explanatory power the SSM contributes beyond a structurally simpler unphysical baseline.</w:t>
      </w:r>
    </w:p>
    <w:p>
      <w:pPr>
        <w:pStyle w:val="BodyText"/>
        <w:rPr/>
      </w:pPr>
      <w:r>
        <w:rPr/>
        <w:t xml:space="preserve">At each well in the reference network (excluding three with inconsistent records that fail the benchmarking data-quality bar), both models are fitted by OLS on the most recent 100 aligned months. Two performance metrics are reported per well. The </w:t>
      </w:r>
      <w:r>
        <w:rPr>
          <w:i/>
          <w:iCs/>
        </w:rPr>
        <w:t>one-step</w:t>
      </w:r>
      <w:r>
        <w:rPr/>
        <w:t xml:space="preserve"> </w:t>
      </w:r>
      <w:r>
        <w:rPr>
          <w:i/>
          <w:iCs/>
        </w:rPr>
        <w:t>R</w:t>
      </w:r>
      <w:r>
        <w:rPr/>
        <w:t>² takes the model’s Δ</w:t>
      </w:r>
      <w:r>
        <w:rPr>
          <w:i/>
          <w:iCs/>
        </w:rPr>
        <w:t>h</w:t>
      </w:r>
      <w:r>
        <w:rPr/>
        <w:t xml:space="preserve"> prediction added to the </w:t>
      </w:r>
      <w:r>
        <w:rPr>
          <w:i/>
          <w:iCs/>
        </w:rPr>
        <w:t>observed</w:t>
      </w:r>
      <w:r>
        <w:rPr/>
        <w:t xml:space="preserve"> previous-month head, so each month is predicted with the truth at the previous step — it measures diagnostic fit. The </w:t>
      </w:r>
      <w:r>
        <w:rPr>
          <w:i/>
          <w:iCs/>
        </w:rPr>
        <w:t>iterative</w:t>
      </w:r>
      <w:r>
        <w:rPr/>
        <w:t xml:space="preserve"> </w:t>
      </w:r>
      <w:r>
        <w:rPr>
          <w:i/>
          <w:iCs/>
        </w:rPr>
        <w:t>R</w:t>
      </w:r>
      <w:r>
        <w:rPr/>
        <w:t xml:space="preserve">² and NSE perform an autonomous forecast from the window’s first month forward, with each month’s prediction feeding into the next as </w:t>
      </w:r>
      <w:r>
        <w:rPr>
          <w:i/>
          <w:iCs/>
        </w:rPr>
        <w:t>h</w:t>
      </w:r>
      <w:r>
        <w:rPr/>
        <w:t>prev — this measures forecasting stability, which is the harder test because errors compound.</w:t>
      </w:r>
    </w:p>
    <w:p>
      <w:pPr>
        <w:pStyle w:val="BodyText"/>
        <w:rPr/>
      </w:pPr>
      <w:r>
        <w:rPr/>
        <w:t xml:space="preserve">The SSM outperforms the TLM at every well in the reference network on the iterative metrics, and at almost every well on the one-step metric. The improvement is largest at the forest and western-residual clusters, where the displacement feedback is doing most of its work. The CEH6 showcase, reported in the main manuscript, illustrates the contrast: the TLM drifts to iterative NSE = −1.12 over the 100-month window, while the SSM holds at iterative NSE = +0.66. The headline ΔR² and ΔNSE per-well values are tabulated in </w:t>
      </w:r>
      <w:r>
        <w:rPr>
          <w:rStyle w:val="VerbatimChar"/>
        </w:rPr>
        <w:t>08_lcsc_model_stats.csv</w:t>
      </w:r>
      <w:r>
        <w:rPr/>
        <w:t xml:space="preserve"> and rendered as cluster-coded spatial scatters in the same output directory.</w:t>
      </w:r>
    </w:p>
    <w:p>
      <w:pPr>
        <w:pStyle w:val="BodyText"/>
        <w:rPr/>
      </w:pPr>
      <w:bookmarkStart w:id="35" w:name="X8136c78db759b7f22ee801f329bb17b16b17a41"/>
      <w:r>
        <w:rPr/>
        <w:t>The TLM benchmark is reported as a methodological diagnostic, not a competition: it demonstrates that the SSM’s three-coefficient structure provides substantive explanatory power over a structurally simpler alternative, and quantifies that improvement spatially.</w:t>
      </w:r>
      <w:bookmarkEnd w:id="35"/>
    </w:p>
    <w:p>
      <w:pPr>
        <w:pStyle w:val="Heading2"/>
        <w:rPr/>
      </w:pPr>
      <w:bookmarkStart w:id="36" w:name="X90973268b3f0fbed806dbf28039740d60fd85bb"/>
      <w:r>
        <w:rPr/>
        <w:t>S8. Spatial interpolation of SSM coefficients</w:t>
      </w:r>
    </w:p>
    <w:p>
      <w:pPr>
        <w:pStyle w:val="FirstParagraph"/>
        <w:rPr/>
      </w:pPr>
      <w:r>
        <w:rPr/>
        <w:t>The per-well β₁, β₂, β₃ values (Section S6.1) are interpolated to continuous surfaces across the site (</w:t>
      </w:r>
      <w:r>
        <w:rPr>
          <w:rStyle w:val="VerbatimChar"/>
        </w:rPr>
        <w:t>07_spatial_coefficients.py</w:t>
      </w:r>
      <w:r>
        <w:rPr/>
        <w:t xml:space="preserve">) using inverse-distance weighting (IDW). The interpolation is purely geometric; the surfaces are </w:t>
      </w:r>
      <w:r>
        <w:rPr>
          <w:i/>
          <w:iCs/>
        </w:rPr>
        <w:t>aggregators of point responses</w:t>
      </w:r>
      <w:r>
        <w:rPr/>
        <w:t>, not the output of a calibrated distributed-flow model. This distinction is foregrounded in the manuscript and in the figure captions.</w:t>
      </w:r>
    </w:p>
    <w:p>
      <w:pPr>
        <w:pStyle w:val="Heading3"/>
        <w:rPr/>
      </w:pPr>
      <w:bookmarkStart w:id="37" w:name="s8.1-idw-configuration"/>
      <w:r>
        <w:rPr/>
        <w:t>S8.1 IDW configuration</w:t>
      </w:r>
    </w:p>
    <w:p>
      <w:pPr>
        <w:pStyle w:val="FirstParagraph"/>
        <w:rPr/>
      </w:pPr>
      <w:r>
        <w:rPr/>
        <w:t xml:space="preserve">The IDW exponent is </w:t>
      </w:r>
      <w:r>
        <w:rPr>
          <w:i/>
          <w:iCs/>
        </w:rPr>
        <w:t>p</w:t>
      </w:r>
      <w:r>
        <w:rPr/>
        <w:t xml:space="preserve"> = 2, a conventional choice that emphasizes local control. The grid is built on a LiDAR-derived 5 m digital elevation model resampled to a 40 m regular working grid; grid resolution sensitivity was checked against a 50 m grid (no qualitative change to the surfaces, mean coefficient values within 1% across the network).</w:t>
      </w:r>
      <w:bookmarkEnd w:id="37"/>
    </w:p>
    <w:p>
      <w:pPr>
        <w:pStyle w:val="Heading3"/>
        <w:rPr/>
      </w:pPr>
      <w:bookmarkStart w:id="38" w:name="s8.2-masking"/>
      <w:r>
        <w:rPr/>
        <w:t>S8.2 Masking</w:t>
      </w:r>
    </w:p>
    <w:p>
      <w:pPr>
        <w:pStyle w:val="FirstParagraph"/>
        <w:rPr/>
      </w:pPr>
      <w:r>
        <w:rPr/>
        <w:t xml:space="preserve">Only one monitoring well (CEH12) lies on the northern rock-ridge bedrock outcrop (the area above the 20 m AOD contour) and it has a short record, so any interpolated coefficient values shown there are extrapolations from the surrounding network rather than supported by data. The aquifer parameterization does not apply on bare metamorphic basement in any case, so the interpretation in the manuscript does not rest on the ridge-zone cells. Individual figures handle the ridge zone differently — some render the extrapolated values for visual continuity, others mask them out — and the relevant figure captions flag this where it matters for interpretation (notably Figure 15, the residual field). Cells outside the dune-field site polygon (sea, drift agriculture to the north, river) are masked from every figure.</w:t>
      </w:r>
      <w:bookmarkEnd w:id="38"/>
    </w:p>
    <w:p>
      <w:pPr>
        <w:pStyle w:val="Heading3"/>
        <w:rPr/>
      </w:pPr>
      <w:bookmarkStart w:id="39" w:name="s8.3-bandwidth-and-edge-effects"/>
      <w:r>
        <w:rPr/>
        <w:t>S8.3 Bandwidth and edge effects</w:t>
      </w:r>
    </w:p>
    <w:p>
      <w:pPr>
        <w:pStyle w:val="FirstParagraph"/>
        <w:rPr/>
      </w:pPr>
      <w:bookmarkStart w:id="40" w:name="s8.3-bandwidth-and-edge-effects"/>
      <w:r>
        <w:rPr/>
        <w:t>The IDW search bandwidth is set to include all wells within 1 km of each grid cell, or the nearest six wells, whichever is more permissive. The bandwidth-six-wells minimum prevents over-smoothing in the well-sparse north-western corner; the 1 km cap prevents under-smoothing in the dense central network. Edge effects (the south-western and south-eastern margins are bounded by the coast and the Menai Strait) are partly mitigated by the polygon mask but the surfaces remain less reliable within ~200 m of the coastal edge than in the interior. This is flagged in the relevant figure captions.</w:t>
      </w:r>
      <w:bookmarkEnd w:id="40"/>
    </w:p>
    <w:p>
      <w:pPr>
        <w:pStyle w:val="Heading3"/>
        <w:rPr/>
      </w:pPr>
      <w:bookmarkStart w:id="41" w:name="s8.4-coefficient-atlas"/>
      <w:r>
        <w:rPr/>
        <w:t>S8.4 Coefficient atlas</w:t>
      </w:r>
    </w:p>
    <w:p>
      <w:pPr>
        <w:pStyle w:val="FirstParagraph"/>
        <w:rPr/>
      </w:pPr>
      <w:bookmarkStart w:id="42" w:name="X90973268b3f0fbed806dbf28039740d60fd85bb"/>
      <w:bookmarkStart w:id="43" w:name="s8.4-coefficient-atlas"/>
      <w:r>
        <w:rPr/>
        <w:t>The four interpolated coefficient surfaces (β₁, β₂, β₃, LCSC) are presented as Figure 11 of the main manuscript and constitute the “coefficient atlas”. The surfaces are intended as diagnostic readings of the cluster characterization extended continuously across the site; they are not flux maps and not predictions in any forward-modelling sense.</w:t>
      </w:r>
      <w:bookmarkEnd w:id="42"/>
      <w:bookmarkEnd w:id="43"/>
    </w:p>
    <w:p>
      <w:pPr>
        <w:pStyle w:val="Heading2"/>
        <w:rPr/>
      </w:pPr>
      <w:bookmarkStart w:id="44" w:name="s9.-residual-field-diagnostics"/>
      <w:r>
        <w:rPr/>
        <w:t>S9. Residual-field diagnostics</w:t>
      </w:r>
    </w:p>
    <w:p>
      <w:pPr>
        <w:pStyle w:val="BodyText"/>
        <w:rPr/>
      </w:pPr>
      <w:r>
        <w:rPr/>
        <w:t>The state-space regression (Section S6) produces a per-month residual at every well: the portion of the observed Δ</w:t>
      </w:r>
      <w:r>
        <w:rPr>
          <w:rStyle w:val="Emphasis"/>
        </w:rPr>
        <w:t>h</w:t>
      </w:r>
      <w:r>
        <w:rPr/>
        <w:t xml:space="preserve"> not explained by the lumped balance β₁·</w:t>
      </w:r>
      <w:r>
        <w:rPr>
          <w:rStyle w:val="Emphasis"/>
        </w:rPr>
        <w:t>P</w:t>
      </w:r>
      <w:r>
        <w:rPr/>
        <w:t xml:space="preserve"> − β₂·PET − β₃·(</w:t>
      </w:r>
      <w:r>
        <w:rPr>
          <w:rStyle w:val="Emphasis"/>
        </w:rPr>
        <w:t>D</w:t>
      </w:r>
      <w:r>
        <w:rPr/>
        <w:t xml:space="preserve"> + </w:t>
      </w:r>
      <w:r>
        <w:rPr>
          <w:rStyle w:val="Emphasis"/>
        </w:rPr>
        <w:t>h</w:t>
      </w:r>
      <w:r>
        <w:rPr/>
        <w:t xml:space="preserve">&lt;sub&gt;prev&lt;/sub&gt;). Summed over the 18-water-year reference window, these monthly residuals form a per-well total (positive at a well where the observed water table rose more, or fell less, than the lumped balance predicts; negative at a well where the model over-predicted the water-table position). Interpolating those per-well totals across the network by the same IDW procedure as the coefficient surfaces (Section S8) produces the residual field (Figure 15 of the main manuscript), which is the object analysed here. The per-well residual computation and the IDW interpolation are implemented in </w:t>
      </w:r>
      <w:r>
        <w:rPr>
          <w:rStyle w:val="SourceText"/>
        </w:rPr>
        <w:t>20_spatial_figures.py</w:t>
      </w:r>
      <w:r>
        <w:rPr/>
        <w:t>. The formal partition of the modelled signal into its three SSM components, together with the interception correction applied at forest wells, is given in Section S10; the residual is the same in either treatment.</w:t>
      </w:r>
    </w:p>
    <w:p>
      <w:pPr>
        <w:pStyle w:val="BodyText"/>
        <w:rPr/>
      </w:pPr>
      <w:r>
        <w:rPr/>
        <w:t>The spatially-structured residual field is the empirical anchor of the Section 5.4 discussion of unmodelled lateral fluxes. Three diagnostic tests were run to discriminate between candidate mechanisms.</w:t>
      </w:r>
    </w:p>
    <w:p>
      <w:pPr>
        <w:pStyle w:val="Heading3"/>
        <w:rPr/>
      </w:pPr>
      <w:bookmarkStart w:id="45" w:name="X1e280529bf6cb450ae30350666fbe630478c638"/>
      <w:r>
        <w:rPr/>
        <w:t>S9.1 Cross-correlation lag test (</w:t>
      </w:r>
      <w:r>
        <w:rPr>
          <w:rStyle w:val="VerbatimChar"/>
        </w:rPr>
        <w:t>22_residual_lag_analysis.py</w:t>
      </w:r>
      <w:r>
        <w:rPr/>
        <w:t>)</w:t>
      </w:r>
    </w:p>
    <w:p>
      <w:pPr>
        <w:pStyle w:val="FirstParagraph"/>
        <w:rPr/>
      </w:pPr>
      <w:r>
        <w:rPr/>
        <w:t>If the largest positive residuals along the northern forest margin and ridge flank represent ridge-derived lateral input — a Darcy-conveyed subsidy from the metamorphic bedrock ridge through the down-gradient open dune — then a distance-dependent transport lag should be detectable: the time between a recharge event at the ridge and the corresponding response at down-gradient wells should increase systematically with distance. The cross-correlation lag test computes lagged correlations between (i) a ridge-zone composite recharge signal and (ii) the de-trended water-table series at each down-gradient well, identifying the lag at maximum correlation per well.</w:t>
      </w:r>
    </w:p>
    <w:p>
      <w:pPr>
        <w:pStyle w:val="BodyText"/>
        <w:rPr/>
      </w:pPr>
      <w:r>
        <w:rPr/>
        <w:t>The test returns a null result: there is no monotonic distance-dependent lag structure across the down-gradient wells. The lag-at-maximum-correlation is dispersed (range 0 to 4 months) and uncorrelated with distance from the ridge.</w:t>
      </w:r>
    </w:p>
    <w:p>
      <w:pPr>
        <w:pStyle w:val="BodyText"/>
        <w:rPr/>
      </w:pPr>
      <w:bookmarkStart w:id="46" w:name="X1e280529bf6cb450ae30350666fbe630478c638"/>
      <w:r>
        <w:rPr/>
        <w:t>This null result must be qualified by sampling frequency: monthly observations are an order of magnitude coarser than the days-to-weeks transit times expected for fracture-flow input from a metamorphic bedrock ridge, so a real ridge-derived lag could be invisible at this resolution. The null result therefore bears on what the present record can resolve rather than on whether the mechanism is operative.</w:t>
      </w:r>
      <w:bookmarkEnd w:id="46"/>
    </w:p>
    <w:p>
      <w:pPr>
        <w:pStyle w:val="Heading3"/>
        <w:rPr/>
      </w:pPr>
      <w:bookmarkStart w:id="47" w:name="X108f20792c1cf6acb4f0077e42609441588bf5c"/>
      <w:r>
        <w:rPr/>
        <w:t>S9.2 Ridge-recharge lag hypothesis test (</w:t>
      </w:r>
      <w:r>
        <w:rPr>
          <w:rStyle w:val="VerbatimChar"/>
        </w:rPr>
        <w:t>23_ridge_recharge_lag_test.py</w:t>
      </w:r>
      <w:r>
        <w:rPr/>
        <w:t>)</w:t>
      </w:r>
    </w:p>
    <w:p>
      <w:pPr>
        <w:pStyle w:val="FirstParagraph"/>
        <w:rPr/>
      </w:pPr>
      <w:r>
        <w:rPr/>
        <w:t xml:space="preserve">A complementary test specifies an explicit recharge model with a ridge-input component (a fraction </w:t>
      </w:r>
      <w:r>
        <w:rPr>
          <w:i/>
          <w:iCs/>
        </w:rPr>
        <w:t>r</w:t>
      </w:r>
      <w:r>
        <w:rPr/>
        <w:t xml:space="preserve"> of measured rainfall is conveyed from the ridge to each down-gradient well at a fitted lag) and tests whether including </w:t>
      </w:r>
      <w:r>
        <w:rPr>
          <w:i/>
          <w:iCs/>
        </w:rPr>
        <w:t>r</w:t>
      </w:r>
      <w:r>
        <w:rPr/>
        <w:t xml:space="preserve"> improves the SSM fit at the ridge-adjacent wells. The test is structurally degenerate at the available record length: the parameters </w:t>
      </w:r>
      <w:r>
        <w:rPr>
          <w:i/>
          <w:iCs/>
        </w:rPr>
        <w:t>r</w:t>
      </w:r>
      <w:r>
        <w:rPr/>
        <w:t xml:space="preserve"> and the SSM β₁ are not jointly identifiable in the presence of the noisy monthly water-table response, and the fitted </w:t>
      </w:r>
      <w:r>
        <w:rPr>
          <w:i/>
          <w:iCs/>
        </w:rPr>
        <w:t>r</w:t>
      </w:r>
      <w:r>
        <w:rPr/>
        <w:t xml:space="preserve"> values are unbounded by the data. The test is reported in §5.3 of the manuscript as a structural-identifiability finding rather than as a mechanism rejection.</w:t>
      </w:r>
      <w:bookmarkEnd w:id="47"/>
    </w:p>
    <w:p>
      <w:pPr>
        <w:pStyle w:val="Heading3"/>
        <w:rPr/>
      </w:pPr>
      <w:bookmarkStart w:id="48" w:name="X79154c510faa5165baeb6eb2c3042d65daf5a4b"/>
      <w:bookmarkEnd w:id="48"/>
      <w:r>
        <w:rPr/>
        <w:t>S9.3 Seasonal climatology test (</w:t>
      </w:r>
      <w:r>
        <w:rPr>
          <w:rStyle w:val="VerbatimChar"/>
        </w:rPr>
        <w:t>24_residual_seasonality.py</w:t>
      </w:r>
      <w:r>
        <w:rPr/>
        <w:t>)</w:t>
      </w:r>
    </w:p>
    <w:p>
      <w:pPr>
        <w:pStyle w:val="BodyText"/>
        <w:rPr/>
      </w:pPr>
      <w:bookmarkStart w:id="49" w:name="X79154c510faa5165baeb6eb2c3042d65daf5a4b"/>
      <w:bookmarkEnd w:id="49"/>
      <w:r>
        <w:rPr/>
        <w:t>If the positive residuals along the forest margin represented systematic underestimation of summer evaporative demand — for example, an under-resolved canopy-driven evaporative loss not captured by Thornthwaite PET — then the residual field should peak in summer when those fluxes are active. The seasonal climatology test computes the monthly mean residual at each well across the 21-year record.</w:t>
      </w:r>
    </w:p>
    <w:p>
      <w:pPr>
        <w:pStyle w:val="BodyText"/>
        <w:rPr/>
      </w:pPr>
      <w:r>
        <w:rPr/>
        <w:t>The test discriminates among candidate mechanisms. A summer-dominated peak confined to the forest clusters would indicate canopy-interception over-estimation or an analogous vertical-flux error. A pattern not confined to the forest clusters would indicate a different family of mechanism — for example, recharge nonlinearity in the lumped monthly model, or an unmodelled non-vertical-flux input.</w:t>
      </w:r>
    </w:p>
    <w:p>
      <w:pPr>
        <w:pStyle w:val="BodyText"/>
        <w:rPr/>
      </w:pPr>
      <w:r>
        <w:rPr/>
        <w:t xml:space="preserve">A cluster-stratified analysis aggregates the per-well climatology by the </w:t>
      </w:r>
      <w:r>
        <w:rPr>
          <w:rStyle w:val="Emphasis"/>
        </w:rPr>
        <w:t>k</w:t>
      </w:r>
      <w:r>
        <w:rPr/>
        <w:t xml:space="preserve"> = 5 partition and computes the winter-minus-summer contrast at each cluster, with bootstrap confidence intervals. The strongest contrast across the network is at open-dune C3 Western Residual (+7.4 mm, </w:t>
      </w:r>
      <w:r>
        <w:rPr>
          <w:rStyle w:val="Emphasis"/>
        </w:rPr>
        <w:t>p</w:t>
      </w:r>
      <w:r>
        <w:rPr/>
        <w:t xml:space="preserve"> &lt; 0.001), not at either forest cluster — C4 Main Forest shows +6.2 mm (</w:t>
      </w:r>
      <w:r>
        <w:rPr>
          <w:rStyle w:val="Emphasis"/>
        </w:rPr>
        <w:t>p</w:t>
      </w:r>
      <w:r>
        <w:rPr/>
        <w:t xml:space="preserve"> = 0.086, marginal) and C5 Coastal Forest shows −2.8 mm (n.s.). This pattern is inconsistent with canopy-interception over-estimation as the sole driver: that mechanism would predict both forest clusters peaked and open dune flat, and the data show the reverse. A weak within-forest gradient (winter–summer contrast strengthens toward the ridge across 14 forest wells, </w:t>
      </w:r>
      <w:r>
        <w:rPr>
          <w:rStyle w:val="Emphasis"/>
        </w:rPr>
        <w:t>r</w:t>
      </w:r>
      <w:r>
        <w:rPr/>
        <w:t xml:space="preserve"> = −0.63) is consistent with a ridge-derived component but cannot be separated from a site-wide recharge term on the present evidence.</w:t>
      </w:r>
    </w:p>
    <w:p>
      <w:pPr>
        <w:pStyle w:val="BodyText"/>
        <w:rPr/>
      </w:pPr>
      <w:r>
        <w:rPr/>
        <w:t>The full seasonal climatology has additional structure — including non-trivial shoulder months — that the winter-minus-summer contrast does not fully characterise; a detailed seasonal decomposition disaggregating the recharge and atmospheric-draw terms is the subject of a follow-up methodological treatment and is outside the Paper 1 scope.</w:t>
      </w:r>
    </w:p>
    <w:p>
      <w:pPr>
        <w:pStyle w:val="BodyText"/>
        <w:rPr/>
      </w:pPr>
      <w:r>
        <w:rPr/>
      </w:r>
    </w:p>
    <w:p>
      <w:pPr>
        <w:pStyle w:val="Heading3"/>
        <w:rPr/>
      </w:pPr>
      <w:bookmarkStart w:id="50" w:name="s9.4-ceh14-point-source-attribution"/>
      <w:r>
        <w:rPr/>
        <w:t>S9.4 CEH14 point-source attribution</w:t>
      </w:r>
    </w:p>
    <w:p>
      <w:pPr>
        <w:pStyle w:val="FirstParagraph"/>
        <w:rPr/>
      </w:pPr>
      <w:bookmarkStart w:id="51" w:name="s9.4-ceh14-point-source-attribution"/>
      <w:r>
        <w:rPr/>
        <w:t>The single largest positive residual in the network, at well CEH14, is treated as a candidate-attribution case rather than evidence for the ridge-margin pattern. CEH14 sits about 50 m from the drainage field of a cottage that is in sporadic use, and intermittent septic-derived influx is one plausible explanation for the well’s anomalous negative β₃ (drainage decay would be masked by an episodic influx) and its outlier positive residual. The attribution is not certain — other locally confined recharge sources or a true outlier in the lumped balance also remain possible — but CEH14’s anomalous behaviour is distinct enough from the broader spatial pattern that the ridge-margin interpretation is best read on the remaining wells.</w:t>
      </w:r>
      <w:bookmarkEnd w:id="51"/>
    </w:p>
    <w:p>
      <w:pPr>
        <w:pStyle w:val="Heading3"/>
        <w:rPr/>
      </w:pPr>
      <w:bookmarkStart w:id="52" w:name="s9.5-ridge-zone-extrapolation"/>
      <w:r>
        <w:rPr/>
        <w:t>S9.5 Ridge-zone extrapolation</w:t>
      </w:r>
    </w:p>
    <w:p>
      <w:pPr>
        <w:pStyle w:val="FirstParagraph"/>
        <w:rPr/>
      </w:pPr>
      <w:r>
        <w:rPr/>
        <w:t xml:space="preserve">The interpolated residual surface (Figure 15) extends over the rock-ridge bedrock outcrop on the northern boundary, which carries no reference monitoring wells; values shown there are extrapolations from the surrounding network and are not interpretable as residuals on bedrock. This is flagged in the Fig. 15 caption.</w:t>
      </w:r>
      <w:bookmarkEnd w:id="52"/>
    </w:p>
    <w:p>
      <w:pPr>
        <w:pStyle w:val="Heading3"/>
        <w:rPr/>
      </w:pPr>
      <w:bookmarkStart w:id="53" w:name="X4d3bd8006d385a82be882482678b7b37d0ee871"/>
      <w:r>
        <w:rPr/>
        <w:t>S9.6 Status of the residual interpretation</w:t>
      </w:r>
    </w:p>
    <w:p>
      <w:pPr>
        <w:pStyle w:val="FirstParagraph"/>
        <w:rPr/>
      </w:pPr>
      <w:r>
        <w:rPr/>
        <w:t xml:space="preserve">The combined picture from the three diagnostic tests is that the spatially-structured residual field is real and reproducible across the 21-year record, but its attribution between a genuine ridge-derived lateral subsidy and an unidentified modelling artefact cannot be settled by the present analysis. The residual field is therefore presented as a </w:t>
      </w:r>
      <w:r>
        <w:rPr>
          <w:i/>
          <w:iCs/>
        </w:rPr>
        <w:t>structural diagnostic of where the lumped balance is insufficient</w:t>
      </w:r>
      <w:r>
        <w:rPr/>
        <w:t>, not as a quantified flux map.</w:t>
      </w:r>
      <w:bookmarkEnd w:id="44"/>
      <w:bookmarkEnd w:id="53"/>
    </w:p>
    <w:p>
      <w:pPr>
        <w:pStyle w:val="Heading2"/>
        <w:rPr/>
      </w:pPr>
      <w:bookmarkStart w:id="54" w:name="s10.-water-balance-decomposition"/>
      <w:bookmarkEnd w:id="54"/>
      <w:r>
        <w:rPr/>
        <w:t>S10. Water-balance decomposition</w:t>
      </w:r>
    </w:p>
    <w:p>
      <w:pPr>
        <w:pStyle w:val="BodyText"/>
        <w:rPr/>
      </w:pPr>
      <w:r>
        <w:rPr/>
        <w:t>The SSM equation (Section S5.1) is, equivalently, a monthly water-balance identity that partitions the change in water-table head into four terms: recharge driven by rainfall, atmospheric draw driven by PET, drainage proportional to displacement above the lateral discharge horizon, and a residual ε that the lumped balance does not explain. Paper 1 uses this identity at two levels: a headline cluster water balance at cluster-mean scale (Section S10.1, the primary analysis), and a per-well residual field analysed as a spatial diagnostic (Section S9).</w:t>
      </w:r>
    </w:p>
    <w:p>
      <w:pPr>
        <w:pStyle w:val="Heading3"/>
        <w:rPr/>
      </w:pPr>
      <w:r>
        <w:rPr/>
        <w:t>S10.1 Cluster water balance (primary analysis)</w:t>
      </w:r>
    </w:p>
    <w:p>
      <w:pPr>
        <w:pStyle w:val="BodyText"/>
        <w:rPr/>
      </w:pPr>
      <w:r>
        <w:rPr/>
        <w:t>The cluster water-balance decomposition (</w:t>
      </w:r>
      <w:r>
        <w:rPr>
          <w:rStyle w:val="SourceText"/>
        </w:rPr>
        <w:t>16_water_bal.py</w:t>
      </w:r>
      <w:r>
        <w:rPr/>
        <w:t>) is the headline analysis. The β coefficients fitted by the SSM are monthly-scale: β₁ is the response (in metres of Δ</w:t>
      </w:r>
      <w:r>
        <w:rPr>
          <w:rStyle w:val="Emphasis"/>
        </w:rPr>
        <w:t>h</w:t>
      </w:r>
      <w:r>
        <w:rPr/>
        <w:t xml:space="preserve">) per metre of rainfall </w:t>
      </w:r>
      <w:r>
        <w:rPr>
          <w:rStyle w:val="Emphasis"/>
        </w:rPr>
        <w:t>during a given month</w:t>
      </w:r>
      <w:r>
        <w:rPr/>
        <w:t>, and analogously for β₂ and β₃. The natural product β₁·</w:t>
      </w:r>
      <w:r>
        <w:rPr>
          <w:rStyle w:val="Emphasis"/>
        </w:rPr>
        <w:t>P̄</w:t>
      </w:r>
      <w:r>
        <w:rPr/>
        <w:t xml:space="preserve"> is therefore a </w:t>
      </w:r>
      <w:r>
        <w:rPr>
          <w:rStyle w:val="Emphasis"/>
        </w:rPr>
        <w:t>monthly</w:t>
      </w:r>
      <w:r>
        <w:rPr/>
        <w:t xml:space="preserve"> recharge contribution when </w:t>
      </w:r>
      <w:r>
        <w:rPr>
          <w:rStyle w:val="Emphasis"/>
        </w:rPr>
        <w:t>P̄</w:t>
      </w:r>
      <w:r>
        <w:rPr/>
        <w:t xml:space="preserve"> is a monthly mean.</w:t>
      </w:r>
    </w:p>
    <w:p>
      <w:pPr>
        <w:pStyle w:val="BodyText"/>
        <w:rPr/>
      </w:pPr>
      <w:r>
        <w:rPr/>
        <w:t>For each cluster the partition is computed at monthly timestep as</w:t>
      </w:r>
    </w:p>
    <w:p>
      <w:pPr>
        <w:pStyle w:val="BodyText"/>
        <w:rPr/>
      </w:pPr>
      <w:r>
        <w:rPr/>
        <w:t xml:space="preserve">         </w:t>
      </w:r>
      <m:oMath xmlns:m="http://schemas.openxmlformats.org/officeDocument/2006/math">
        <m:r>
          <m:rPr>
            <m:lit/>
            <m:nor/>
          </m:rPr>
          <w:rPr>
            <w:rFonts w:ascii="Cambria Math" w:hAnsi="Cambria Math"/>
          </w:rPr>
          <m:t xml:space="preserve">recharge</m:t>
        </m:r>
        <m:r>
          <m:t xml:space="preserve"> </m:t>
        </m:r>
        <m:r>
          <w:rPr>
            <w:rFonts w:ascii="Cambria Math" w:hAnsi="Cambria Math"/>
          </w:rPr>
          <m:t xml:space="preserve">=</m:t>
        </m:r>
        <m:r>
          <m:t xml:space="preserve"> </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acc>
          <m:accPr>
            <m:chr m:val="¯"/>
          </m:accPr>
          <m:e>
            <m:r>
              <w:rPr>
                <w:rFonts w:ascii="Cambria Math" w:hAnsi="Cambria Math"/>
              </w:rPr>
              <m:t xml:space="preserve">P</m:t>
            </m:r>
          </m:e>
        </m:acc>
      </m:oMath>
      <w:r>
        <w:rPr/>
        <w:t xml:space="preserve"> </w:t>
      </w:r>
    </w:p>
    <w:p>
      <w:pPr>
        <w:pStyle w:val="BodyText"/>
        <w:rPr/>
      </w:pPr>
      <w:r>
        <w:rPr/>
        <w:t xml:space="preserve">         </w:t>
      </w:r>
      <m:oMath xmlns:m="http://schemas.openxmlformats.org/officeDocument/2006/math">
        <m:r>
          <m:rPr>
            <m:lit/>
            <m:nor/>
          </m:rPr>
          <w:rPr>
            <w:rFonts w:ascii="Cambria Math" w:hAnsi="Cambria Math"/>
          </w:rPr>
          <m:t xml:space="preserve">atmospheric draw</m:t>
        </m:r>
        <m:r>
          <m:t xml:space="preserve"> </m:t>
        </m:r>
        <m:r>
          <w:rPr>
            <w:rFonts w:ascii="Cambria Math" w:hAnsi="Cambria Math"/>
          </w:rPr>
          <m:t xml:space="preserve">=</m:t>
        </m:r>
        <m:r>
          <m:t xml:space="preserve"> </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bar>
          <m:barPr>
            <m:pos m:val="top"/>
          </m:barPr>
          <m:e>
            <m:r>
              <w:rPr>
                <w:rFonts w:ascii="Cambria Math" w:hAnsi="Cambria Math"/>
              </w:rPr>
              <m:t xml:space="preserve">PET</m:t>
            </m:r>
          </m:e>
        </m:bar>
      </m:oMath>
      <w:r>
        <w:rPr/>
        <w:t xml:space="preserve"> </w:t>
      </w:r>
    </w:p>
    <w:p>
      <w:pPr>
        <w:pStyle w:val="BodyText"/>
        <w:rPr/>
      </w:pPr>
      <w:r>
        <w:rPr/>
        <w:t xml:space="preserve">         </w:t>
      </w:r>
      <m:oMath xmlns:m="http://schemas.openxmlformats.org/officeDocument/2006/math">
        <m:r>
          <m:rPr>
            <m:lit/>
            <m:nor/>
          </m:rPr>
          <w:rPr>
            <w:rFonts w:ascii="Cambria Math" w:hAnsi="Cambria Math"/>
          </w:rPr>
          <m:t xml:space="preserve">drainage</m:t>
        </m:r>
        <m:r>
          <m:t xml:space="preserve"> </m:t>
        </m:r>
        <m:r>
          <w:rPr>
            <w:rFonts w:ascii="Cambria Math" w:hAnsi="Cambria Math"/>
          </w:rPr>
          <m:t xml:space="preserve">=</m:t>
        </m:r>
        <m:r>
          <m:t xml:space="preserve"> </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m:t>
        </m:r>
        <m:acc>
          <m:accPr>
            <m:chr m:val="¯"/>
          </m:accPr>
          <m:e>
            <m:sSub>
              <m:e>
                <m:r>
                  <w:rPr>
                    <w:rFonts w:ascii="Cambria Math" w:hAnsi="Cambria Math"/>
                  </w:rPr>
                  <m:t xml:space="preserve">h</m:t>
                </m:r>
              </m:e>
              <m:sub>
                <m:r>
                  <m:rPr>
                    <m:lit/>
                    <m:nor/>
                  </m:rPr>
                  <w:rPr>
                    <w:rFonts w:ascii="Cambria Math" w:hAnsi="Cambria Math"/>
                  </w:rPr>
                  <m:t xml:space="preserve">disp</m:t>
                </m:r>
              </m:sub>
            </m:sSub>
          </m:e>
        </m:acc>
      </m:oMath>
    </w:p>
    <w:p>
      <w:pPr>
        <w:pStyle w:val="BodyText"/>
        <w:rPr/>
      </w:pPr>
      <w:r>
        <w:rPr/>
        <w:t xml:space="preserve">where </w:t>
      </w:r>
      <w:r>
        <w:rPr>
          <w:rStyle w:val="Emphasis"/>
        </w:rPr>
        <w:t>P̄</w:t>
      </w:r>
      <w:r>
        <w:rPr/>
        <w:t xml:space="preserve"> and PET̄ are the long-term means of the RAF Valley monthly climate forcing (computed as sum across the record divided by number of months observed; identical across clusters), </w:t>
      </w:r>
      <w:r>
        <w:rPr>
          <w:rStyle w:val="Emphasis"/>
        </w:rPr>
        <w:t>h̄</w:t>
      </w:r>
      <w:r>
        <w:rPr/>
        <w:t xml:space="preserve">&lt;sub&gt;disp&lt;/sub&gt; is the long-term monthly mean of the cluster centroid displacement, and the β values come from the cluster-mean SSM fit (Section S6.2, </w:t>
      </w:r>
      <w:r>
        <w:rPr>
          <w:rStyle w:val="SourceText"/>
        </w:rPr>
        <w:t>03_03_cluster_mechanistic_coefficients.csv</w:t>
      </w:r>
      <w:r>
        <w:rPr/>
        <w:t xml:space="preserve">). Each contribution is then scaled to annual units by multiplication by 12 (months per year) for reporting in Table 3 of the main manuscript and Figure 8 — equivalent to multiplying the β coefficient by the long-term </w:t>
      </w:r>
      <w:r>
        <w:rPr>
          <w:rStyle w:val="Emphasis"/>
        </w:rPr>
        <w:t>annual</w:t>
      </w:r>
      <w:r>
        <w:rPr/>
        <w:t xml:space="preserve"> mean of the corresponding driver (record sum ÷ years on record). The two normalisations give the same annual contribution.</w:t>
      </w:r>
    </w:p>
    <w:p>
      <w:pPr>
        <w:pStyle w:val="BodyText"/>
        <w:rPr/>
      </w:pPr>
      <w:r>
        <w:rPr/>
        <w:t>The water-balance closure follows from the SSM equation evaluated at long-term means. Δ</w:t>
      </w:r>
      <w:r>
        <w:rPr>
          <w:rStyle w:val="Emphasis"/>
        </w:rPr>
        <w:t>h̄</w:t>
      </w:r>
      <w:r>
        <w:rPr/>
        <w:t xml:space="preserve"> over the full record is approximately zero (no net trend on the cluster centroid hydrograph), so the four right-hand-side terms must sum to approximately zero:</w:t>
      </w:r>
    </w:p>
    <w:p>
      <w:pPr>
        <w:pStyle w:val="BodyText"/>
        <w:ind w:hanging="0" w:left="567" w:right="567"/>
        <w:rPr/>
      </w:pPr>
      <w:r>
        <w:rPr/>
      </w:r>
      <m:oMathPara xmlns:m="http://schemas.openxmlformats.org/officeDocument/2006/math">
        <m:oMathParaPr>
          <m:jc m:val="left"/>
        </m:oMathParaPr>
        <m:oMath>
          <m:r>
            <w:rPr>
              <w:rFonts w:ascii="Cambria Math" w:hAnsi="Cambria Math"/>
            </w:rPr>
            <m:t xml:space="preserve">Δ</m:t>
          </m:r>
          <m:acc>
            <m:accPr>
              <m:chr m:val="¯"/>
            </m:accPr>
            <m:e>
              <m:r>
                <w:rPr>
                  <w:rFonts w:ascii="Cambria Math" w:hAnsi="Cambria Math"/>
                </w:rPr>
                <m:t xml:space="preserve">h</m:t>
              </m:r>
            </m:e>
          </m:acc>
          <m:r>
            <m:t xml:space="preserve"> </m:t>
          </m:r>
          <m:r>
            <w:rPr>
              <w:rFonts w:ascii="Cambria Math" w:hAnsi="Cambria Math"/>
            </w:rPr>
            <m:t xml:space="preserve">=</m:t>
          </m:r>
          <m:r>
            <m:t xml:space="preserve"> </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acc>
            <m:accPr>
              <m:chr m:val="¯"/>
            </m:accPr>
            <m:e>
              <m:r>
                <w:rPr>
                  <w:rFonts w:ascii="Cambria Math" w:hAnsi="Cambria Math"/>
                </w:rPr>
                <m:t xml:space="preserve">P</m:t>
              </m:r>
            </m:e>
          </m:acc>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bar>
            <m:barPr>
              <m:pos m:val="top"/>
            </m:barPr>
            <m:e>
              <m:r>
                <w:rPr>
                  <w:rFonts w:ascii="Cambria Math" w:hAnsi="Cambria Math"/>
                </w:rPr>
                <m:t xml:space="preserve">PET</m:t>
              </m:r>
            </m:e>
          </m:bar>
          <m: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r>
            <w:rPr>
              <w:rFonts w:ascii="Cambria Math" w:hAnsi="Cambria Math"/>
            </w:rPr>
            <m:t xml:space="preserve">⋅</m:t>
          </m:r>
          <m:acc>
            <m:accPr>
              <m:chr m:val="¯"/>
            </m:accPr>
            <m:e>
              <m:sSub>
                <m:e>
                  <m:r>
                    <w:rPr>
                      <w:rFonts w:ascii="Cambria Math" w:hAnsi="Cambria Math"/>
                    </w:rPr>
                    <m:t xml:space="preserve">h</m:t>
                  </m:r>
                </m:e>
                <m:sub>
                  <m:r>
                    <m:rPr>
                      <m:lit/>
                      <m:nor/>
                    </m:rPr>
                    <w:rPr>
                      <w:rFonts w:ascii="Cambria Math" w:hAnsi="Cambria Math"/>
                    </w:rPr>
                    <m:t xml:space="preserve">disp</m:t>
                  </m:r>
                </m:sub>
              </m:sSub>
            </m:e>
          </m:acc>
          <m:r>
            <w:rPr>
              <w:rFonts w:ascii="Cambria Math" w:hAnsi="Cambria Math"/>
            </w:rPr>
            <m:t xml:space="preserve">+</m:t>
          </m:r>
          <m:acc>
            <m:accPr>
              <m:chr m:val="¯"/>
            </m:accPr>
            <m:e>
              <m:r>
                <w:rPr>
                  <w:rFonts w:ascii="Cambria Math" w:hAnsi="Cambria Math"/>
                </w:rPr>
                <m:t xml:space="preserve">ϵ</m:t>
              </m:r>
            </m:e>
          </m:acc>
          <m:r>
            <m:t xml:space="preserve"> </m:t>
          </m:r>
          <m:r>
            <w:rPr>
              <w:rFonts w:ascii="Cambria Math" w:hAnsi="Cambria Math"/>
            </w:rPr>
            <m:t xml:space="preserve">≈</m:t>
          </m:r>
          <m:r>
            <m:t xml:space="preserve"> </m:t>
          </m:r>
          <m:r>
            <w:rPr>
              <w:rFonts w:ascii="Cambria Math" w:hAnsi="Cambria Math"/>
            </w:rPr>
            <m:t xml:space="preserve">0</m:t>
          </m:r>
        </m:oMath>
      </m:oMathPara>
    </w:p>
    <w:p>
      <w:pPr>
        <w:pStyle w:val="BodyText"/>
        <w:rPr/>
      </w:pPr>
      <w:r>
        <w:rPr/>
        <w:t>The mean residual ε̄ is what the lumped SSM does not explain, and is what the closure result quantifies. Across all five clusters this closure error is within 2.5 % of total losses, i.e. the three β-weighted long-term means account for around 97.5 % of the long-term storage balance; the small remainder is the contribution of unmodelled drivers (lateral subsidy, residual nonlinearity, point-source inputs) that are the subject of Sections S9 and S10.3.</w:t>
      </w:r>
    </w:p>
    <w:p>
      <w:pPr>
        <w:pStyle w:val="Heading3"/>
        <w:rPr/>
      </w:pPr>
      <w:bookmarkStart w:id="55" w:name="X0b58abcac183bd4f19a8c309fc5756e3c32ddc8"/>
      <w:r>
        <w:rPr/>
        <w:t>S10.2 Interception correction at the forest clusters</w:t>
      </w:r>
    </w:p>
    <w:p>
      <w:pPr>
        <w:pStyle w:val="FirstParagraph"/>
        <w:rPr/>
      </w:pPr>
      <w:r>
        <w:rPr/>
        <w:t xml:space="preserve">For C4 Main Forest and C5 Coastal Forest, incident rainfall is replaced by </w:t>
      </w:r>
      <w:r>
        <w:rPr>
          <w:i/>
          <w:iCs/>
        </w:rPr>
        <w:t>effective rainfall</w:t>
      </w:r>
      <w:r>
        <w:rPr/>
        <w:t>:</w:t>
      </w:r>
    </w:p>
    <w:p>
      <w:pPr>
        <w:pStyle w:val="BlockText"/>
        <w:rPr/>
      </w:pPr>
      <w:r>
        <w:rPr>
          <w:i/>
          <w:iCs/>
        </w:rPr>
        <w:t>P</w:t>
      </w:r>
      <w:r>
        <w:rPr/>
        <w:t>eff(</w:t>
      </w:r>
      <w:r>
        <w:rPr>
          <w:i/>
          <w:iCs/>
        </w:rPr>
        <w:t>t</w:t>
      </w:r>
      <w:r>
        <w:rPr/>
        <w:t xml:space="preserve">) = (1 − </w:t>
      </w:r>
      <w:r>
        <w:rPr>
          <w:i/>
          <w:iCs/>
        </w:rPr>
        <w:t>i</w:t>
      </w:r>
      <w:r>
        <w:rPr/>
        <w:t xml:space="preserve">) · </w:t>
      </w:r>
      <w:r>
        <w:rPr>
          <w:i/>
          <w:iCs/>
        </w:rPr>
        <w:t>P</w:t>
      </w:r>
      <w:r>
        <w:rPr/>
        <w:t>(</w:t>
      </w:r>
      <w:r>
        <w:rPr>
          <w:i/>
          <w:iCs/>
        </w:rPr>
        <w:t>t</w:t>
      </w:r>
      <w:r>
        <w:rPr/>
        <w:t>)</w:t>
      </w:r>
    </w:p>
    <w:p>
      <w:pPr>
        <w:pStyle w:val="FirstParagraph"/>
        <w:rPr/>
      </w:pPr>
      <w:r>
        <w:rPr/>
        <w:t xml:space="preserve">where </w:t>
      </w:r>
      <w:r>
        <w:rPr>
          <w:i/>
          <w:iCs/>
        </w:rPr>
        <w:t>i</w:t>
      </w:r>
      <w:r>
        <w:rPr/>
        <w:t xml:space="preserve"> = 0.24 is the canopy interception fraction (Freeman, 2008). PET is not adjusted, because Thornthwaite PET is an energy-based atmospheric demand independent of land cover; reducing only </w:t>
      </w:r>
      <w:r>
        <w:rPr>
          <w:i/>
          <w:iCs/>
        </w:rPr>
        <w:t>P</w:t>
      </w:r>
      <w:r>
        <w:rPr/>
        <w:t xml:space="preserve"> is the physically correct partition. The interception correction is applied at the cluster level — the forest clusters use </w:t>
      </w:r>
      <w:r>
        <w:rPr>
          <w:i/>
          <w:iCs/>
        </w:rPr>
        <w:t>P</w:t>
      </w:r>
      <w:r>
        <w:rPr/>
        <w:t xml:space="preserve">eff instead of </w:t>
      </w:r>
      <w:r>
        <w:rPr>
          <w:i/>
          <w:iCs/>
        </w:rPr>
        <w:t>P</w:t>
      </w:r>
      <w:r>
        <w:rPr/>
        <w:t xml:space="preserve"> in both the cluster SSM fit (where the lower forest β₁ values already reflect this) and the cluster water-balance decomposition. In the volumetric partition (Figure 8 panel b), interception appears identically on both the input and the loss side, cancelling in the net surplus but accounting for the rainfall that does not reach the water table.</w:t>
      </w:r>
      <w:bookmarkEnd w:id="55"/>
    </w:p>
    <w:p>
      <w:pPr>
        <w:pStyle w:val="Heading2"/>
        <w:rPr/>
      </w:pPr>
      <w:bookmarkStart w:id="56" w:name="s10.-water-balance-decomposition"/>
      <w:bookmarkStart w:id="57" w:name="X8976506e8b6f78f74d25a96c33c9b90dd4f41a9"/>
      <w:bookmarkEnd w:id="56"/>
      <w:r>
        <w:rPr/>
        <w:t>S11. Water-table-fluctuation specific yield</w:t>
      </w:r>
    </w:p>
    <w:p>
      <w:pPr>
        <w:pStyle w:val="FirstParagraph"/>
        <w:rPr/>
      </w:pPr>
      <w:r>
        <w:rPr/>
        <w:t xml:space="preserve">Specific yield </w:t>
      </w:r>
      <w:r>
        <w:rPr>
          <w:i/>
          <w:iCs/>
        </w:rPr>
        <w:t>S</w:t>
      </w:r>
      <w:r>
        <w:rPr/>
        <w:t xml:space="preserve">y — the drainable porosity of the saturated medium near the water table — is estimated in </w:t>
      </w:r>
      <w:r>
        <w:rPr>
          <w:rStyle w:val="VerbatimChar"/>
        </w:rPr>
        <w:t>17_wtf_specific_yield.py</w:t>
      </w:r>
      <w:r>
        <w:rPr/>
        <w:t xml:space="preserve"> and is required to convert per-well water-table behaviour into a volumetric storage interpretation. It is also a substrate-character diagnostic in its own right, since a spatial gradient in </w:t>
      </w:r>
      <w:r>
        <w:rPr>
          <w:i/>
          <w:iCs/>
        </w:rPr>
        <w:t>S</w:t>
      </w:r>
      <w:r>
        <w:rPr/>
        <w:t>y across an open dune-aquifer can indicate a corresponding gradient in sediment character (grain size, sorting, fines, weathering).</w:t>
      </w:r>
    </w:p>
    <w:p>
      <w:pPr>
        <w:pStyle w:val="Heading3"/>
        <w:rPr/>
      </w:pPr>
      <w:bookmarkStart w:id="58" w:name="s11.1-the-water-table-fluctuation-method"/>
      <w:r>
        <w:rPr/>
        <w:t>S11.1 The water-table-fluctuation method</w:t>
      </w:r>
    </w:p>
    <w:p>
      <w:pPr>
        <w:pStyle w:val="FirstParagraph"/>
        <w:rPr/>
      </w:pPr>
      <w:r>
        <w:rPr/>
        <w:t xml:space="preserve">The water-table-fluctuation (WTF) method (Healy and Cook, 2002) estimates </w:t>
      </w:r>
      <w:r>
        <w:rPr>
          <w:i/>
          <w:iCs/>
        </w:rPr>
        <w:t>S</w:t>
      </w:r>
      <w:r>
        <w:rPr/>
        <w:t>y from the relationship between net recharge and the corresponding water-table rise:</w:t>
      </w:r>
    </w:p>
    <w:p>
      <w:pPr>
        <w:pStyle w:val="BlockText"/>
        <w:rPr/>
      </w:pPr>
      <w:r>
        <w:rPr>
          <w:i/>
          <w:iCs/>
        </w:rPr>
        <w:t>S</w:t>
      </w:r>
      <w:r>
        <w:rPr/>
        <w:t xml:space="preserve">y = </w:t>
      </w:r>
      <w:r>
        <w:rPr>
          <w:i/>
          <w:iCs/>
        </w:rPr>
        <w:t>R</w:t>
      </w:r>
      <w:r>
        <w:rPr/>
        <w:t xml:space="preserve"> / Δ</w:t>
      </w:r>
      <w:r>
        <w:rPr>
          <w:i/>
          <w:iCs/>
        </w:rPr>
        <w:t>h</w:t>
      </w:r>
    </w:p>
    <w:p>
      <w:pPr>
        <w:pStyle w:val="FirstParagraph"/>
        <w:rPr/>
      </w:pPr>
      <w:r>
        <w:rPr/>
        <w:t xml:space="preserve">where </w:t>
      </w:r>
      <w:r>
        <w:rPr>
          <w:i/>
          <w:iCs/>
        </w:rPr>
        <w:t>R</w:t>
      </w:r>
      <w:r>
        <w:rPr/>
        <w:t xml:space="preserve"> is the net recharge (rainfall minus PET, restricted to winter months when PET is small, </w:t>
      </w:r>
      <w:r>
        <w:rPr>
          <w:i/>
          <w:iCs/>
        </w:rPr>
        <w:t>R</w:t>
      </w:r>
      <w:r>
        <w:rPr/>
        <w:t xml:space="preserve"> &gt; 0) and Δ</w:t>
      </w:r>
      <w:r>
        <w:rPr>
          <w:i/>
          <w:iCs/>
        </w:rPr>
        <w:t>h</w:t>
      </w:r>
      <w:r>
        <w:rPr/>
        <w:t xml:space="preserve"> is the corresponding water-table rise. Two parallel implementations of the method are used here, with closely-agreeing results.</w:t>
      </w:r>
    </w:p>
    <w:p>
      <w:pPr>
        <w:pStyle w:val="BodyText"/>
        <w:rPr/>
      </w:pPr>
      <w:r>
        <w:rPr>
          <w:rStyle w:val="Strong"/>
        </w:rPr>
        <w:t xml:space="preserve">Approach A </w:t>
      </w:r>
      <w:r>
        <w:rPr>
          <w:rStyle w:val="Strong"/>
          <w:b w:val="false"/>
          <w:bCs w:val="false"/>
        </w:rPr>
        <w:t>— winter OLS.</w:t>
      </w:r>
      <w:r>
        <w:rPr>
          <w:b w:val="false"/>
          <w:bCs w:val="false"/>
        </w:rPr>
        <w:t xml:space="preserve"> A no-intercept ordinary-least-squares regression of Δ</w:t>
      </w:r>
      <w:r>
        <w:rPr>
          <w:rStyle w:val="Emphasis"/>
          <w:b w:val="false"/>
          <w:bCs w:val="false"/>
        </w:rPr>
        <w:t>h</w:t>
      </w:r>
      <w:r>
        <w:rPr>
          <w:b w:val="false"/>
          <w:bCs w:val="false"/>
        </w:rPr>
        <w:t xml:space="preserve"> against </w:t>
      </w:r>
      <w:r>
        <w:rPr>
          <w:rStyle w:val="Emphasis"/>
          <w:b w:val="false"/>
          <w:bCs w:val="false"/>
        </w:rPr>
        <w:t>R</w:t>
      </w:r>
      <w:r>
        <w:rPr>
          <w:b w:val="false"/>
          <w:bCs w:val="false"/>
        </w:rPr>
        <w:t xml:space="preserve"> is fitted at each cluster, restricted to winter months (November–March) when Thornthwaite PET is below 25 mm month⁻¹ and net recharge approximates actual recharge well. Because </w:t>
      </w:r>
      <w:r>
        <w:rPr>
          <w:rStyle w:val="Emphasis"/>
          <w:b w:val="false"/>
          <w:bCs w:val="false"/>
        </w:rPr>
        <w:t>Sy</w:t>
      </w:r>
      <w:r>
        <w:rPr>
          <w:b w:val="false"/>
          <w:bCs w:val="false"/>
        </w:rPr>
        <w:t xml:space="preserve"> = </w:t>
      </w:r>
      <w:r>
        <w:rPr>
          <w:rStyle w:val="Emphasis"/>
          <w:b w:val="false"/>
          <w:bCs w:val="false"/>
        </w:rPr>
        <w:t>R</w:t>
      </w:r>
      <w:r>
        <w:rPr>
          <w:b w:val="false"/>
          <w:bCs w:val="false"/>
        </w:rPr>
        <w:t>/Δ</w:t>
      </w:r>
      <w:r>
        <w:rPr>
          <w:rStyle w:val="Emphasis"/>
          <w:b w:val="false"/>
          <w:bCs w:val="false"/>
        </w:rPr>
        <w:t>h</w:t>
      </w:r>
      <w:r>
        <w:rPr>
          <w:b w:val="false"/>
          <w:bCs w:val="false"/>
        </w:rPr>
        <w:t xml:space="preserve"> (Section S11.1), the regression of Δ</w:t>
      </w:r>
      <w:r>
        <w:rPr>
          <w:rStyle w:val="Emphasis"/>
          <w:b w:val="false"/>
          <w:bCs w:val="false"/>
        </w:rPr>
        <w:t>h</w:t>
      </w:r>
      <w:r>
        <w:rPr>
          <w:b w:val="false"/>
          <w:bCs w:val="false"/>
        </w:rPr>
        <w:t xml:space="preserve"> on </w:t>
      </w:r>
      <w:r>
        <w:rPr>
          <w:rStyle w:val="Emphasis"/>
          <w:b w:val="false"/>
          <w:bCs w:val="false"/>
        </w:rPr>
        <w:t>R</w:t>
      </w:r>
      <w:r>
        <w:rPr>
          <w:b w:val="false"/>
          <w:bCs w:val="false"/>
        </w:rPr>
        <w:t xml:space="preserve"> has slope 1/</w:t>
      </w:r>
      <w:r>
        <w:rPr>
          <w:rStyle w:val="Emphasis"/>
          <w:b w:val="false"/>
          <w:bCs w:val="false"/>
        </w:rPr>
        <w:t>Sy</w:t>
      </w:r>
      <w:r>
        <w:rPr>
          <w:b w:val="false"/>
          <w:bCs w:val="false"/>
        </w:rPr>
        <w:t xml:space="preserve">; </w:t>
      </w:r>
      <w:r>
        <w:rPr>
          <w:rStyle w:val="Emphasis"/>
          <w:b w:val="false"/>
          <w:bCs w:val="false"/>
        </w:rPr>
        <w:t>Sy</w:t>
      </w:r>
      <w:r>
        <w:rPr>
          <w:b w:val="false"/>
          <w:bCs w:val="false"/>
        </w:rPr>
        <w:t xml:space="preserve"> is obtained as the reciprocal of the fitted slope. This approach is statistically the most defensible (a single regression with a clear assumption) but provides limited uncertainty information beyond the regression standard error.</w:t>
      </w:r>
    </w:p>
    <w:p>
      <w:pPr>
        <w:pStyle w:val="BodyText"/>
        <w:rPr/>
      </w:pPr>
      <w:r>
        <w:rPr>
          <w:b/>
          <w:bCs/>
        </w:rPr>
        <w:t>Approach B — event median.</w:t>
      </w:r>
      <w:r>
        <w:rPr/>
        <w:t xml:space="preserve"> An event-detection step identifies rising-limb months (winter months with positive recharge and positive Δ</w:t>
      </w:r>
      <w:r>
        <w:rPr>
          <w:i/>
          <w:iCs/>
        </w:rPr>
        <w:t>h</w:t>
      </w:r>
      <w:r>
        <w:rPr/>
        <w:t xml:space="preserve">), computes </w:t>
      </w:r>
      <w:r>
        <w:rPr>
          <w:i/>
          <w:iCs/>
        </w:rPr>
        <w:t>S</w:t>
      </w:r>
      <w:r>
        <w:rPr/>
        <w:t xml:space="preserve">y = </w:t>
      </w:r>
      <w:r>
        <w:rPr>
          <w:i/>
          <w:iCs/>
        </w:rPr>
        <w:t>R</w:t>
      </w:r>
      <w:r>
        <w:rPr/>
        <w:t xml:space="preserve"> / Δ</w:t>
      </w:r>
      <w:r>
        <w:rPr>
          <w:i/>
          <w:iCs/>
        </w:rPr>
        <w:t>h</w:t>
      </w:r>
      <w:r>
        <w:rPr/>
        <w:t xml:space="preserve"> per event, and reports the cluster-level median together with its 25th and 75th percentiles. This is noisier per event but provides empirical uncertainty bounds and shows the within-cluster variability of the estimate.</w:t>
      </w:r>
      <w:bookmarkEnd w:id="58"/>
    </w:p>
    <w:p>
      <w:pPr>
        <w:pStyle w:val="Heading3"/>
        <w:rPr/>
      </w:pPr>
      <w:bookmarkStart w:id="59" w:name="s11.2-cluster-level-estimates"/>
      <w:r>
        <w:rPr/>
        <w:t>S11.2 Cluster-level estimates</w:t>
      </w:r>
    </w:p>
    <w:p>
      <w:pPr>
        <w:pStyle w:val="FirstParagraph"/>
        <w:rPr/>
      </w:pPr>
      <w:r>
        <w:rPr/>
        <w:t xml:space="preserve">Cluster-level </w:t>
      </w:r>
      <w:r>
        <w:rPr>
          <w:i/>
          <w:iCs/>
        </w:rPr>
        <w:t>S</w:t>
      </w:r>
      <w:r>
        <w:rPr/>
        <w:t xml:space="preserve">y estimates from both approaches are reported as Table 2 of the main manuscript and read live from </w:t>
      </w:r>
      <w:r>
        <w:rPr>
          <w:rStyle w:val="VerbatimChar"/>
        </w:rPr>
        <w:t>17_wtf_01_sy_estimates.csv</w:t>
      </w:r>
      <w:r>
        <w:rPr/>
        <w:t>.</w:t>
      </w:r>
    </w:p>
    <w:p>
      <w:pPr>
        <w:pStyle w:val="BodyText"/>
        <w:rPr/>
      </w:pPr>
      <w:r>
        <w:rPr/>
        <w:t xml:space="preserve">For the forested clusters (C4, C5) an interception-corrected variant is also reported. The correction applies </w:t>
      </w:r>
      <w:r>
        <w:rPr>
          <w:i/>
          <w:iCs/>
        </w:rPr>
        <w:t>R</w:t>
      </w:r>
      <w:r>
        <w:rPr/>
        <w:t xml:space="preserve">eff = (1 − </w:t>
      </w:r>
      <w:r>
        <w:rPr>
          <w:i/>
          <w:iCs/>
        </w:rPr>
        <w:t>i</w:t>
      </w:r>
      <w:r>
        <w:rPr/>
        <w:t xml:space="preserve">) · </w:t>
      </w:r>
      <w:r>
        <w:rPr>
          <w:i/>
          <w:iCs/>
        </w:rPr>
        <w:t>P</w:t>
      </w:r>
      <w:r>
        <w:rPr/>
        <w:t xml:space="preserve"> − PET, with </w:t>
      </w:r>
      <w:r>
        <w:rPr>
          <w:i/>
          <w:iCs/>
        </w:rPr>
        <w:t>i</w:t>
      </w:r>
      <w:r>
        <w:rPr/>
        <w:t xml:space="preserve"> = 0.24 (Freeman, 2008). The corrected values are the ones used in the Table 1 interpretation. The interception-corrected forest fits are reported by Approach B (event median) only. Approach A is not used for the corrected variant because the winter-only filter combined with the interception correction reduces the C4 and C5 sample sizes to the point where the no-intercept OLS becomes unstable; this is a sample-size limitation specific to the corrected forest case, not a general property of Approach A, which is reliable across all five uncorrected fits.</w:t>
      </w:r>
      <w:bookmarkEnd w:id="59"/>
    </w:p>
    <w:p>
      <w:pPr>
        <w:pStyle w:val="Heading3"/>
        <w:rPr/>
      </w:pPr>
      <w:bookmarkStart w:id="60" w:name="s11.3-caveats"/>
      <w:r>
        <w:rPr/>
        <w:t>S11.3 Caveats</w:t>
      </w:r>
    </w:p>
    <w:p>
      <w:pPr>
        <w:pStyle w:val="FirstParagraph"/>
        <w:rPr/>
      </w:pPr>
      <w:r>
        <w:rPr/>
        <w:t xml:space="preserve">Monthly resolution prevents isolation of individual storm events; the WTF estimates therefore conflate true gravity drainage with capillary-fringe release, and should be read as upper bounds on the storage coefficient rather than as point estimates of the gravity </w:t>
      </w:r>
      <w:r>
        <w:rPr>
          <w:i/>
          <w:iCs/>
        </w:rPr>
        <w:t>S</w:t>
      </w:r>
      <w:r>
        <w:rPr/>
        <w:t>y alone (Healy and Cook, 2002; Scanlon et al., 2002). Slug tests or pumping tests at representative wells per cluster remain the gold-standard alternative; this would be the priority future field measurement.</w:t>
      </w:r>
      <w:bookmarkEnd w:id="60"/>
    </w:p>
    <w:p>
      <w:pPr>
        <w:pStyle w:val="Heading3"/>
        <w:rPr/>
      </w:pPr>
      <w:bookmarkStart w:id="61" w:name="s11.4-spatial-sy-surface"/>
      <w:r>
        <w:rPr/>
        <w:t xml:space="preserve">S11.4 Spatial </w:t>
      </w:r>
      <w:r>
        <w:rPr>
          <w:i/>
          <w:iCs/>
        </w:rPr>
        <w:t>S</w:t>
      </w:r>
      <w:r>
        <w:rPr/>
        <w:t>y surface</w:t>
      </w:r>
    </w:p>
    <w:p>
      <w:pPr>
        <w:pStyle w:val="FirstParagraph"/>
        <w:rPr/>
      </w:pPr>
      <w:r>
        <w:rPr/>
        <w:t xml:space="preserve">A per-well </w:t>
      </w:r>
      <w:r>
        <w:rPr>
          <w:i/>
          <w:iCs/>
        </w:rPr>
        <w:t>S</w:t>
      </w:r>
      <w:r>
        <w:rPr/>
        <w:t>y field (</w:t>
      </w:r>
      <w:r>
        <w:rPr>
          <w:rStyle w:val="VerbatimChar"/>
        </w:rPr>
        <w:t>18_wtf_spatial.py</w:t>
      </w:r>
      <w:r>
        <w:rPr/>
        <w:t xml:space="preserve">) is produced by computing per-event </w:t>
      </w:r>
      <w:r>
        <w:rPr>
          <w:i/>
          <w:iCs/>
        </w:rPr>
        <w:t>S</w:t>
      </w:r>
      <w:r>
        <w:rPr/>
        <w:t xml:space="preserve">y = </w:t>
      </w:r>
      <w:r>
        <w:rPr>
          <w:i/>
          <w:iCs/>
        </w:rPr>
        <w:t>R</w:t>
      </w:r>
      <w:r>
        <w:rPr/>
        <w:t xml:space="preserve"> / Δ</w:t>
      </w:r>
      <w:r>
        <w:rPr>
          <w:i/>
          <w:iCs/>
        </w:rPr>
        <w:t>h</w:t>
      </w:r>
      <w:r>
        <w:rPr/>
        <w:t xml:space="preserve"> at every well in the reference network and reporting the per-well median across rising-limb events (Approach B applied at the well level, with per-well 25th and 75th percentiles for uncertainty). Forest clusters (C4, C5) carry the interception correction directly in the recharge term — </w:t>
      </w:r>
      <w:r>
        <w:rPr>
          <w:i/>
          <w:iCs/>
        </w:rPr>
        <w:t>R</w:t>
      </w:r>
      <w:r>
        <w:rPr/>
        <w:t xml:space="preserve">eff = (1 − 0.24) · </w:t>
      </w:r>
      <w:r>
        <w:rPr>
          <w:i/>
          <w:iCs/>
        </w:rPr>
        <w:t>P</w:t>
      </w:r>
      <w:r>
        <w:rPr/>
        <w:t xml:space="preserve"> − PET — and forest values therefore carry additional uncertainty associated with the canopy correction (Freeman, 2008). Two wells are excluded from the contour interpolation on physical grounds: CEH12 sits on the bedrock ridge in a forested area, where the WTF </w:t>
      </w:r>
      <w:r>
        <w:rPr>
          <w:i/>
          <w:iCs/>
        </w:rPr>
        <w:t>S</w:t>
      </w:r>
      <w:r>
        <w:rPr/>
        <w:t xml:space="preserve">y reflects bedrock rather than the sand aquifer, and CEH15 sits in a low-lying slack within the plantation where the local hydrology is not representative of upland forest sand. The per-well </w:t>
      </w:r>
      <w:r>
        <w:rPr>
          <w:i/>
          <w:iCs/>
        </w:rPr>
        <w:t>S</w:t>
      </w:r>
      <w:r>
        <w:rPr/>
        <w:t>y values are interpolated to a continuous surface (Figure 8 of the main manuscript) by the IDW procedure of Section S8. The substrate-gradient interpretation of this pattern is developed in Section 5.2 of the main manuscript.</w:t>
      </w:r>
      <w:bookmarkEnd w:id="57"/>
      <w:bookmarkEnd w:id="61"/>
    </w:p>
    <w:p>
      <w:pPr>
        <w:pStyle w:val="Heading2"/>
        <w:rPr/>
      </w:pPr>
      <w:bookmarkStart w:id="62" w:name="X1a8c0fe4b053ffe3945cef3e69d3c2b2b09aff7"/>
      <w:r>
        <w:rPr/>
        <w:t>S12. Mean water-table surface and the Darcy flow field</w:t>
      </w:r>
    </w:p>
    <w:p>
      <w:pPr>
        <w:pStyle w:val="Heading3"/>
        <w:rPr/>
      </w:pPr>
      <w:bookmarkStart w:id="63" w:name="s12.1-mean-head-per-well"/>
      <w:r>
        <w:rPr/>
        <w:t>S12.1 Mean head per well</w:t>
      </w:r>
    </w:p>
    <w:p>
      <w:pPr>
        <w:pStyle w:val="FirstParagraph"/>
        <w:rPr/>
      </w:pPr>
      <w:r>
        <w:rPr/>
        <w:t>A long-term mean water-table elevation is computed at each well in the reference and extended networks (</w:t>
      </w:r>
      <w:r>
        <w:rPr>
          <w:rStyle w:val="VerbatimChar"/>
        </w:rPr>
        <w:t>20_spatial_figures.py</w:t>
      </w:r>
      <w:r>
        <w:rPr/>
        <w:t>) using all available observations at that well, and interpolated to the mean water-table surface shown in Figure 14 of the main manuscript (mAOD). For most reference-network wells this is essentially the full 21-year monitoring window; for extended-network wells, recently-installed wells, and wells with intervention-driven baselines (the scraped well CEH36), the available record is shorter and the mean correspondingly reflects a narrower time window.</w:t>
      </w:r>
    </w:p>
    <w:p>
      <w:pPr>
        <w:pStyle w:val="BodyText"/>
        <w:rPr/>
      </w:pPr>
      <w:r>
        <w:rPr/>
        <w:t xml:space="preserve">The “all-record” approach has two known potential biases. (i) Wells with records ending or starting mid-year may produce means weighted toward different seasonal fractions; (ii) wells joining or leaving the network at different times alter the spatial composition of the contributing set. To check that the spatial pattern is robust to method, the per-well mean head was recomputed over a common reference period (water years 2010–2025) restricted to wells with substantially complete records over that period (≥ 12 of 16 water years with ≥ 10 months observed per year, qualifying 64 of 88 wells). The windowed and all-record per-well means are essentially identical: the median shift is −9 mm and the maximum is approximately 112 mm at a single well, with the per-well comparison points lying on the 1:1 line. The substantive spatial pattern — the high levels centre-north and the low levels south-east — is preserved. The maximum per-well shift was at nw9, the central well of the small (five-well) C5 Coastal Forest cluster; this is not an isolated outlier but the extreme of a coherent cluster-wide pattern, with all five C5 wells showing the windowed mean lying below the all-record mean, reflecting a comparatively high 2006–2009 sub-period in the coastal-forest zone that the windowing excludes. The effect on the C5 cluster-mean head is small (≈ 55 mm cluster-wide, of which nw9 contributes ≈ 14 mm) and negligible against the metre-scale inter-cluster head contrasts, so the substrate-gradient interpretation and the Figure 14 aquifer geometry are unchanged. The all-record approach is therefore retained as the primary method because it preserves full network coverage at the periphery; the windowed comparison is reported as a methodological check.</w:t>
      </w:r>
      <w:bookmarkEnd w:id="63"/>
    </w:p>
    <w:p>
      <w:pPr>
        <w:pStyle w:val="Heading3"/>
        <w:rPr/>
      </w:pPr>
      <w:bookmarkStart w:id="64" w:name="s12.2-spatial-head-surface"/>
      <w:r>
        <w:rPr/>
        <w:t>S12.2 Spatial head surface</w:t>
      </w:r>
    </w:p>
    <w:p>
      <w:pPr>
        <w:pStyle w:val="FirstParagraph"/>
        <w:rPr/>
      </w:pPr>
      <w:bookmarkStart w:id="65" w:name="s12.2-spatial-head-surface"/>
      <w:r>
        <w:rPr/>
        <w:t>The per-well mean heads are interpolated to a continuous surface (Figure 14) by IDW (Section S8) on a 40 m regular grid masked to the dune-field site polygon plus the rock-ridge zone (heads are observable at the ridge in principle, unlike SSM coefficients). The interpolated head surface is broadly smooth, with the water table sitting close to the ground surface in dune-slack areas (≤ 1 m below ground for SD15b-defining wells) and dipping westward and south-westward across the open dune.</w:t>
      </w:r>
      <w:bookmarkEnd w:id="65"/>
    </w:p>
    <w:p>
      <w:pPr>
        <w:pStyle w:val="Heading3"/>
        <w:rPr/>
      </w:pPr>
      <w:bookmarkStart w:id="66" w:name="s12.3-darcy-flow-field"/>
      <w:r>
        <w:rPr/>
        <w:t>S12.3 Darcy flow field</w:t>
      </w:r>
    </w:p>
    <w:p>
      <w:pPr>
        <w:pStyle w:val="FirstParagraph"/>
        <w:rPr/>
      </w:pPr>
      <w:r>
        <w:rPr/>
        <w:t>The Darcy flow field (Figure 14, overlaid on the head surface as normalised flow-direction vectors) is computed from the head surface by</w:t>
      </w:r>
    </w:p>
    <w:p>
      <w:pPr>
        <w:pStyle w:val="BlockText"/>
        <w:rPr/>
      </w:pPr>
      <w:r>
        <w:rPr>
          <w:b/>
          <w:bCs/>
        </w:rPr>
        <w:t>q</w:t>
      </w:r>
      <w:r>
        <w:rPr/>
        <w:t xml:space="preserve"> = −</w:t>
      </w:r>
      <w:r>
        <w:rPr>
          <w:i/>
          <w:iCs/>
        </w:rPr>
        <w:t>K</w:t>
      </w:r>
      <w:r>
        <w:rPr/>
        <w:t xml:space="preserve"> · ∇</w:t>
      </w:r>
      <w:r>
        <w:rPr>
          <w:i/>
          <w:iCs/>
        </w:rPr>
        <w:t>h</w:t>
      </w:r>
    </w:p>
    <w:p>
      <w:pPr>
        <w:pStyle w:val="FirstParagraph"/>
        <w:rPr/>
      </w:pPr>
      <w:r>
        <w:rPr/>
        <w:t>where ∇</w:t>
      </w:r>
      <w:r>
        <w:rPr>
          <w:i/>
          <w:iCs/>
        </w:rPr>
        <w:t>h</w:t>
      </w:r>
      <w:r>
        <w:rPr/>
        <w:t xml:space="preserve"> is the spatial gradient of the head surface and </w:t>
      </w:r>
      <w:r>
        <w:rPr>
          <w:i/>
          <w:iCs/>
        </w:rPr>
        <w:t>K</w:t>
      </w:r>
      <w:r>
        <w:rPr/>
        <w:t xml:space="preserve"> is the bulk hydraulic conductivity (Section S2.1, 6 m day⁻¹ from Betson et al., 2002). The resulting vector field is reported as a directional flow pattern rather than as a quantitative discharge map: the head surface is observed but </w:t>
      </w:r>
      <w:r>
        <w:rPr>
          <w:i/>
          <w:iCs/>
        </w:rPr>
        <w:t>K</w:t>
      </w:r>
      <w:r>
        <w:rPr/>
        <w:t xml:space="preserve"> is uncertain (single tracer test, no spatial variation), so the flux magnitudes are not calibrated.</w:t>
      </w:r>
    </w:p>
    <w:p>
      <w:pPr>
        <w:pStyle w:val="BodyText"/>
        <w:rPr/>
      </w:pPr>
      <w:r>
        <w:rPr/>
        <w:t xml:space="preserve">The directional pattern is robust regardless of the choice of </w:t>
      </w:r>
      <w:r>
        <w:rPr>
          <w:i/>
          <w:iCs/>
        </w:rPr>
        <w:t>K</w:t>
      </w:r>
      <w:r>
        <w:rPr/>
        <w:t xml:space="preserve">: the field shows south-westward flow in the western half of the site (toward Caernarfon Bay) and south-eastward flow in the eastern half (toward the Menai Strait), with the watershed boundary tracking the topographic ridge mid-site. The Darcy field is broadly consistent with the DEM-derived topographic drainage paths overlaid on the spatial figures (most clearly visible on Figure 1, the site overview). This overlay is a cartographic-context layer loaded by the pipeline from </w:t>
      </w:r>
      <w:r>
        <w:rPr>
          <w:rStyle w:val="VerbatimChar"/>
        </w:rPr>
        <w:t>data/streams.kml</w:t>
      </w:r>
      <w:r>
        <w:rPr/>
        <w:t xml:space="preserve"> and produced in QGIS using GRASS </w:t>
      </w:r>
      <w:r>
        <w:rPr>
          <w:rStyle w:val="VerbatimChar"/>
        </w:rPr>
        <w:t>r.watershed</w:t>
      </w:r>
      <w:r>
        <w:rPr/>
        <w:t xml:space="preserve"> with multiple-flow-direction routing and a 4000-cell channelisation threshold (≈ 1.6 ha minimum contributing area) against the LiDAR digital elevation model; it is rendered as cartographic context rather than as a pipeline output. The agreement between the Darcy field and the topographic drainage paths supports the use of topographic flow-accumulation as an operational proxy for subsurface flow divides at this site, although the two are co-determined by the underlying till and bedrock architecture rather than one causing the other.</w:t>
      </w:r>
      <w:bookmarkEnd w:id="62"/>
      <w:bookmarkEnd w:id="66"/>
    </w:p>
    <w:p>
      <w:pPr>
        <w:pStyle w:val="Heading2"/>
        <w:rPr/>
      </w:pPr>
      <w:bookmarkStart w:id="67" w:name="s13.-coastal-retreat-gradient-regression"/>
      <w:r>
        <w:rPr/>
        <w:t>S13. Coastal-retreat gradient regression</w:t>
      </w:r>
    </w:p>
    <w:p>
      <w:pPr>
        <w:pStyle w:val="FirstParagraph"/>
        <w:rPr/>
      </w:pPr>
      <w:r>
        <w:rPr/>
        <w:t>The Newborough coastline at the south-western dune front (Caernarfon Bay) is undergoing measurable retreat (Pye and Blott, 2024; Forgrave, 2020). The hypothesis tested in Section 4.11 of the main manuscript is that this coastal retreat is producing a spatially-structured water-table decline that decays inland — a chronic, location-dependent forcing distinct from the spatially-uniform climate background.</w:t>
      </w:r>
    </w:p>
    <w:p>
      <w:pPr>
        <w:pStyle w:val="Heading3"/>
        <w:rPr/>
      </w:pPr>
      <w:bookmarkStart w:id="68" w:name="s13.1-panel-regression-specification"/>
      <w:r>
        <w:rPr/>
        <w:t>S13.1 Panel regression specification</w:t>
      </w:r>
    </w:p>
    <w:p>
      <w:pPr>
        <w:pStyle w:val="FirstParagraph"/>
        <w:rPr/>
      </w:pPr>
      <w:r>
        <w:rPr/>
        <w:t>The test (</w:t>
      </w:r>
      <w:r>
        <w:rPr>
          <w:rStyle w:val="VerbatimChar"/>
        </w:rPr>
        <w:t>25_coastal_gradient.py</w:t>
      </w:r>
      <w:r>
        <w:rPr/>
        <w:t>) is a panel regression of well-level long-term water-table trends against perpendicular distance to the eroding shoreline:</w:t>
      </w:r>
    </w:p>
    <w:p>
      <w:pPr>
        <w:pStyle w:val="BodyText"/>
        <w:rPr/>
      </w:pPr>
      <w:r>
        <w:rPr/>
        <w:t xml:space="preserve">            </w:t>
      </w:r>
      <m:oMath xmlns:m="http://schemas.openxmlformats.org/officeDocument/2006/math">
        <m:sSub>
          <m:e>
            <m:r>
              <w:rPr>
                <w:rFonts w:ascii="Cambria Math" w:hAnsi="Cambria Math"/>
              </w:rPr>
              <m:t xml:space="preserve">t</m:t>
            </m:r>
          </m:e>
          <m:sub>
            <m:r>
              <w:rPr>
                <w:rFonts w:ascii="Cambria Math" w:hAnsi="Cambria Math"/>
              </w:rPr>
              <m:t xml:space="preserve">ij</m:t>
            </m:r>
          </m:sub>
        </m:sSub>
        <m:r>
          <m:t xml:space="preserve"> </m:t>
        </m:r>
        <m:r>
          <w:rPr>
            <w:rFonts w:ascii="Cambria Math" w:hAnsi="Cambria Math"/>
          </w:rPr>
          <m:t xml:space="preserve">=</m:t>
        </m:r>
        <m:r>
          <m:t xml:space="preserve"> </m:t>
        </m:r>
        <m:r>
          <w:rPr>
            <w:rFonts w:ascii="Cambria Math" w:hAnsi="Cambria Math"/>
          </w:rPr>
          <m:t xml:space="preserve">δ</m:t>
        </m:r>
        <m:d>
          <m:dPr>
            <m:begChr m:val="("/>
            <m:endChr m:val=")"/>
          </m:dPr>
          <m:e>
            <m:sSub>
              <m:e>
                <m:r>
                  <w:rPr>
                    <w:rFonts w:ascii="Cambria Math" w:hAnsi="Cambria Math"/>
                  </w:rPr>
                  <m:t xml:space="preserve">d</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j</m:t>
            </m:r>
          </m:sub>
        </m:sSub>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W</m:t>
            </m:r>
          </m:e>
          <m:sub>
            <m:r>
              <w:rPr>
                <w:rFonts w:ascii="Cambria Math" w:hAnsi="Cambria Math"/>
              </w:rPr>
              <m:t xml:space="preserve">ij</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ij</m:t>
            </m:r>
          </m:sub>
        </m:sSub>
      </m:oMath>
    </w:p>
    <w:p>
      <w:pPr>
        <w:pStyle w:val="FirstParagraph"/>
        <w:rPr/>
      </w:pPr>
      <w:r>
        <w:rPr/>
        <w:t xml:space="preserve">where </w:t>
      </w:r>
      <w:r>
        <w:rPr>
          <w:i/>
          <w:iCs/>
        </w:rPr>
        <w:t>t</w:t>
      </w:r>
      <w:r>
        <w:rPr>
          <w:i/>
          <w:iCs/>
          <w:vertAlign w:val="subscript"/>
        </w:rPr>
        <w:t>ij</w:t>
      </w:r>
      <w:r>
        <w:rPr/>
        <w:t xml:space="preserve"> is the monthly water-table change at well </w:t>
      </w:r>
      <w:r>
        <w:rPr>
          <w:i/>
          <w:iCs/>
        </w:rPr>
        <w:t>i</w:t>
      </w:r>
      <w:r>
        <w:rPr/>
        <w:t xml:space="preserve"> in month </w:t>
      </w:r>
      <w:r>
        <w:rPr>
          <w:i/>
          <w:iCs/>
        </w:rPr>
        <w:t>j</w:t>
      </w:r>
      <w:r>
        <w:rPr/>
        <w:t xml:space="preserve">, </w:t>
      </w:r>
      <w:r>
        <w:rPr>
          <w:i/>
          <w:iCs/>
        </w:rPr>
        <w:t>d</w:t>
      </w:r>
      <w:r>
        <w:rPr>
          <w:i/>
          <w:iCs/>
          <w:vertAlign w:val="subscript"/>
        </w:rPr>
        <w:t>i</w:t>
      </w:r>
      <w:r>
        <w:rPr>
          <w:vertAlign w:val="subscript"/>
        </w:rPr>
        <w:t xml:space="preserve"> </w:t>
      </w:r>
      <w:r>
        <w:rPr/>
        <w:t xml:space="preserve">is well </w:t>
      </w:r>
      <w:r>
        <w:rPr>
          <w:i/>
          <w:iCs/>
        </w:rPr>
        <w:t>i</w:t>
      </w:r>
      <w:r>
        <w:rPr/>
        <w:t>’s perpendicular distance from the eroding shoreline, δ(·) is the modelled distance decay, α</w:t>
      </w:r>
      <w:r>
        <w:rPr>
          <w:i/>
          <w:iCs/>
          <w:vertAlign w:val="subscript"/>
        </w:rPr>
        <w:t>i</w:t>
      </w:r>
      <w:r>
        <w:rPr>
          <w:vertAlign w:val="subscript"/>
        </w:rPr>
        <w:t xml:space="preserve"> </w:t>
      </w:r>
      <w:r>
        <w:rPr/>
        <w:t>and α</w:t>
      </w:r>
      <w:r>
        <w:rPr>
          <w:i/>
          <w:iCs/>
          <w:vertAlign w:val="subscript"/>
        </w:rPr>
        <w:t>j</w:t>
      </w:r>
      <w:r>
        <w:rPr/>
        <w:t xml:space="preserve"> are well and month fixed effects (absorbed by within-well demeaning), </w:t>
      </w:r>
      <w:r>
        <w:rPr>
          <w:i/>
          <w:iCs/>
        </w:rPr>
        <w:t>W</w:t>
      </w:r>
      <w:r>
        <w:rPr>
          <w:i/>
          <w:iCs/>
          <w:vertAlign w:val="subscript"/>
        </w:rPr>
        <w:t>ij</w:t>
      </w:r>
      <w:r>
        <w:rPr/>
        <w:t xml:space="preserve"> is the cumulative water-balance covariate (the integrated SSM water balance to month </w:t>
      </w:r>
      <w:r>
        <w:rPr>
          <w:i/>
          <w:iCs/>
        </w:rPr>
        <w:t>j</w:t>
      </w:r>
      <w:r>
        <w:rPr/>
        <w:t>, included to absorb the spatially-uniform climate background and so isolate the spatially-structured residual), γ is its coefficient, and ε</w:t>
      </w:r>
      <w:r>
        <w:rPr>
          <w:i/>
          <w:iCs/>
          <w:vertAlign w:val="subscript"/>
        </w:rPr>
        <w:t>ij</w:t>
      </w:r>
      <w:r>
        <w:rPr/>
        <w:t xml:space="preserve"> is the residual.</w:t>
      </w:r>
    </w:p>
    <w:p>
      <w:pPr>
        <w:pStyle w:val="BodyText"/>
        <w:rPr/>
      </w:pPr>
      <w:r>
        <w:rPr/>
        <w:t>Two functional forms are tested for the distance decay δ(·):</w:t>
      </w:r>
    </w:p>
    <w:p>
      <w:pPr>
        <w:pStyle w:val="Compact"/>
        <w:numPr>
          <w:ilvl w:val="0"/>
          <w:numId w:val="1"/>
        </w:numPr>
        <w:rPr/>
      </w:pPr>
      <w:r>
        <w:rPr>
          <w:b/>
          <w:bCs/>
        </w:rPr>
        <w:t>Linear-capped</w:t>
      </w:r>
      <w:r>
        <w:rPr/>
        <w:t>: δ(</w:t>
      </w:r>
      <w:r>
        <w:rPr>
          <w:i/>
          <w:iCs/>
        </w:rPr>
        <w:t>d</w:t>
      </w:r>
      <w:r>
        <w:rPr/>
        <w:t>) = δ₀ + (</w:t>
      </w:r>
      <w:r>
        <w:rPr>
          <w:i/>
          <w:iCs/>
        </w:rPr>
        <w:t>c</w:t>
      </w:r>
      <w:r>
        <w:rPr/>
        <w:t xml:space="preserve"> − δ₀) · min(</w:t>
      </w:r>
      <w:r>
        <w:rPr>
          <w:i/>
          <w:iCs/>
        </w:rPr>
        <w:t>d</w:t>
      </w:r>
      <w:r>
        <w:rPr/>
        <w:t>/</w:t>
      </w:r>
      <w:r>
        <w:rPr>
          <w:i/>
          <w:iCs/>
        </w:rPr>
        <w:t>L</w:t>
      </w:r>
      <w:r>
        <w:rPr/>
        <w:t xml:space="preserve">, 1). A linear decline from a coast-edge intercept δ₀ to a far-field background </w:t>
      </w:r>
      <w:r>
        <w:rPr>
          <w:i/>
          <w:iCs/>
        </w:rPr>
        <w:t>c</w:t>
      </w:r>
      <w:r>
        <w:rPr/>
        <w:t xml:space="preserve"> over an inland reach </w:t>
      </w:r>
      <w:r>
        <w:rPr>
          <w:i/>
          <w:iCs/>
        </w:rPr>
        <w:t>L</w:t>
      </w:r>
      <w:r>
        <w:rPr/>
        <w:t xml:space="preserve">; flat at </w:t>
      </w:r>
      <w:r>
        <w:rPr>
          <w:i/>
          <w:iCs/>
        </w:rPr>
        <w:t>c</w:t>
      </w:r>
      <w:r>
        <w:rPr/>
        <w:t xml:space="preserve"> beyond </w:t>
      </w:r>
      <w:r>
        <w:rPr>
          <w:i/>
          <w:iCs/>
        </w:rPr>
        <w:t>L</w:t>
      </w:r>
      <w:r>
        <w:rPr/>
        <w:t>.</w:t>
      </w:r>
    </w:p>
    <w:p>
      <w:pPr>
        <w:pStyle w:val="Compact"/>
        <w:numPr>
          <w:ilvl w:val="0"/>
          <w:numId w:val="1"/>
        </w:numPr>
        <w:rPr/>
      </w:pPr>
      <w:r>
        <w:rPr>
          <w:b/>
          <w:bCs/>
        </w:rPr>
        <w:t>Exponential</w:t>
      </w:r>
      <w:r>
        <w:rPr/>
        <w:t>: δ(</w:t>
      </w:r>
      <w:r>
        <w:rPr>
          <w:i/>
          <w:iCs/>
        </w:rPr>
        <w:t>d</w:t>
      </w:r>
      <w:r>
        <w:rPr/>
        <w:t xml:space="preserve">) = </w:t>
      </w:r>
      <w:r>
        <w:rPr>
          <w:i/>
          <w:iCs/>
        </w:rPr>
        <w:t>c</w:t>
      </w:r>
      <w:r>
        <w:rPr/>
        <w:t xml:space="preserve"> + (δ₀ − </w:t>
      </w:r>
      <w:r>
        <w:rPr>
          <w:i/>
          <w:iCs/>
        </w:rPr>
        <w:t>c</w:t>
      </w:r>
      <w:r>
        <w:rPr/>
        <w:t>) · exp(−</w:t>
      </w:r>
      <w:r>
        <w:rPr>
          <w:i/>
          <w:iCs/>
        </w:rPr>
        <w:t>d</w:t>
      </w:r>
      <w:r>
        <w:rPr/>
        <w:t>/</w:t>
      </w:r>
      <w:r>
        <w:rPr>
          <w:i/>
          <w:iCs/>
        </w:rPr>
        <w:t>L</w:t>
      </w:r>
      <w:r>
        <w:rPr/>
        <w:t xml:space="preserve">). An exponential decay from δ₀ at </w:t>
      </w:r>
      <w:r>
        <w:rPr>
          <w:i/>
          <w:iCs/>
        </w:rPr>
        <w:t>d</w:t>
      </w:r>
      <w:r>
        <w:rPr/>
        <w:t xml:space="preserve"> = 0 to </w:t>
      </w:r>
      <w:r>
        <w:rPr>
          <w:i/>
          <w:iCs/>
        </w:rPr>
        <w:t>c</w:t>
      </w:r>
      <w:r>
        <w:rPr/>
        <w:t xml:space="preserve"> asymptotically, with characteristic length </w:t>
      </w:r>
      <w:r>
        <w:rPr>
          <w:i/>
          <w:iCs/>
        </w:rPr>
        <w:t>L</w:t>
      </w:r>
      <w:r>
        <w:rPr/>
        <w:t>.</w:t>
      </w:r>
    </w:p>
    <w:p>
      <w:pPr>
        <w:pStyle w:val="FirstParagraph"/>
        <w:rPr/>
      </w:pPr>
      <w:bookmarkStart w:id="69" w:name="s13.1-panel-regression-specification"/>
      <w:r>
        <w:rPr/>
        <w:t>Both forms are fitted by nonlinear least squares. Model selection between the two is by the Akaike information criterion (Akaike, 1974).</w:t>
      </w:r>
      <w:bookmarkEnd w:id="69"/>
    </w:p>
    <w:p>
      <w:pPr>
        <w:pStyle w:val="Heading3"/>
        <w:rPr/>
      </w:pPr>
      <w:bookmarkStart w:id="70" w:name="s13.2-nested-specifications"/>
      <w:r>
        <w:rPr/>
        <w:t>S13.2 Nested specifications</w:t>
      </w:r>
    </w:p>
    <w:p>
      <w:pPr>
        <w:pStyle w:val="FirstParagraph"/>
        <w:rPr/>
      </w:pPr>
      <w:r>
        <w:rPr/>
        <w:t>Three nested specifications are fitted to test robustness:</w:t>
      </w:r>
    </w:p>
    <w:p>
      <w:pPr>
        <w:pStyle w:val="Compact"/>
        <w:numPr>
          <w:ilvl w:val="0"/>
          <w:numId w:val="6"/>
        </w:numPr>
        <w:rPr/>
      </w:pPr>
      <w:r>
        <w:rPr>
          <w:b/>
          <w:bCs/>
        </w:rPr>
        <w:t>Full network</w:t>
      </w:r>
      <w:r>
        <w:rPr/>
        <w:t>: all open-dune and forested wells in the reference network, excluding the clearfell-zone wells (which carry a non-coastal management forcing).</w:t>
      </w:r>
    </w:p>
    <w:p>
      <w:pPr>
        <w:pStyle w:val="Compact"/>
        <w:numPr>
          <w:ilvl w:val="0"/>
          <w:numId w:val="7"/>
        </w:numPr>
        <w:rPr/>
      </w:pPr>
      <w:r>
        <w:rPr>
          <w:b/>
          <w:bCs/>
        </w:rPr>
        <w:t>Forest-free</w:t>
      </w:r>
      <w:r>
        <w:rPr/>
        <w:t>: the open-dune wells (C1, C2, C3) only, excluding all forested wells. This is the primary specification reported in the manuscript: it removes any contamination from forest interception or canopy-driven evaporative demand from the distance fit.</w:t>
      </w:r>
    </w:p>
    <w:p>
      <w:pPr>
        <w:pStyle w:val="Compact"/>
        <w:numPr>
          <w:ilvl w:val="0"/>
          <w:numId w:val="8"/>
        </w:numPr>
        <w:rPr/>
      </w:pPr>
      <w:r>
        <w:rPr>
          <w:b/>
          <w:bCs/>
        </w:rPr>
        <w:t>C3-only</w:t>
      </w:r>
      <w:r>
        <w:rPr/>
        <w:t xml:space="preserve">: wells in C3 Western Residual only, with the far-field background </w:t>
      </w:r>
      <w:r>
        <w:rPr>
          <w:i/>
          <w:iCs/>
        </w:rPr>
        <w:t>c</w:t>
      </w:r>
      <w:r>
        <w:rPr/>
        <w:t xml:space="preserve"> fixed at the forest-free value rather than re-estimated. This tests whether the distance gradient is identifiable within the single cluster geographically closest to the eroding shoreline.</w:t>
      </w:r>
      <w:bookmarkEnd w:id="70"/>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Compact"/>
        <w:rPr/>
      </w:pPr>
      <w:r>
        <w:rPr/>
      </w:r>
    </w:p>
    <w:p>
      <w:pPr>
        <w:pStyle w:val="Heading3"/>
        <w:rPr/>
      </w:pPr>
      <w:bookmarkStart w:id="71" w:name="s13.3-parameter-values"/>
      <w:r>
        <w:rPr/>
        <w:t>S13.3 Parameter values</w:t>
      </w:r>
    </w:p>
    <w:p>
      <w:pPr>
        <w:pStyle w:val="FirstParagraph"/>
        <w:rPr/>
      </w:pPr>
      <w:r>
        <w:rPr/>
        <w:t xml:space="preserve">Fitted parameters, read live from </w:t>
      </w:r>
      <w:r>
        <w:rPr>
          <w:rStyle w:val="VerbatimChar"/>
        </w:rPr>
        <w:t>outputs/25_coastal_gradient/25_01_panel_fit_parameters.csv</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768"/>
        <w:gridCol w:w="1365"/>
        <w:gridCol w:w="1470"/>
        <w:gridCol w:w="1140"/>
        <w:gridCol w:w="1185"/>
        <w:gridCol w:w="1094"/>
      </w:tblGrid>
      <w:tr>
        <w:trPr>
          <w:tblHeader w:val="true"/>
        </w:trPr>
        <w:tc>
          <w:tcPr>
            <w:tcW w:w="1337"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Specifica-tion</w:t>
            </w:r>
          </w:p>
        </w:tc>
        <w:tc>
          <w:tcPr>
            <w:tcW w:w="1768"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Model</w:t>
            </w:r>
          </w:p>
        </w:tc>
        <w:tc>
          <w:tcPr>
            <w:tcW w:w="136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n</w:t>
            </w:r>
          </w:p>
        </w:tc>
        <w:tc>
          <w:tcPr>
            <w:tcW w:w="147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AIC</w:t>
            </w:r>
          </w:p>
        </w:tc>
        <w:tc>
          <w:tcPr>
            <w:tcW w:w="114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δ₀ (mm yr⁻¹)</w:t>
            </w:r>
          </w:p>
        </w:tc>
        <w:tc>
          <w:tcPr>
            <w:tcW w:w="1185"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L</w:t>
            </w:r>
            <w:r>
              <w:rPr>
                <w:rFonts w:eastAsia="Calibri" w:cs=""/>
                <w:kern w:val="0"/>
                <w:sz w:val="24"/>
                <w:szCs w:val="24"/>
                <w:lang w:val="en-US" w:eastAsia="en-US" w:bidi="ar-SA"/>
              </w:rPr>
              <w:t xml:space="preserve"> (m)</w:t>
            </w:r>
          </w:p>
        </w:tc>
        <w:tc>
          <w:tcPr>
            <w:tcW w:w="1094"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i/>
                <w:iCs/>
                <w:kern w:val="0"/>
                <w:sz w:val="24"/>
                <w:szCs w:val="24"/>
                <w:lang w:val="en-US" w:eastAsia="en-US" w:bidi="ar-SA"/>
              </w:rPr>
              <w:t>c</w:t>
            </w:r>
            <w:r>
              <w:rPr>
                <w:rFonts w:eastAsia="Calibri" w:cs=""/>
                <w:kern w:val="0"/>
                <w:sz w:val="24"/>
                <w:szCs w:val="24"/>
                <w:lang w:val="en-US" w:eastAsia="en-US" w:bidi="ar-SA"/>
              </w:rPr>
              <w:t xml:space="preserve"> (mm yr⁻¹)</w:t>
            </w:r>
          </w:p>
        </w:tc>
      </w:tr>
      <w:tr>
        <w:trPr/>
        <w:tc>
          <w:tcPr>
            <w:tcW w:w="1337"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Full</w:t>
            </w:r>
          </w:p>
        </w:tc>
        <w:tc>
          <w:tcPr>
            <w:tcW w:w="176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linear-capped</w:t>
            </w:r>
          </w:p>
        </w:tc>
        <w:tc>
          <w:tcPr>
            <w:tcW w:w="136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12,457</w:t>
            </w:r>
          </w:p>
        </w:tc>
        <w:tc>
          <w:tcPr>
            <w:tcW w:w="147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−35,168.4</w:t>
            </w:r>
          </w:p>
        </w:tc>
        <w:tc>
          <w:tcPr>
            <w:tcW w:w="114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−29.2 ± 1.9</w:t>
            </w:r>
          </w:p>
        </w:tc>
        <w:tc>
          <w:tcPr>
            <w:tcW w:w="1185"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971 ± 58</w:t>
            </w:r>
          </w:p>
        </w:tc>
        <w:tc>
          <w:tcPr>
            <w:tcW w:w="1094"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−6.8 ± 0.6</w:t>
            </w:r>
          </w:p>
        </w:tc>
      </w:tr>
      <w:tr>
        <w:trPr/>
        <w:tc>
          <w:tcPr>
            <w:tcW w:w="1337"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Full</w:t>
            </w:r>
          </w:p>
        </w:tc>
        <w:tc>
          <w:tcPr>
            <w:tcW w:w="176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exponential</w:t>
            </w:r>
          </w:p>
        </w:tc>
        <w:tc>
          <w:tcPr>
            <w:tcW w:w="136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12,457</w:t>
            </w:r>
          </w:p>
        </w:tc>
        <w:tc>
          <w:tcPr>
            <w:tcW w:w="147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−35,166.8</w:t>
            </w:r>
          </w:p>
        </w:tc>
        <w:tc>
          <w:tcPr>
            <w:tcW w:w="114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−39.1 ± 3.0</w:t>
            </w:r>
          </w:p>
        </w:tc>
        <w:tc>
          <w:tcPr>
            <w:tcW w:w="118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514 ± 84</w:t>
            </w:r>
          </w:p>
        </w:tc>
        <w:tc>
          <w:tcPr>
            <w:tcW w:w="109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−4.5 ± 1.2</w:t>
            </w:r>
          </w:p>
        </w:tc>
      </w:tr>
      <w:tr>
        <w:trPr/>
        <w:tc>
          <w:tcPr>
            <w:tcW w:w="1337"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Forest-free</w:t>
            </w:r>
          </w:p>
        </w:tc>
        <w:tc>
          <w:tcPr>
            <w:tcW w:w="176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linear-capped</w:t>
            </w:r>
          </w:p>
        </w:tc>
        <w:tc>
          <w:tcPr>
            <w:tcW w:w="136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11,778</w:t>
            </w:r>
          </w:p>
        </w:tc>
        <w:tc>
          <w:tcPr>
            <w:tcW w:w="147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−34,260.9</w:t>
            </w:r>
          </w:p>
        </w:tc>
        <w:tc>
          <w:tcPr>
            <w:tcW w:w="114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−28.8 ± 1.9</w:t>
            </w:r>
          </w:p>
        </w:tc>
        <w:tc>
          <w:tcPr>
            <w:tcW w:w="118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894 ± 52</w:t>
            </w:r>
          </w:p>
        </w:tc>
        <w:tc>
          <w:tcPr>
            <w:tcW w:w="109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−6.4 ± 0.6</w:t>
            </w:r>
          </w:p>
        </w:tc>
      </w:tr>
      <w:tr>
        <w:trPr/>
        <w:tc>
          <w:tcPr>
            <w:tcW w:w="1337"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Forest-free</w:t>
            </w:r>
          </w:p>
        </w:tc>
        <w:tc>
          <w:tcPr>
            <w:tcW w:w="176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exponential</w:t>
            </w:r>
          </w:p>
        </w:tc>
        <w:tc>
          <w:tcPr>
            <w:tcW w:w="136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11,778</w:t>
            </w:r>
          </w:p>
        </w:tc>
        <w:tc>
          <w:tcPr>
            <w:tcW w:w="147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−34,261.4</w:t>
            </w:r>
          </w:p>
        </w:tc>
        <w:tc>
          <w:tcPr>
            <w:tcW w:w="114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−40.2 ± 3.8</w:t>
            </w:r>
          </w:p>
        </w:tc>
        <w:tc>
          <w:tcPr>
            <w:tcW w:w="118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407 ± 64</w:t>
            </w:r>
          </w:p>
        </w:tc>
        <w:tc>
          <w:tcPr>
            <w:tcW w:w="109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−5.2 ± 0.9</w:t>
            </w:r>
          </w:p>
        </w:tc>
      </w:tr>
      <w:tr>
        <w:trPr/>
        <w:tc>
          <w:tcPr>
            <w:tcW w:w="1337"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C3-only</w:t>
            </w:r>
          </w:p>
        </w:tc>
        <w:tc>
          <w:tcPr>
            <w:tcW w:w="176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linear-capped (</w:t>
            </w:r>
            <w:r>
              <w:rPr>
                <w:rFonts w:eastAsia="Calibri" w:cs=""/>
                <w:i/>
                <w:iCs/>
                <w:kern w:val="0"/>
                <w:sz w:val="24"/>
                <w:szCs w:val="24"/>
                <w:lang w:val="en-US" w:eastAsia="en-US" w:bidi="ar-SA"/>
              </w:rPr>
              <w:t>c</w:t>
            </w:r>
            <w:r>
              <w:rPr>
                <w:rFonts w:eastAsia="Calibri" w:cs=""/>
                <w:kern w:val="0"/>
                <w:sz w:val="24"/>
                <w:szCs w:val="24"/>
                <w:lang w:val="en-US" w:eastAsia="en-US" w:bidi="ar-SA"/>
              </w:rPr>
              <w:t xml:space="preserve"> fixed)</w:t>
            </w:r>
          </w:p>
        </w:tc>
        <w:tc>
          <w:tcPr>
            <w:tcW w:w="136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3,794</w:t>
            </w:r>
          </w:p>
        </w:tc>
        <w:tc>
          <w:tcPr>
            <w:tcW w:w="147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−10,647.4</w:t>
            </w:r>
          </w:p>
        </w:tc>
        <w:tc>
          <w:tcPr>
            <w:tcW w:w="114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−26.1 ± 2.6</w:t>
            </w:r>
          </w:p>
        </w:tc>
        <w:tc>
          <w:tcPr>
            <w:tcW w:w="118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972 ± 83</w:t>
            </w:r>
          </w:p>
        </w:tc>
        <w:tc>
          <w:tcPr>
            <w:tcW w:w="109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−6.40</w:t>
            </w:r>
          </w:p>
        </w:tc>
      </w:tr>
      <w:tr>
        <w:trPr/>
        <w:tc>
          <w:tcPr>
            <w:tcW w:w="1337"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C3-only</w:t>
            </w:r>
          </w:p>
        </w:tc>
        <w:tc>
          <w:tcPr>
            <w:tcW w:w="1768"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exponential (</w:t>
            </w:r>
            <w:r>
              <w:rPr>
                <w:rFonts w:eastAsia="Calibri" w:cs=""/>
                <w:i/>
                <w:iCs/>
                <w:kern w:val="0"/>
                <w:sz w:val="24"/>
                <w:szCs w:val="24"/>
                <w:lang w:val="en-US" w:eastAsia="en-US" w:bidi="ar-SA"/>
              </w:rPr>
              <w:t>c</w:t>
            </w:r>
            <w:r>
              <w:rPr>
                <w:rFonts w:eastAsia="Calibri" w:cs=""/>
                <w:kern w:val="0"/>
                <w:sz w:val="24"/>
                <w:szCs w:val="24"/>
                <w:lang w:val="en-US" w:eastAsia="en-US" w:bidi="ar-SA"/>
              </w:rPr>
              <w:t xml:space="preserve"> fixed)</w:t>
            </w:r>
          </w:p>
        </w:tc>
        <w:tc>
          <w:tcPr>
            <w:tcW w:w="136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3,794</w:t>
            </w:r>
          </w:p>
        </w:tc>
        <w:tc>
          <w:tcPr>
            <w:tcW w:w="147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−10,654.4</w:t>
            </w:r>
          </w:p>
        </w:tc>
        <w:tc>
          <w:tcPr>
            <w:tcW w:w="1140"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−29.5 ± 3.8</w:t>
            </w:r>
          </w:p>
        </w:tc>
        <w:tc>
          <w:tcPr>
            <w:tcW w:w="1185"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652 ± 108</w:t>
            </w:r>
          </w:p>
        </w:tc>
        <w:tc>
          <w:tcPr>
            <w:tcW w:w="1094" w:type="dxa"/>
            <w:tcBorders/>
          </w:tcPr>
          <w:p>
            <w:pPr>
              <w:pStyle w:val="Compact"/>
              <w:widowControl/>
              <w:spacing w:before="36" w:after="36"/>
              <w:jc w:val="center"/>
              <w:rPr>
                <w:rFonts w:ascii="Calibri" w:hAnsi="Calibri" w:eastAsia="Calibri" w:cs=""/>
                <w:kern w:val="0"/>
                <w:sz w:val="24"/>
                <w:szCs w:val="24"/>
                <w:lang w:val="en-US" w:eastAsia="en-US" w:bidi="ar-SA"/>
              </w:rPr>
            </w:pPr>
            <w:r>
              <w:rPr>
                <w:rFonts w:eastAsia="Calibri" w:cs=""/>
                <w:kern w:val="0"/>
                <w:sz w:val="24"/>
                <w:szCs w:val="24"/>
                <w:lang w:val="en-US" w:eastAsia="en-US" w:bidi="ar-SA"/>
              </w:rPr>
              <w:t>−5.24</w:t>
            </w:r>
          </w:p>
        </w:tc>
      </w:tr>
    </w:tbl>
    <w:p>
      <w:pPr>
        <w:pStyle w:val="BodyText"/>
        <w:rPr/>
      </w:pPr>
      <w:r>
        <w:rPr/>
        <w:t xml:space="preserve">Confidence intervals are 95% (1.96 SE). The forest-free linear-capped fit is the headline specification: δ₀ = −28.8 mm yr⁻¹, </w:t>
      </w:r>
      <w:r>
        <w:rPr>
          <w:i/>
          <w:iCs/>
        </w:rPr>
        <w:t>L</w:t>
      </w:r>
      <w:r>
        <w:rPr/>
        <w:t xml:space="preserve"> = 894 m, </w:t>
      </w:r>
      <w:r>
        <w:rPr>
          <w:i/>
          <w:iCs/>
        </w:rPr>
        <w:t>c</w:t>
      </w:r>
      <w:r>
        <w:rPr/>
        <w:t xml:space="preserve"> = −6.4 mm yr⁻¹.</w:t>
      </w:r>
      <w:bookmarkEnd w:id="71"/>
    </w:p>
    <w:p>
      <w:pPr>
        <w:pStyle w:val="Heading3"/>
        <w:rPr/>
      </w:pPr>
      <w:bookmarkStart w:id="72" w:name="s13.4-model-selection"/>
      <w:r>
        <w:rPr/>
        <w:t>S13.4 Model selection</w:t>
      </w:r>
    </w:p>
    <w:p>
      <w:pPr>
        <w:pStyle w:val="FirstParagraph"/>
        <w:rPr/>
      </w:pPr>
      <w:r>
        <w:rPr/>
        <w:t xml:space="preserve">The ΔAIC between linear-capped and exponential in the forest-free specification is approximately 0.5 in favour of the exponential — a small difference that does not strongly discriminate the two forms. Both fits agree on the sense of the gradient (a coast-edge deepening that decays inland), on the magnitude of the coast-edge component (~−29 to −40 mm yr⁻¹), and on the far-field background (~−4.5 to −6.4 mm yr⁻¹). The choice of functional form changes the inland reach </w:t>
      </w:r>
      <w:r>
        <w:rPr>
          <w:i/>
          <w:iCs/>
        </w:rPr>
        <w:t>L</w:t>
      </w:r>
      <w:r>
        <w:rPr/>
        <w:t xml:space="preserve"> and the partition of the coast-edge intercept δ₀ between the two functions, but does not change the central finding: a near-coast water-table deepening of order 25–40 mm yr⁻¹ above the climate background, declining over an inland reach of order 400–1000 m to a far-field climate background of about −6.4 mm yr⁻¹.</w:t>
      </w:r>
    </w:p>
    <w:p>
      <w:pPr>
        <w:pStyle w:val="BodyText"/>
        <w:rPr/>
      </w:pPr>
      <w:r>
        <w:rPr/>
        <w:t xml:space="preserve">The headline values reported in the manuscript adopt the linear-capped fit for its slightly more conservative coast-edge magnitude (−28.8 vs −40.2 mm yr⁻¹) and its more interpretable reach length (a capped-linear </w:t>
      </w:r>
      <w:r>
        <w:rPr>
          <w:i/>
          <w:iCs/>
        </w:rPr>
        <w:t>L</w:t>
      </w:r>
      <w:r>
        <w:rPr/>
        <w:t xml:space="preserve"> of 894 m is closer to the physical scale of the dune body than the exponential </w:t>
      </w:r>
      <w:r>
        <w:rPr>
          <w:i/>
          <w:iCs/>
        </w:rPr>
        <w:t>L</w:t>
      </w:r>
      <w:r>
        <w:rPr/>
        <w:t xml:space="preserve"> of 407 m, which is the </w:t>
      </w:r>
      <w:r>
        <w:rPr>
          <w:i/>
          <w:iCs/>
        </w:rPr>
        <w:t>e</w:t>
      </w:r>
      <w:r>
        <w:rPr/>
        <w:t>-folding length). The exponential fit is reported as a sensitivity case.</w:t>
      </w:r>
      <w:bookmarkEnd w:id="72"/>
    </w:p>
    <w:p>
      <w:pPr>
        <w:pStyle w:val="Heading3"/>
        <w:rPr/>
      </w:pPr>
      <w:bookmarkStart w:id="73" w:name="s13.5-c5-out-of-sample-sentinel"/>
      <w:r>
        <w:rPr/>
        <w:t>S13.5 C5 out-of-sample sentinel</w:t>
      </w:r>
    </w:p>
    <w:p>
      <w:pPr>
        <w:pStyle w:val="FirstParagraph"/>
        <w:rPr/>
      </w:pPr>
      <w:r>
        <w:rPr/>
        <w:t>The C5 Coastal Forest well nw9, at 419 m from the eroding shoreline, shows a decline of −32.8 mm yr⁻¹ (</w:t>
      </w:r>
      <w:r>
        <w:rPr>
          <w:i/>
          <w:iCs/>
        </w:rPr>
        <w:t>p</w:t>
      </w:r>
      <w:r>
        <w:rPr/>
        <w:t xml:space="preserve"> = 0.002, </w:t>
      </w:r>
      <w:r>
        <w:rPr>
          <w:i/>
          <w:iCs/>
        </w:rPr>
        <w:t>R</w:t>
      </w:r>
      <w:r>
        <w:rPr/>
        <w:t xml:space="preserve">² = 0.41, </w:t>
      </w:r>
      <w:r>
        <w:rPr>
          <w:i/>
          <w:iCs/>
        </w:rPr>
        <w:t>n</w:t>
      </w:r>
      <w:r>
        <w:rPr/>
        <w:t xml:space="preserve"> = 20 years from </w:t>
      </w:r>
      <w:r>
        <w:rPr>
          <w:rStyle w:val="VerbatimChar"/>
        </w:rPr>
        <w:t>25_02_per_well_summer_min_slopes.csv</w:t>
      </w:r>
      <w:r>
        <w:rPr/>
        <w:t>. nw9 is forested and is excluded from the forest-free regression; it therefore functions as an out-of-sample sentinel, testing the fitted gradient at a near-coast position without contributing to it. The fitted gradient at 419 m predicts a coastal-retreat contribution of approximately −15 mm yr⁻¹ under either functional form; the residual between the observed −32.8 mm yr⁻¹ and the predicted −15 mm yr⁻¹ is consistent with the climate background (−6.4 mm yr⁻¹) and an additional substrate-position amplification developed in Section 5.2 of the manuscript.</w:t>
      </w:r>
      <w:bookmarkEnd w:id="67"/>
      <w:bookmarkEnd w:id="73"/>
    </w:p>
    <w:p>
      <w:pPr>
        <w:pStyle w:val="Heading2"/>
        <w:rPr/>
      </w:pPr>
      <w:bookmarkStart w:id="74" w:name="X58fbb7ca58c38d75e90a0295c89c3d49b40f1ce"/>
      <w:r>
        <w:rPr/>
        <w:t>S14. Forest-interception drawdown reach (Figure 17)</w:t>
      </w:r>
    </w:p>
    <w:p>
      <w:pPr>
        <w:pStyle w:val="FirstParagraph"/>
        <w:rPr/>
      </w:pPr>
      <w:r>
        <w:rPr/>
        <w:t>Section 4.11 of the main manuscript renders the inland reach of forest-interception drawdown (</w:t>
      </w:r>
      <w:r>
        <w:rPr>
          <w:rStyle w:val="VerbatimChar"/>
        </w:rPr>
        <w:t>20_spatial_figures.py</w:t>
      </w:r>
      <w:r>
        <w:rPr/>
        <w:t xml:space="preserve"> for the figure) — the distance over which interception-driven recharge suppression at the plantation boundary persists in the down-gradient open dune — as a physical decay length. The calculation is a Dupuit-style drainage length:</w:t>
      </w:r>
    </w:p>
    <w:p>
      <w:pPr>
        <w:pStyle w:val="BlockText"/>
        <w:rPr/>
      </w:pPr>
      <w:r>
        <w:rPr/>
        <w:t xml:space="preserve">λ = √( </w:t>
      </w:r>
      <w:r>
        <w:rPr>
          <w:i/>
          <w:iCs/>
        </w:rPr>
        <w:t>Kb</w:t>
      </w:r>
      <w:r>
        <w:rPr/>
        <w:t xml:space="preserve"> / (</w:t>
      </w:r>
      <w:r>
        <w:rPr>
          <w:i/>
          <w:iCs/>
        </w:rPr>
        <w:t>S</w:t>
      </w:r>
      <w:r>
        <w:rPr/>
        <w:t>y · β₃) )</w:t>
      </w:r>
    </w:p>
    <w:p>
      <w:pPr>
        <w:pStyle w:val="FirstParagraph"/>
        <w:rPr/>
      </w:pPr>
      <w:r>
        <w:rPr/>
        <w:t xml:space="preserve">where λ is the inland decay length, </w:t>
      </w:r>
      <w:r>
        <w:rPr>
          <w:i/>
          <w:iCs/>
        </w:rPr>
        <w:t>K</w:t>
      </w:r>
      <w:r>
        <w:rPr/>
        <w:t xml:space="preserve"> the hydraulic conductivity, </w:t>
      </w:r>
      <w:r>
        <w:rPr>
          <w:i/>
          <w:iCs/>
        </w:rPr>
        <w:t>b</w:t>
      </w:r>
      <w:r>
        <w:rPr/>
        <w:t xml:space="preserve"> the saturated thickness, </w:t>
      </w:r>
      <w:r>
        <w:rPr>
          <w:i/>
          <w:iCs/>
        </w:rPr>
        <w:t>S</w:t>
      </w:r>
      <w:r>
        <w:rPr/>
        <w:t>y the specific yield and β₃ the drainage coefficient (in daily units). The expression is the characteristic length over which a head perturbation at the source decays in a homogeneous, fixed-base unconfined aquifer.</w:t>
      </w:r>
    </w:p>
    <w:p>
      <w:pPr>
        <w:pStyle w:val="BodyText"/>
        <w:rPr/>
      </w:pPr>
      <w:r>
        <w:rPr/>
        <w:t xml:space="preserve">The parameters used in Figure 17 are taken from C3 Western Residual, the open-dune cluster immediately down-gradient of the plantation boundary, with: </w:t>
      </w:r>
      <w:r>
        <w:rPr>
          <w:i/>
          <w:iCs/>
        </w:rPr>
        <w:t>S</w:t>
      </w:r>
      <w:r>
        <w:rPr/>
        <w:t xml:space="preserve">y = 0.33 (C3 event-median, Section S11.2); β₃ = 0.058 month⁻¹ ≈ 1.93 × 10⁻³ day⁻¹ (C3 cluster-mean, Section S6.2); </w:t>
      </w:r>
      <w:r>
        <w:rPr>
          <w:i/>
          <w:iCs/>
        </w:rPr>
        <w:t>K</w:t>
      </w:r>
      <w:r>
        <w:rPr/>
        <w:t xml:space="preserve"> = 6 m day⁻¹ (Betson et al., 2002, Section S2.1); </w:t>
      </w:r>
      <w:r>
        <w:rPr>
          <w:i/>
          <w:iCs/>
        </w:rPr>
        <w:t>b</w:t>
      </w:r>
      <w:r>
        <w:rPr/>
        <w:t xml:space="preserve"> = 5 m (nominal saturated thickness, the latter uncertain by a factor of two or more given the absence of cored aquifer-thickness data; the geophysics of Bristow, 2002, indicates 12–27 m in the forest interior, but the open-dune thickness immediately south of the plantation boundary may be lower).</w:t>
      </w:r>
    </w:p>
    <w:p>
      <w:pPr>
        <w:pStyle w:val="BodyText"/>
        <w:rPr/>
      </w:pPr>
      <w:r>
        <w:rPr/>
        <w:t>With these inputs, λ ≈ 223 m (matching the value rendered on Figure 17). The contours on Figure 17 should be read as an order-of-magnitude diagnostic of the inland reach, not as a calibrated prediction. λ scales as √(</w:t>
      </w:r>
      <w:r>
        <w:rPr>
          <w:i/>
          <w:iCs/>
        </w:rPr>
        <w:t>Kb</w:t>
      </w:r>
      <w:r>
        <w:rPr/>
        <w:t xml:space="preserve">), so a factor of two uncertainty in </w:t>
      </w:r>
      <w:r>
        <w:rPr>
          <w:i/>
          <w:iCs/>
        </w:rPr>
        <w:t>b</w:t>
      </w:r>
      <w:r>
        <w:rPr/>
        <w:t xml:space="preserve"> corresponds to a factor of √2 ≈ 1.4 in λ; the true reach could plausibly be anywhere between roughly 150 m and 320 m on reasonable variations of the input assumptions. The order-of-magnitude conclusion — that forest-interception drawdown is felt within roughly 100–300 m of the plantation boundary, not across the whole site — is robust to those uncertainties.</w:t>
      </w:r>
    </w:p>
    <w:p>
      <w:pPr>
        <w:pStyle w:val="BodyText"/>
        <w:rPr/>
      </w:pPr>
      <w:r>
        <w:rPr/>
        <w:t xml:space="preserve">This is the only output of the framework that depends on </w:t>
      </w:r>
      <w:r>
        <w:rPr>
          <w:i/>
          <w:iCs/>
        </w:rPr>
        <w:t>K</w:t>
      </w:r>
      <w:r>
        <w:rPr/>
        <w:t xml:space="preserve">. Every other coefficient surface, residual field, water-balance partition, </w:t>
      </w:r>
      <w:r>
        <w:rPr>
          <w:i/>
          <w:iCs/>
        </w:rPr>
        <w:t>S</w:t>
      </w:r>
      <w:r>
        <w:rPr/>
        <w:t xml:space="preserve">y estimate, coastal-retreat gradient and diagnostic synthesis presented in the manuscript is derived without a </w:t>
      </w:r>
      <w:r>
        <w:rPr>
          <w:i/>
          <w:iCs/>
        </w:rPr>
        <w:t>K</w:t>
      </w:r>
      <w:r>
        <w:rPr/>
        <w:t xml:space="preserve"> estimate (Section 5.6 of the main manuscript). A measured </w:t>
      </w:r>
      <w:r>
        <w:rPr>
          <w:i/>
          <w:iCs/>
        </w:rPr>
        <w:t>K</w:t>
      </w:r>
      <w:r>
        <w:rPr/>
        <w:t xml:space="preserve"> — from slug tests at representative wells per cluster, the priority future field measurement — would tighten only the Figure 17 reach calculation.</w:t>
      </w:r>
    </w:p>
    <w:p>
      <w:pPr>
        <w:pStyle w:val="BodyText"/>
        <w:rPr/>
      </w:pPr>
      <w:r>
        <w:rPr/>
        <w:t xml:space="preserve">The empirically fitted coastal-retreat reach (Figure 18 of the manuscript) is </w:t>
      </w:r>
      <w:r>
        <w:rPr>
          <w:i/>
          <w:iCs/>
        </w:rPr>
        <w:t>not</w:t>
      </w:r>
      <w:r>
        <w:rPr/>
        <w:t xml:space="preserve"> an analogue of the Figure 17 reach in this sense: the coastal-reach length </w:t>
      </w:r>
      <w:r>
        <w:rPr>
          <w:i/>
          <w:iCs/>
        </w:rPr>
        <w:t>L</w:t>
      </w:r>
      <w:r>
        <w:rPr/>
        <w:t xml:space="preserve"> is fitted directly from the panel regression (Section S13) and </w:t>
      </w:r>
      <w:r>
        <w:rPr>
          <w:i/>
          <w:iCs/>
        </w:rPr>
        <w:t>K</w:t>
      </w:r>
      <w:r>
        <w:rPr/>
        <w:t xml:space="preserve"> and </w:t>
      </w:r>
      <w:r>
        <w:rPr>
          <w:i/>
          <w:iCs/>
        </w:rPr>
        <w:t>b</w:t>
      </w:r>
      <w:r>
        <w:rPr/>
        <w:t xml:space="preserve"> do not enter its derivation. The forest and coastal reaches are therefore methodologically distinct: Figure 17 is a forward calculation from independent SSM and literature parameters, while Figure 18 is a back-calculation from observed water-table trends. Section 5.6 of the main manuscript discusses the implications.</w:t>
      </w:r>
      <w:bookmarkEnd w:id="74"/>
      <w:r>
        <w:rPr/>
        <w:br/>
      </w:r>
    </w:p>
    <w:p>
      <w:pPr>
        <w:pStyle w:val="Heading2"/>
        <w:rPr/>
      </w:pPr>
      <w:bookmarkStart w:id="75" w:name="X4a3392d368487176102e3132e66664ea83f26b8"/>
      <w:r>
        <w:rPr/>
        <w:t>S15. Software, parameters and reproducibility</w:t>
      </w:r>
    </w:p>
    <w:p>
      <w:pPr>
        <w:pStyle w:val="FirstParagraph"/>
        <w:rPr/>
      </w:pPr>
      <w:r>
        <w:rPr/>
        <w:t xml:space="preserve">The full analysis pipeline is open source and version-controlled on GitHub at github.com/newbroman/Newborough_Hydrology (commit </w:t>
      </w:r>
      <w:r>
        <w:rPr>
          <w:rStyle w:val="VerbatimChar"/>
        </w:rPr>
        <w:t>XXXXXXX</w:t>
      </w:r>
      <w:r>
        <w:rPr/>
        <w:t xml:space="preserve"> at submission). A versioned snapshot of the code, the author-collected input data, and every output CSV referenced in this document is archived on Zenodo at DOI </w:t>
      </w:r>
      <w:hyperlink r:id="rId2">
        <w:r>
          <w:rPr>
            <w:rStyle w:val="Hyperlink"/>
          </w:rPr>
          <w:t>10.5281/zenodo.XXXXXXX</w:t>
        </w:r>
      </w:hyperlink>
      <w:r>
        <w:rPr/>
        <w:t xml:space="preserve">. The pipeline version is recorded in the </w:t>
      </w:r>
      <w:r>
        <w:rPr>
          <w:rStyle w:val="VerbatimChar"/>
        </w:rPr>
        <w:t>pipeline_version</w:t>
      </w:r>
      <w:r>
        <w:rPr/>
        <w:t xml:space="preserve"> field of </w:t>
      </w:r>
      <w:r>
        <w:rPr>
          <w:rStyle w:val="VerbatimChar"/>
        </w:rPr>
        <w:t>outputs/pipeline_manifest.json</w:t>
      </w:r>
      <w:r>
        <w:rPr/>
        <w:t>. The Zenodo deposit is the citable, immutable reference; the GitHub repository carries any subsequent updates.</w:t>
      </w:r>
    </w:p>
    <w:p>
      <w:pPr>
        <w:pStyle w:val="BodyText"/>
        <w:rPr/>
      </w:pPr>
      <w:r>
        <w:rPr>
          <w:b/>
          <w:bCs/>
        </w:rPr>
        <w:t>Software environment.</w:t>
      </w:r>
      <w:r>
        <w:rPr/>
        <w:t xml:space="preserve"> Python 3.12.3. The complete, version-pinned environment is specified in </w:t>
      </w:r>
      <w:r>
        <w:rPr>
          <w:rStyle w:val="VerbatimChar"/>
        </w:rPr>
        <w:t>requirements.txt</w:t>
      </w:r>
      <w:r>
        <w:rPr/>
        <w:t xml:space="preserve">; key packages are NumPy 2.4.6, SciPy 1.17.1, pandas 3.0.3 and statsmodels 0.14.6 (numerical and statistical processing); GeoPandas 1.1.3, Rasterio 1.5.0, Shapely 2.1.2 and pyproj 3.7.2 (spatial); and Matplotlib 3.10.9 (plotting). Random seeds for every stochastic step (bootstrap resampling, cluster stability) are defined centrally in </w:t>
      </w:r>
      <w:r>
        <w:rPr>
          <w:rStyle w:val="VerbatimChar"/>
        </w:rPr>
        <w:t>utils/config.py</w:t>
      </w:r>
      <w:r>
        <w:rPr/>
        <w:t>, giving byte-equivalent reproduction.</w:t>
      </w:r>
    </w:p>
    <w:p>
      <w:pPr>
        <w:pStyle w:val="BodyText"/>
        <w:rPr/>
      </w:pPr>
      <w:r>
        <w:rPr>
          <w:b/>
          <w:bCs/>
        </w:rPr>
        <w:t>Cartographic-context overlays.</w:t>
      </w:r>
      <w:r>
        <w:rPr/>
        <w:t xml:space="preserve"> Site-overview cartography combines pipeline outputs with cartographic-context overlays loaded by the pipeline from KML files in </w:t>
      </w:r>
      <w:r>
        <w:rPr>
          <w:rStyle w:val="VerbatimChar"/>
        </w:rPr>
        <w:t>data/</w:t>
      </w:r>
      <w:r>
        <w:rPr/>
        <w:t xml:space="preserve">. The </w:t>
      </w:r>
      <w:r>
        <w:rPr>
          <w:rStyle w:val="VerbatimChar"/>
        </w:rPr>
        <w:t>data/streams.kml</w:t>
      </w:r>
      <w:r>
        <w:rPr/>
        <w:t xml:space="preserve"> overlay — the topographic drainage network shown on Figure 1, Figure 8, Figure 14 and other spatial maps — was produced in QGIS 3.34.4-Prizren using the GRASS provider, tool </w:t>
      </w:r>
      <w:r>
        <w:rPr>
          <w:rStyle w:val="VerbatimChar"/>
        </w:rPr>
        <w:t>r.watershed</w:t>
      </w:r>
      <w:r>
        <w:rPr/>
        <w:t>, with multiple-flow-direction routing and a 4000-cell channelisation threshold (≈ 16,000 m² minimum contributing area). The input was the merged 2 m LiDAR DEM (</w:t>
      </w:r>
      <w:r>
        <w:rPr>
          <w:rStyle w:val="VerbatimChar"/>
        </w:rPr>
        <w:t>mergeddem.tif</w:t>
      </w:r>
      <w:r>
        <w:rPr/>
        <w:t xml:space="preserve">, EPSG:27700) used throughout the pipeline. The line network was extracted via </w:t>
      </w:r>
      <w:r>
        <w:rPr>
          <w:rStyle w:val="VerbatimChar"/>
        </w:rPr>
        <w:t>r.to.vect</w:t>
      </w:r>
      <w:r>
        <w:rPr/>
        <w:t xml:space="preserve"> and exported to KML, then post-processed to remove drainage paths below 0 m AOD (intertidal/foreshore) by sampling the DEM at each line vertex; the masking utility is included in the repository as a one-shot data-preparation step. Other context overlays (</w:t>
      </w:r>
      <w:r>
        <w:rPr>
          <w:rStyle w:val="VerbatimChar"/>
        </w:rPr>
        <w:t>Features.kml</w:t>
      </w:r>
      <w:r>
        <w:rPr/>
        <w:t xml:space="preserve">, </w:t>
      </w:r>
      <w:r>
        <w:rPr>
          <w:rStyle w:val="VerbatimChar"/>
        </w:rPr>
        <w:t>site_boundary.kml</w:t>
      </w:r>
      <w:r>
        <w:rPr/>
        <w:t xml:space="preserve">, </w:t>
      </w:r>
      <w:r>
        <w:rPr>
          <w:rStyle w:val="VerbatimChar"/>
        </w:rPr>
        <w:t>clearfell.kml</w:t>
      </w:r>
      <w:r>
        <w:rPr/>
        <w:t xml:space="preserve">) are similarly produced or maintained in GIS and loaded by the pipeline via </w:t>
      </w:r>
      <w:r>
        <w:rPr>
          <w:rStyle w:val="VerbatimChar"/>
        </w:rPr>
        <w:t>src/utils/map_utils.py</w:t>
      </w:r>
      <w:r>
        <w:rPr/>
        <w:t xml:space="preserve"> </w:t>
      </w:r>
      <w:r>
        <w:rPr>
          <w:rStyle w:val="VerbatimChar"/>
        </w:rPr>
        <w:t>add_kml_features()</w:t>
      </w:r>
      <w:r>
        <w:rPr/>
        <w:t>. The Python pipeline reproduces the analytical work; these GIS files are cartographic context.</w:t>
      </w:r>
    </w:p>
    <w:p>
      <w:pPr>
        <w:pStyle w:val="BodyText"/>
        <w:rPr/>
      </w:pPr>
      <w:r>
        <w:rPr>
          <w:b/>
          <w:bCs/>
        </w:rPr>
        <w:t>Pipeline orchestration.</w:t>
      </w:r>
      <w:r>
        <w:rPr/>
        <w:t xml:space="preserve"> The pipeline is run as a single command (</w:t>
      </w:r>
      <w:r>
        <w:rPr>
          <w:rStyle w:val="VerbatimChar"/>
        </w:rPr>
        <w:t>python run_analysis.py</w:t>
      </w:r>
      <w:r>
        <w:rPr/>
        <w:t xml:space="preserve">) which executes the analytical steps in canonical order. Each step writes its outputs to a step-specific subdirectory under </w:t>
      </w:r>
      <w:r>
        <w:rPr>
          <w:rStyle w:val="VerbatimChar"/>
        </w:rPr>
        <w:t>outputs/</w:t>
      </w:r>
      <w:r>
        <w:rPr/>
        <w:t xml:space="preserve"> and updates the canonical pipeline parameters file (Section S2.2) where appropriate. A full run on a standard workstation completes in approximately 30 minutes.</w:t>
      </w:r>
    </w:p>
    <w:p>
      <w:pPr>
        <w:pStyle w:val="BodyText"/>
        <w:rPr/>
      </w:pPr>
      <w:r>
        <w:rPr>
          <w:b/>
          <w:bCs/>
        </w:rPr>
        <w:t>Pipeline parameters table.</w:t>
      </w:r>
      <w:r>
        <w:rPr/>
        <w:t xml:space="preserve"> Headline values used in this document, all read live from the canonical CSVs at the time of submission: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Symbol</w:t>
            </w:r>
          </w:p>
        </w:tc>
        <w:tc>
          <w:tcPr>
            <w:tcW w:w="312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Value</w:t>
            </w:r>
          </w:p>
        </w:tc>
        <w:tc>
          <w:tcPr>
            <w:tcW w:w="3120" w:type="dxa"/>
            <w:tcBorders>
              <w:bottom w:val="single" w:sz="6" w:space="0" w:color="000000"/>
            </w:tcBorders>
            <w:vAlign w:val="bottom"/>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Source 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Network size (reference)</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66 wells</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01_wells_provenance.csv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Drainage datum </w:t>
            </w:r>
            <w:r>
              <w:rPr>
                <w:rFonts w:eastAsia="Calibri" w:cs=""/>
                <w:i/>
                <w:iCs/>
                <w:kern w:val="0"/>
                <w:sz w:val="24"/>
                <w:szCs w:val="24"/>
                <w:lang w:val="en-US" w:eastAsia="en-US" w:bidi="ar-SA"/>
              </w:rPr>
              <w:t>D</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3.7 m</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pipeline_scenario_params.csv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HEADLINE_LAG</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pipeline_scenario_params.csv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Forest interception</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0.24</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Freeman (2008), </w:t>
            </w:r>
            <w:r>
              <w:rPr>
                <w:rStyle w:val="VerbatimChar"/>
                <w:rFonts w:eastAsia="Calibri" w:cs=""/>
                <w:kern w:val="0"/>
                <w:szCs w:val="24"/>
                <w:lang w:val="en-US" w:eastAsia="en-US" w:bidi="ar-SA"/>
              </w:rPr>
              <w:t>config.py</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C1–C5 β₁, β₂, β₃, </w:t>
            </w:r>
            <w:r>
              <w:rPr>
                <w:rFonts w:eastAsia="Calibri" w:cs=""/>
                <w:i/>
                <w:iCs/>
                <w:kern w:val="0"/>
                <w:sz w:val="24"/>
                <w:szCs w:val="24"/>
                <w:lang w:val="en-US" w:eastAsia="en-US" w:bidi="ar-SA"/>
              </w:rPr>
              <w:t>R</w:t>
            </w:r>
            <w:r>
              <w:rPr>
                <w:rFonts w:eastAsia="Calibri" w:cs=""/>
                <w:kern w:val="0"/>
                <w:sz w:val="24"/>
                <w:szCs w:val="24"/>
                <w:lang w:val="en-US" w:eastAsia="en-US" w:bidi="ar-SA"/>
              </w:rPr>
              <w:t>²</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(see Section S6.2)</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03_03_cluster_mechanistic_coefficients.csv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Cluster </w:t>
            </w:r>
            <w:r>
              <w:rPr>
                <w:rFonts w:eastAsia="Calibri" w:cs=""/>
                <w:i/>
                <w:iCs/>
                <w:kern w:val="0"/>
                <w:sz w:val="24"/>
                <w:szCs w:val="24"/>
                <w:lang w:val="en-US" w:eastAsia="en-US" w:bidi="ar-SA"/>
              </w:rPr>
              <w:t>S</w:t>
            </w:r>
            <w:r>
              <w:rPr>
                <w:rFonts w:eastAsia="Calibri" w:cs=""/>
                <w:kern w:val="0"/>
                <w:sz w:val="24"/>
                <w:szCs w:val="24"/>
                <w:lang w:val="en-US" w:eastAsia="en-US" w:bidi="ar-SA"/>
              </w:rPr>
              <w:t>y</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(see Section S11.2)</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17_wtf_01_sy_estimates.csv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Coastal δ₀, </w:t>
            </w:r>
            <w:r>
              <w:rPr>
                <w:rFonts w:eastAsia="Calibri" w:cs=""/>
                <w:i/>
                <w:iCs/>
                <w:kern w:val="0"/>
                <w:sz w:val="24"/>
                <w:szCs w:val="24"/>
                <w:lang w:val="en-US" w:eastAsia="en-US" w:bidi="ar-SA"/>
              </w:rPr>
              <w:t>L</w:t>
            </w:r>
            <w:r>
              <w:rPr>
                <w:rFonts w:eastAsia="Calibri" w:cs=""/>
                <w:kern w:val="0"/>
                <w:sz w:val="24"/>
                <w:szCs w:val="24"/>
                <w:lang w:val="en-US" w:eastAsia="en-US" w:bidi="ar-SA"/>
              </w:rPr>
              <w:t xml:space="preserve">, </w:t>
            </w:r>
            <w:r>
              <w:rPr>
                <w:rFonts w:eastAsia="Calibri" w:cs=""/>
                <w:i/>
                <w:iCs/>
                <w:kern w:val="0"/>
                <w:sz w:val="24"/>
                <w:szCs w:val="24"/>
                <w:lang w:val="en-US" w:eastAsia="en-US" w:bidi="ar-SA"/>
              </w:rPr>
              <w:t>c</w:t>
            </w:r>
            <w:r>
              <w:rPr>
                <w:rFonts w:eastAsia="Calibri" w:cs=""/>
                <w:kern w:val="0"/>
                <w:sz w:val="24"/>
                <w:szCs w:val="24"/>
                <w:lang w:val="en-US" w:eastAsia="en-US" w:bidi="ar-SA"/>
              </w:rPr>
              <w:t xml:space="preserve"> (forest-free)</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(see Section S13)</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25_01_panel_fit_parameters.csv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nw9 decline</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(see Section S13.5)</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Style w:val="VerbatimChar"/>
                <w:rFonts w:eastAsia="Calibri" w:cs=""/>
                <w:kern w:val="0"/>
                <w:szCs w:val="24"/>
                <w:lang w:val="en-US" w:eastAsia="en-US" w:bidi="ar-SA"/>
              </w:rPr>
              <w:t>25_02_per_well_summer_min_slopes.csv</w:t>
            </w:r>
          </w:p>
        </w:tc>
      </w:tr>
      <w:tr>
        <w:trPr/>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 xml:space="preserve">Hydraulic conductivity </w:t>
            </w:r>
            <w:r>
              <w:rPr>
                <w:rFonts w:eastAsia="Calibri" w:cs=""/>
                <w:i/>
                <w:iCs/>
                <w:kern w:val="0"/>
                <w:sz w:val="24"/>
                <w:szCs w:val="24"/>
                <w:lang w:val="en-US" w:eastAsia="en-US" w:bidi="ar-SA"/>
              </w:rPr>
              <w:t>K</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6 m day⁻¹</w:t>
            </w:r>
          </w:p>
        </w:tc>
        <w:tc>
          <w:tcPr>
            <w:tcW w:w="3120" w:type="dxa"/>
            <w:tcBorders/>
          </w:tcPr>
          <w:p>
            <w:pPr>
              <w:pStyle w:val="Compact"/>
              <w:widowControl/>
              <w:spacing w:before="36" w:after="36"/>
              <w:jc w:val="left"/>
              <w:rPr>
                <w:rFonts w:ascii="Calibri" w:hAnsi="Calibri" w:eastAsia="Calibri" w:cs=""/>
                <w:kern w:val="0"/>
                <w:sz w:val="24"/>
                <w:szCs w:val="24"/>
                <w:lang w:val="en-US" w:eastAsia="en-US" w:bidi="ar-SA"/>
              </w:rPr>
            </w:pPr>
            <w:r>
              <w:rPr>
                <w:rFonts w:eastAsia="Calibri" w:cs=""/>
                <w:kern w:val="0"/>
                <w:sz w:val="24"/>
                <w:szCs w:val="24"/>
                <w:lang w:val="en-US" w:eastAsia="en-US" w:bidi="ar-SA"/>
              </w:rPr>
              <w:t>Betson et al. (2002)</w:t>
            </w:r>
          </w:p>
        </w:tc>
      </w:tr>
    </w:tbl>
    <w:p>
      <w:pPr>
        <w:pStyle w:val="BodyText"/>
        <w:rPr>
          <w:b/>
          <w:bCs/>
        </w:rPr>
      </w:pPr>
      <w:r>
        <w:rPr/>
      </w:r>
    </w:p>
    <w:p>
      <w:pPr>
        <w:pStyle w:val="BodyText"/>
        <w:rPr/>
      </w:pPr>
      <w:r>
        <w:rPr>
          <w:b/>
          <w:bCs/>
        </w:rPr>
        <w:t>Data availability.</w:t>
      </w:r>
      <w:r>
        <w:rPr/>
        <w:t xml:space="preserve"> The dipwell water-level records and the well location/elevation data analysed here were collected by the author and are deposited, in cleaned form, in the Zenodo archive alongside the code (</w:t>
      </w:r>
      <w:r>
        <w:rPr>
          <w:rStyle w:val="VerbatimChar"/>
        </w:rPr>
        <w:t>Newborough_Cleaned_For_Model.csv</w:t>
      </w:r>
      <w:r>
        <w:rPr/>
        <w:t xml:space="preserve">, </w:t>
      </w:r>
      <w:r>
        <w:rPr>
          <w:rStyle w:val="VerbatimChar"/>
        </w:rPr>
        <w:t>Well_locations_height.csv</w:t>
      </w:r>
      <w:r>
        <w:rPr/>
        <w:t xml:space="preserve">). The RAF Valley climate series (monthly rainfall, and the mean-temperature series used to derive Thornthwaite PET) are Met Office historic station observations, © Crown Copyright, Met Office, available from the Met Office at </w:t>
      </w:r>
      <w:r>
        <w:rPr>
          <w:rStyle w:val="VerbatimChar"/>
        </w:rPr>
        <w:t>https://www.metoffice.gov.uk/pub/data/weather/uk/climate/stationdata/valleydata.txt</w:t>
      </w:r>
      <w:r>
        <w:rPr/>
        <w:t xml:space="preserve"> under the Open Government Licence v3.0, and are not re-archived here. This dataset contains public sector information licensed under the Open Government Licence v3.0.</w:t>
      </w:r>
    </w:p>
    <w:p>
      <w:pPr>
        <w:pStyle w:val="BodyText"/>
        <w:rPr/>
      </w:pPr>
      <w:r>
        <w:rPr>
          <w:b/>
          <w:bCs/>
        </w:rPr>
        <w:t>Code availability.</w:t>
      </w:r>
      <w:r>
        <w:rPr/>
        <w:t xml:space="preserve"> All scripts, all output CSVs and figures, and a complete </w:t>
      </w:r>
      <w:r>
        <w:rPr>
          <w:rStyle w:val="VerbatimChar"/>
        </w:rPr>
        <w:t>README.md</w:t>
      </w:r>
      <w:r>
        <w:rPr/>
        <w:t xml:space="preserve"> are at github.com/newbroman/Newborough_Hydrology. The repository licence is MIT for code and CC-BY-4.0 for the author-collected data and figures. The author can be contacted at the address on the title page for any aspect of the analysis not covered here.</w:t>
      </w:r>
      <w:bookmarkEnd w:id="75"/>
    </w:p>
    <w:p>
      <w:pPr>
        <w:pStyle w:val="Heading2"/>
        <w:rPr/>
      </w:pPr>
      <w:bookmarkStart w:id="76" w:name="s16.-supplementary-references"/>
      <w:r>
        <w:rPr/>
        <w:t>S16. Supplementary references</w:t>
      </w:r>
    </w:p>
    <w:p>
      <w:pPr>
        <w:pStyle w:val="FirstParagraph"/>
        <w:rPr/>
      </w:pPr>
      <w:r>
        <w:rPr/>
        <w:t>References cited only in this SI document, not in the main manuscript:</w:t>
      </w:r>
    </w:p>
    <w:p>
      <w:pPr>
        <w:pStyle w:val="BodyText"/>
        <w:rPr/>
      </w:pPr>
      <w:r>
        <w:rPr/>
        <w:t xml:space="preserve">Calinski, T. and Harabasz, J. (1974) A dendrite method for cluster analysis. </w:t>
      </w:r>
      <w:r>
        <w:rPr>
          <w:i/>
          <w:iCs/>
        </w:rPr>
        <w:t>Communications in Statistics</w:t>
      </w:r>
      <w:r>
        <w:rPr/>
        <w:t xml:space="preserve"> 3(1), 1–27.</w:t>
      </w:r>
    </w:p>
    <w:p>
      <w:pPr>
        <w:pStyle w:val="BodyText"/>
        <w:rPr/>
      </w:pPr>
      <w:r>
        <w:rPr/>
        <w:t xml:space="preserve">Liao, T.W. (2005) Clustering of time series data — a survey. </w:t>
      </w:r>
      <w:r>
        <w:rPr>
          <w:i/>
          <w:iCs/>
        </w:rPr>
        <w:t>Pattern Recognition</w:t>
      </w:r>
      <w:r>
        <w:rPr/>
        <w:t xml:space="preserve"> 38(11), 1857–1874.</w:t>
      </w:r>
    </w:p>
    <w:p>
      <w:pPr>
        <w:pStyle w:val="BodyText"/>
        <w:rPr/>
      </w:pPr>
      <w:r>
        <w:rPr/>
        <w:t xml:space="preserve">Milligan, G.W. and Cooper, M.C. (1985) An examination of procedures for determining the number of clusters in a data set. </w:t>
      </w:r>
      <w:r>
        <w:rPr>
          <w:i/>
          <w:iCs/>
        </w:rPr>
        <w:t>Psychometrika</w:t>
      </w:r>
      <w:r>
        <w:rPr/>
        <w:t xml:space="preserve"> 50(2), 159–179.</w:t>
      </w:r>
    </w:p>
    <w:p>
      <w:pPr>
        <w:pStyle w:val="BodyText"/>
        <w:rPr/>
      </w:pPr>
      <w:r>
        <w:rPr/>
        <w:t>All other references — Akaike (1974), Bear (1972), Betson, Connell and Bristow (2002), Bristow (2002), Bristow and Bailey (2001), Curreli et al. (2013), Davy et al. (2006), Fetter (2001), Forgrave (2020), Freeman (2008), Freeze and Cherry (1979), Healy and Cook (2002), Hollingham (2026b, in preparation), Knotters and van Walsum (1997), Pye and Blott (2024), Ranwell (1958), Rao and Srinivas (2006), Rhind et al. (2001), Robins and Davies (2015), Rousseeuw (1987), Scanlon et al. (2002), Stratford et al. (2007), Ward (1963), Young (2011) — appear in the main manuscript’s reference list and are not duplicated here.</w:t>
      </w:r>
    </w:p>
    <w:p>
      <w:pPr>
        <w:pStyle w:val="BodyText"/>
        <w:spacing w:before="180" w:after="180"/>
        <w:rPr/>
      </w:pPr>
      <w:bookmarkStart w:id="77" w:name="supporting-information"/>
      <w:bookmarkStart w:id="78" w:name="s16.-supplementary-references"/>
      <w:r>
        <w:rPr>
          <w:i/>
          <w:iCs/>
        </w:rPr>
        <w:t>End of Supporting Information.</w:t>
      </w:r>
      <w:bookmarkEnd w:id="77"/>
      <w:bookmarkEnd w:id="7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BlockQuotation">
    <w:name w:val="Block Quotation"/>
    <w:basedOn w:val="Normal"/>
    <w:qFormat/>
    <w:pPr>
      <w:spacing w:before="0" w:after="283"/>
      <w:ind w:hanging="0" w:left="567" w:righ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281/zenodo.XXXXXX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31</Pages>
  <Words>11020</Words>
  <Characters>60289</Characters>
  <CharactersWithSpaces>70778</CharactersWithSpaces>
  <Paragraphs>437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2026-06-08T14:47:33Z</dcterms:created>
  <dc:creator/>
  <dc:description/>
  <dc:language>en-GB</dc:language>
  <cp:lastModifiedBy/>
  <dcterms:modified xsi:type="dcterms:W3CDTF">2026-06-08T22:19:11Z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