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60"/>
        </w:rPr>
        <w:t>Considerations and Limitations</w:t>
      </w:r>
    </w:p>
    <w:p>
      <w:pPr>
        <w:jc w:val="center"/>
      </w:pPr>
      <w:r>
        <w:rPr>
          <w:color w:val="235A97"/>
          <w:sz w:val="28"/>
        </w:rPr>
        <w:t>Behavior, Supported Scenarios, and Guidance for the Oracle-to-Aurora DSQL Pipeline</w:t>
      </w:r>
    </w:p>
    <w:p/>
    <w:p>
      <w:pPr>
        <w:jc w:val="center"/>
      </w:pPr>
      <w:r>
        <w:rPr>
          <w:b/>
          <w:color w:val="D86B00"/>
          <w:sz w:val="22"/>
        </w:rPr>
        <w:t>DMS  →  S3  →  AWS Glue  →  Amazon Aurora DSQL</w:t>
      </w:r>
    </w:p>
    <w:p/>
    <w:p/>
    <w:p>
      <w:pPr>
        <w:jc w:val="center"/>
      </w:pPr>
      <w:r>
        <w:rPr>
          <w:color w:val="555555"/>
          <w:sz w:val="19"/>
        </w:rPr>
        <w:t>How the pipeline behaves across schema changes, data types, validation, and CDC prerequisites, with guidance for each.</w:t>
      </w:r>
    </w:p>
    <w:p>
      <w:pPr>
        <w:jc w:val="center"/>
      </w:pPr>
      <w:r>
        <w:rPr>
          <w:color w:val="555555"/>
          <w:sz w:val="19"/>
        </w:rPr>
        <w:t>Companion documents: Usage Guide, Performance Guide.</w:t>
      </w:r>
    </w:p>
    <w:p>
      <w:r>
        <w:br w:type="page"/>
      </w:r>
    </w:p>
    <w:p>
      <w:pPr>
        <w:pStyle w:val="Heading1"/>
      </w:pPr>
      <w:r>
        <w:t>Overview</w:t>
      </w:r>
    </w:p>
    <w:p>
      <w:r>
        <w:rPr>
          <w:b w:val="0"/>
          <w:i w:val="0"/>
        </w:rPr>
        <w:t>This guide describes how the migration pipeline behaves in specific scenarios and provides guidance for each. Most workloads migrate within these behaviors without modification. Where a scenario requires an action, the guidance and, where relevant, an alternative are stated alongside it.</w:t>
      </w:r>
    </w:p>
    <w:p>
      <w:pPr>
        <w:pStyle w:val="Heading1"/>
      </w:pPr>
      <w:r>
        <w:t>Amazon Aurora DSQL Characteristics That Shape the Migration</w:t>
      </w:r>
    </w:p>
    <w:p>
      <w:r>
        <w:rPr>
          <w:b w:val="0"/>
          <w:i w:val="0"/>
        </w:rPr>
        <w:t>Aurora DSQL's distributed, serverless architecture defines several behaviors that the pipeline is built around. Understanding them helps set expectations for a migration.</w:t>
      </w:r>
    </w:p>
    <w:p>
      <w:pPr>
        <w:pStyle w:val="ListBullet"/>
      </w:pPr>
      <w:r>
        <w:rPr>
          <w:b/>
        </w:rPr>
        <w:t xml:space="preserve">Single database per cluster. </w:t>
      </w:r>
      <w:r>
        <w:t>Aurora DSQL provides one database per cluster. Use schemas within the cluster, or separate clusters, for logical separation.</w:t>
      </w:r>
    </w:p>
    <w:p>
      <w:pPr>
        <w:pStyle w:val="ListBullet"/>
      </w:pPr>
      <w:r>
        <w:rPr>
          <w:b/>
        </w:rPr>
        <w:t xml:space="preserve">Up to 10 schemas per database. </w:t>
      </w:r>
      <w:r>
        <w:t>The pipeline's control tables use one schema (cdc_control), so plan the target schemas of all tasks within the remaining nine.</w:t>
      </w:r>
    </w:p>
    <w:p>
      <w:pPr>
        <w:pStyle w:val="ListBullet"/>
      </w:pPr>
      <w:r>
        <w:rPr>
          <w:b/>
        </w:rPr>
        <w:t xml:space="preserve">UTC time zone. </w:t>
      </w:r>
      <w:r>
        <w:t>Aurora DSQL stores timezone-aware values in UTC. The pipeline converts source timestamps that carry a time zone offset to the equivalent UTC instant on load and during CDC, so stored values are consistent.</w:t>
      </w:r>
    </w:p>
    <w:p>
      <w:pPr>
        <w:pStyle w:val="ListBullet"/>
      </w:pPr>
      <w:r>
        <w:rPr>
          <w:b/>
        </w:rPr>
        <w:t xml:space="preserve">Transaction constraints. </w:t>
      </w:r>
      <w:r>
        <w:t>A transaction can modify up to 3,000 rows and can contain a single DDL statement, and DDL and DML run in separate transactions. The pipeline batches writes within these limits automatically.</w:t>
      </w:r>
    </w:p>
    <w:p>
      <w:pPr>
        <w:pStyle w:val="ListBullet"/>
      </w:pPr>
      <w:r>
        <w:rPr>
          <w:b/>
        </w:rPr>
        <w:t xml:space="preserve">Optimistic concurrency control. </w:t>
      </w:r>
      <w:r>
        <w:t>Aurora DSQL detects conflicts at commit time rather than locking. The pipeline applies changes in a way that is idempotent on retry.</w:t>
      </w:r>
    </w:p>
    <w:p>
      <w:pPr>
        <w:pStyle w:val="ListBullet"/>
      </w:pPr>
      <w:r>
        <w:rPr>
          <w:b/>
        </w:rPr>
        <w:t xml:space="preserve">Connections time out after one hour. </w:t>
      </w:r>
      <w:r>
        <w:t>The pipeline recycles its database connections before this limit, between transactions, so long-running load and CDC jobs are unaffected.</w:t>
      </w:r>
    </w:p>
    <w:p>
      <w:pPr>
        <w:pStyle w:val="Heading1"/>
      </w:pPr>
      <w:r>
        <w:t>Schema Changes During CDC</w:t>
      </w:r>
    </w:p>
    <w:p>
      <w:r>
        <w:rPr>
          <w:b w:val="0"/>
          <w:i w:val="0"/>
        </w:rPr>
        <w:t>While CDC is running, the pipeline replicates additive and rename schema changes to the target automatically. AWS DMS surfaces a schema change on the first data row after the change, so sequence any schema change so that a data modification follows it; a schema change with no following data does not propagate until the next change to that table.</w:t>
      </w:r>
    </w:p>
    <w:p>
      <w:pPr>
        <w:pStyle w:val="Heading2"/>
      </w:pPr>
      <w:r>
        <w:t>Supported automatically</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Schema change</w:t>
            </w:r>
          </w:p>
        </w:tc>
        <w:tc>
          <w:tcPr>
            <w:tcW w:type="dxa" w:w="4320"/>
            <w:shd w:val="clear" w:fill="0F2B46"/>
          </w:tcPr>
          <w:p>
            <w:r/>
            <w:r>
              <w:rPr>
                <w:b/>
                <w:color w:val="FFFFFF"/>
                <w:sz w:val="19"/>
              </w:rPr>
              <w:t>Behavior</w:t>
            </w:r>
          </w:p>
        </w:tc>
      </w:tr>
      <w:tr>
        <w:tc>
          <w:tcPr>
            <w:tcW w:type="dxa" w:w="4320"/>
          </w:tcPr>
          <w:p>
            <w:r/>
            <w:r>
              <w:rPr>
                <w:sz w:val="18"/>
              </w:rPr>
              <w:t>Add a column, or several columns</w:t>
            </w:r>
          </w:p>
        </w:tc>
        <w:tc>
          <w:tcPr>
            <w:tcW w:type="dxa" w:w="4320"/>
          </w:tcPr>
          <w:p>
            <w:r/>
            <w:r>
              <w:rPr>
                <w:sz w:val="18"/>
              </w:rPr>
              <w:t>Added to the target automatically.</w:t>
            </w:r>
          </w:p>
        </w:tc>
      </w:tr>
      <w:tr>
        <w:tc>
          <w:tcPr>
            <w:tcW w:type="dxa" w:w="4320"/>
            <w:shd w:val="clear" w:fill="F7F9FB"/>
          </w:tcPr>
          <w:p>
            <w:r/>
            <w:r>
              <w:rPr>
                <w:sz w:val="18"/>
              </w:rPr>
              <w:t>Rename a column, or several columns</w:t>
            </w:r>
          </w:p>
        </w:tc>
        <w:tc>
          <w:tcPr>
            <w:tcW w:type="dxa" w:w="4320"/>
            <w:shd w:val="clear" w:fill="F7F9FB"/>
          </w:tcPr>
          <w:p>
            <w:r/>
            <w:r>
              <w:rPr>
                <w:sz w:val="18"/>
              </w:rPr>
              <w:t>Renamed on the target automatically, preserving the column's data.</w:t>
            </w:r>
          </w:p>
        </w:tc>
      </w:tr>
      <w:tr>
        <w:tc>
          <w:tcPr>
            <w:tcW w:type="dxa" w:w="4320"/>
          </w:tcPr>
          <w:p>
            <w:r/>
            <w:r>
              <w:rPr>
                <w:sz w:val="18"/>
              </w:rPr>
              <w:t>Rename and add columns in the same change</w:t>
            </w:r>
          </w:p>
        </w:tc>
        <w:tc>
          <w:tcPr>
            <w:tcW w:type="dxa" w:w="4320"/>
          </w:tcPr>
          <w:p>
            <w:r/>
            <w:r>
              <w:rPr>
                <w:sz w:val="18"/>
              </w:rPr>
              <w:t>Both applied correctly.</w:t>
            </w:r>
          </w:p>
        </w:tc>
      </w:tr>
    </w:tbl>
    <w:p>
      <w:pPr>
        <w:spacing w:after="40"/>
      </w:pPr>
    </w:p>
    <w:p>
      <w:r>
        <w:rPr>
          <w:b w:val="0"/>
          <w:i w:val="0"/>
        </w:rPr>
        <w:t>Rename detection relies on column ordering: because every column is present on each change row, a renamed column keeps its position while an added column appears at the end. The pipeline uses this to apply a true rename that preserves data. You can also declare a rename explicitly in the table configuration.</w:t>
      </w:r>
    </w:p>
    <w:p>
      <w:pPr>
        <w:pStyle w:val="Heading2"/>
      </w:pPr>
      <w:r>
        <w:t>Require an action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Schema change</w:t>
            </w:r>
          </w:p>
        </w:tc>
        <w:tc>
          <w:tcPr>
            <w:tcW w:type="dxa" w:w="2880"/>
            <w:shd w:val="clear" w:fill="0F2B46"/>
          </w:tcPr>
          <w:p>
            <w:r/>
            <w:r>
              <w:rPr>
                <w:b/>
                <w:color w:val="FFFFFF"/>
                <w:sz w:val="19"/>
              </w:rPr>
              <w:t>Behavior</w:t>
            </w:r>
          </w:p>
        </w:tc>
        <w:tc>
          <w:tcPr>
            <w:tcW w:type="dxa" w:w="2880"/>
            <w:shd w:val="clear" w:fill="0F2B46"/>
          </w:tcPr>
          <w:p>
            <w:r/>
            <w:r>
              <w:rPr>
                <w:b/>
                <w:color w:val="FFFFFF"/>
                <w:sz w:val="19"/>
              </w:rPr>
              <w:t>Guidance</w:t>
            </w:r>
          </w:p>
        </w:tc>
      </w:tr>
      <w:tr>
        <w:tc>
          <w:tcPr>
            <w:tcW w:type="dxa" w:w="2880"/>
          </w:tcPr>
          <w:p>
            <w:r/>
            <w:r>
              <w:rPr>
                <w:sz w:val="18"/>
              </w:rPr>
              <w:t>Drop a column</w:t>
            </w:r>
          </w:p>
        </w:tc>
        <w:tc>
          <w:tcPr>
            <w:tcW w:type="dxa" w:w="2880"/>
          </w:tcPr>
          <w:p>
            <w:r/>
            <w:r>
              <w:rPr>
                <w:sz w:val="18"/>
              </w:rPr>
              <w:t>The column is retained on the target and receives null values for subsequent changes. If the change data omits a column that still exists on the target, the pipeline pauses that table rather than silently null a real value.</w:t>
            </w:r>
          </w:p>
        </w:tc>
        <w:tc>
          <w:tcPr>
            <w:tcW w:type="dxa" w:w="2880"/>
          </w:tcPr>
          <w:p>
            <w:r/>
            <w:r>
              <w:rPr>
                <w:sz w:val="18"/>
              </w:rPr>
              <w:t>If you intend to drop the column, drop it on the Aurora DSQL target as well. If a table pauses because a column is missing from the change data, resolve the mismatch, then set the table's status back to active: UPDATE cdc_control.cdc_status SET status = 'active' WHERE table_name = '&lt;schema&gt;.&lt;table&gt;'. Never delete the row: the job would apply every change file again. Other tables continue.</w:t>
            </w:r>
          </w:p>
        </w:tc>
      </w:tr>
      <w:tr>
        <w:tc>
          <w:tcPr>
            <w:tcW w:type="dxa" w:w="2880"/>
            <w:shd w:val="clear" w:fill="F7F9FB"/>
          </w:tcPr>
          <w:p>
            <w:r/>
            <w:r>
              <w:rPr>
                <w:sz w:val="18"/>
              </w:rPr>
              <w:t>Change a column's data type</w:t>
            </w:r>
          </w:p>
        </w:tc>
        <w:tc>
          <w:tcPr>
            <w:tcW w:type="dxa" w:w="2880"/>
            <w:shd w:val="clear" w:fill="F7F9FB"/>
          </w:tcPr>
          <w:p>
            <w:r/>
            <w:r>
              <w:rPr>
                <w:sz w:val="18"/>
              </w:rPr>
              <w:t>The change is not detected by the schema comparison, which compares names.</w:t>
            </w:r>
          </w:p>
        </w:tc>
        <w:tc>
          <w:tcPr>
            <w:tcW w:type="dxa" w:w="2880"/>
            <w:shd w:val="clear" w:fill="F7F9FB"/>
          </w:tcPr>
          <w:p>
            <w:r/>
            <w:r>
              <w:rPr>
                <w:sz w:val="18"/>
              </w:rPr>
              <w:t>Avoid in-place type changes during migration. If unavoidable, change the target column type and re-apply the affected rows.</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Sequence every schema change with a following data change</w:t>
            </w:r>
          </w:p>
          <w:p>
            <w:pPr>
              <w:spacing w:after="0"/>
            </w:pPr>
            <w:r>
              <w:rPr>
                <w:sz w:val="19"/>
              </w:rPr>
              <w:t>Because AWS DMS surfaces a schema change only on the next data row for a table, always follow a schema change with a data modification so the change propagates promptly.</w:t>
            </w:r>
          </w:p>
        </w:tc>
      </w:tr>
    </w:tbl>
    <w:p>
      <w:pPr>
        <w:spacing w:after="40"/>
      </w:pPr>
    </w:p>
    <w:p>
      <w:pPr>
        <w:pStyle w:val="Heading1"/>
      </w:pPr>
      <w:r>
        <w:t>Data Type Handling</w:t>
      </w:r>
    </w:p>
    <w:p>
      <w:r>
        <w:rPr>
          <w:b w:val="0"/>
          <w:i w:val="0"/>
        </w:rPr>
        <w:t>The pipeline preserves values across a broad range of data types. The following are handled reliably:</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Category</w:t>
            </w:r>
          </w:p>
        </w:tc>
        <w:tc>
          <w:tcPr>
            <w:tcW w:type="dxa" w:w="4320"/>
            <w:shd w:val="clear" w:fill="0F2B46"/>
          </w:tcPr>
          <w:p>
            <w:r/>
            <w:r>
              <w:rPr>
                <w:b/>
                <w:color w:val="FFFFFF"/>
                <w:sz w:val="19"/>
              </w:rPr>
              <w:t>Behavior</w:t>
            </w:r>
          </w:p>
        </w:tc>
      </w:tr>
      <w:tr>
        <w:tc>
          <w:tcPr>
            <w:tcW w:type="dxa" w:w="4320"/>
          </w:tcPr>
          <w:p>
            <w:r/>
            <w:r>
              <w:rPr>
                <w:sz w:val="18"/>
              </w:rPr>
              <w:t>Null values</w:t>
            </w:r>
          </w:p>
        </w:tc>
        <w:tc>
          <w:tcPr>
            <w:tcW w:type="dxa" w:w="4320"/>
          </w:tcPr>
          <w:p>
            <w:r/>
            <w:r>
              <w:rPr>
                <w:sz w:val="18"/>
              </w:rPr>
              <w:t>Preserved.</w:t>
            </w:r>
          </w:p>
        </w:tc>
      </w:tr>
      <w:tr>
        <w:tc>
          <w:tcPr>
            <w:tcW w:type="dxa" w:w="4320"/>
            <w:shd w:val="clear" w:fill="F7F9FB"/>
          </w:tcPr>
          <w:p>
            <w:r/>
            <w:r>
              <w:rPr>
                <w:sz w:val="18"/>
              </w:rPr>
              <w:t>Boolean values</w:t>
            </w:r>
          </w:p>
        </w:tc>
        <w:tc>
          <w:tcPr>
            <w:tcW w:type="dxa" w:w="4320"/>
            <w:shd w:val="clear" w:fill="F7F9FB"/>
          </w:tcPr>
          <w:p>
            <w:r/>
            <w:r>
              <w:rPr>
                <w:sz w:val="18"/>
              </w:rPr>
              <w:t>Preserved.</w:t>
            </w:r>
          </w:p>
        </w:tc>
      </w:tr>
      <w:tr>
        <w:tc>
          <w:tcPr>
            <w:tcW w:type="dxa" w:w="4320"/>
          </w:tcPr>
          <w:p>
            <w:r/>
            <w:r>
              <w:rPr>
                <w:sz w:val="18"/>
              </w:rPr>
              <w:t>Numeric and integer values, including boundary values</w:t>
            </w:r>
          </w:p>
        </w:tc>
        <w:tc>
          <w:tcPr>
            <w:tcW w:type="dxa" w:w="4320"/>
          </w:tcPr>
          <w:p>
            <w:r/>
            <w:r>
              <w:rPr>
                <w:sz w:val="18"/>
              </w:rPr>
              <w:t>Preserved exactly.</w:t>
            </w:r>
          </w:p>
        </w:tc>
      </w:tr>
      <w:tr>
        <w:tc>
          <w:tcPr>
            <w:tcW w:type="dxa" w:w="4320"/>
            <w:shd w:val="clear" w:fill="F7F9FB"/>
          </w:tcPr>
          <w:p>
            <w:r/>
            <w:r>
              <w:rPr>
                <w:sz w:val="18"/>
              </w:rPr>
              <w:t>Text, including commas, quotation marks, line breaks, tabs, Unicode, and empty strings</w:t>
            </w:r>
          </w:p>
        </w:tc>
        <w:tc>
          <w:tcPr>
            <w:tcW w:type="dxa" w:w="4320"/>
            <w:shd w:val="clear" w:fill="F7F9FB"/>
          </w:tcPr>
          <w:p>
            <w:r/>
            <w:r>
              <w:rPr>
                <w:sz w:val="18"/>
              </w:rPr>
              <w:t>Preserved exactly, including leading and trailing whitespace.</w:t>
            </w:r>
          </w:p>
        </w:tc>
      </w:tr>
      <w:tr>
        <w:tc>
          <w:tcPr>
            <w:tcW w:type="dxa" w:w="4320"/>
          </w:tcPr>
          <w:p>
            <w:r/>
            <w:r>
              <w:rPr>
                <w:sz w:val="18"/>
              </w:rPr>
              <w:t>Character large objects (CLOB and equivalent)</w:t>
            </w:r>
          </w:p>
        </w:tc>
        <w:tc>
          <w:tcPr>
            <w:tcW w:type="dxa" w:w="4320"/>
          </w:tcPr>
          <w:p>
            <w:r/>
            <w:r>
              <w:rPr>
                <w:sz w:val="18"/>
              </w:rPr>
              <w:t>Preserved exactly, including internal and surrounding whitespace and line breaks.</w:t>
            </w:r>
          </w:p>
        </w:tc>
      </w:tr>
      <w:tr>
        <w:tc>
          <w:tcPr>
            <w:tcW w:type="dxa" w:w="4320"/>
            <w:shd w:val="clear" w:fill="F7F9FB"/>
          </w:tcPr>
          <w:p>
            <w:r/>
            <w:r>
              <w:rPr>
                <w:sz w:val="18"/>
              </w:rPr>
              <w:t>Timestamps with a time zone offset</w:t>
            </w:r>
          </w:p>
        </w:tc>
        <w:tc>
          <w:tcPr>
            <w:tcW w:type="dxa" w:w="4320"/>
            <w:shd w:val="clear" w:fill="F7F9FB"/>
          </w:tcPr>
          <w:p>
            <w:r/>
            <w:r>
              <w:rPr>
                <w:sz w:val="18"/>
              </w:rPr>
              <w:t>Converted to the equivalent UTC instant, consistent with Aurora DSQL's UTC storage.</w:t>
            </w:r>
          </w:p>
        </w:tc>
      </w:tr>
      <w:tr>
        <w:tc>
          <w:tcPr>
            <w:tcW w:type="dxa" w:w="4320"/>
          </w:tcPr>
          <w:p>
            <w:r/>
            <w:r>
              <w:rPr>
                <w:sz w:val="18"/>
              </w:rPr>
              <w:t>Wide tables (many columns)</w:t>
            </w:r>
          </w:p>
        </w:tc>
        <w:tc>
          <w:tcPr>
            <w:tcW w:type="dxa" w:w="4320"/>
          </w:tcPr>
          <w:p>
            <w:r/>
            <w:r>
              <w:rPr>
                <w:sz w:val="18"/>
              </w:rPr>
              <w:t>Loaded and validated correctly.</w:t>
            </w:r>
          </w:p>
        </w:tc>
      </w:tr>
      <w:tr>
        <w:tc>
          <w:tcPr>
            <w:tcW w:type="dxa" w:w="4320"/>
            <w:shd w:val="clear" w:fill="F7F9FB"/>
          </w:tcPr>
          <w:p>
            <w:r/>
            <w:r>
              <w:rPr>
                <w:sz w:val="18"/>
              </w:rPr>
              <w:t>Repeated updates and delete-then-reinsert on the same key</w:t>
            </w:r>
          </w:p>
        </w:tc>
        <w:tc>
          <w:tcPr>
            <w:tcW w:type="dxa" w:w="4320"/>
            <w:shd w:val="clear" w:fill="F7F9FB"/>
          </w:tcPr>
          <w:p>
            <w:r/>
            <w:r>
              <w:rPr>
                <w:sz w:val="18"/>
              </w:rPr>
              <w:t>Converge to the correct final state.</w:t>
            </w:r>
          </w:p>
        </w:tc>
      </w:tr>
      <w:tr>
        <w:tc>
          <w:tcPr>
            <w:tcW w:type="dxa" w:w="4320"/>
            <w:shd w:val="clear" w:fill="F7F9FB"/>
          </w:tcPr>
          <w:p>
            <w:r/>
            <w:r>
              <w:rPr>
                <w:sz w:val="18"/>
              </w:rPr>
              <w:t>Binary values (RAW, BLOB)</w:t>
            </w:r>
          </w:p>
        </w:tc>
        <w:tc>
          <w:tcPr>
            <w:tcW w:type="dxa" w:w="4320"/>
            <w:shd w:val="clear" w:fill="F7F9FB"/>
          </w:tcPr>
          <w:p>
            <w:r/>
            <w:r>
              <w:rPr>
                <w:sz w:val="18"/>
              </w:rPr>
              <w:t>Stored as the original bytes. AWS DMS writes them as hexadecimal; a value that is not hexadecimal stops the table rather than storing the wrong bytes.</w:t>
            </w:r>
          </w:p>
        </w:tc>
      </w:tr>
      <w:tr>
        <w:tc>
          <w:tcPr>
            <w:tcW w:type="dxa" w:w="4320"/>
            <w:shd w:val="clear" w:fill="F7F9FB"/>
          </w:tcPr>
          <w:p>
            <w:r/>
            <w:r>
              <w:rPr>
                <w:sz w:val="18"/>
              </w:rPr>
              <w:t>Text such as NA, N/A, NONE or null</w:t>
            </w:r>
          </w:p>
        </w:tc>
        <w:tc>
          <w:tcPr>
            <w:tcW w:type="dxa" w:w="4320"/>
            <w:shd w:val="clear" w:fill="F7F9FB"/>
          </w:tcPr>
          <w:p>
            <w:r/>
            <w:r>
              <w:rPr>
                <w:sz w:val="18"/>
              </w:rPr>
              <w:t>Kept as text. Only an empty field, or exactly the S3 endpoint's CSV null marker (default NULL), is stored as NULL.</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Time zone conversion</w:t>
            </w:r>
          </w:p>
          <w:p>
            <w:pPr>
              <w:spacing w:after="0"/>
            </w:pPr>
            <w:r>
              <w:rPr>
                <w:sz w:val="19"/>
              </w:rPr>
              <w:t>Aurora DSQL stores timezone-aware values in UTC. A source timestamp such as 12:30 at an offset of +05:30 is stored as its UTC equivalent (07:00 UTC). This applies consistently on both full load and CDC.</w:t>
            </w:r>
          </w:p>
        </w:tc>
      </w:tr>
    </w:tbl>
    <w:p>
      <w:pPr>
        <w:spacing w:after="40"/>
      </w:pPr>
    </w:p>
    <w:p>
      <w:pPr>
        <w:pStyle w:val="Heading2"/>
      </w:pPr>
      <w:r>
        <w:t>Boundary consideration</w:t>
      </w:r>
    </w:p>
    <w:p>
      <w:r>
        <w:rPr>
          <w:b w:val="0"/>
          <w:i w:val="0"/>
        </w:rPr>
        <w:t>Subnormal (denormalized) floating-point values near the smallest representable magnitude (approximately 1e-308) can lose precision and resolve to zero. These values are rare in operational data. If your workload relies on them, use a higher-precision representation for the affected column.</w:t>
      </w:r>
    </w:p>
    <w:p>
      <w:pPr>
        <w:pStyle w:val="Heading1"/>
      </w:pPr>
      <w:r>
        <w:t>Validation Coverage</w:t>
      </w:r>
    </w:p>
    <w:p>
      <w:r>
        <w:rPr>
          <w:b w:val="0"/>
          <w:i w:val="0"/>
        </w:rPr>
        <w:t>The validation job checks every table: per key range, the row count plus a content check of every column, chosen from the column's Aurora DSQL type. A table whose key can't be split into ranges is compared as one whole-table range. A table the load did not finish, or a missing load-status file, fails validation rather than being skipped.</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Primary key</w:t>
            </w:r>
          </w:p>
        </w:tc>
        <w:tc>
          <w:tcPr>
            <w:tcW w:type="dxa" w:w="2880"/>
            <w:shd w:val="clear" w:fill="0F2B46"/>
          </w:tcPr>
          <w:p>
            <w:r/>
            <w:r>
              <w:rPr>
                <w:b/>
                <w:color w:val="FFFFFF"/>
                <w:sz w:val="19"/>
              </w:rPr>
              <w:t>Compared</w:t>
            </w:r>
          </w:p>
        </w:tc>
        <w:tc>
          <w:tcPr>
            <w:tcW w:type="dxa" w:w="2880"/>
            <w:shd w:val="clear" w:fill="0F2B46"/>
          </w:tcPr>
          <w:p>
            <w:r/>
            <w:r>
              <w:rPr>
                <w:b/>
                <w:color w:val="FFFFFF"/>
                <w:sz w:val="19"/>
              </w:rPr>
              <w:t>Content check</w:t>
            </w:r>
          </w:p>
        </w:tc>
      </w:tr>
      <w:tr>
        <w:tc>
          <w:tcPr>
            <w:tcW w:type="dxa" w:w="2880"/>
          </w:tcPr>
          <w:p>
            <w:r/>
            <w:r>
              <w:rPr>
                <w:sz w:val="18"/>
              </w:rPr>
              <w:t>Single-column integer, UUID or text</w:t>
            </w:r>
          </w:p>
        </w:tc>
        <w:tc>
          <w:tcPr>
            <w:tcW w:type="dxa" w:w="2880"/>
          </w:tcPr>
          <w:p>
            <w:r/>
            <w:r>
              <w:rPr>
                <w:sz w:val="18"/>
              </w:rPr>
              <w:t>Per key range</w:t>
            </w:r>
          </w:p>
        </w:tc>
        <w:tc>
          <w:tcPr>
            <w:tcW w:type="dxa" w:w="2880"/>
          </w:tcPr>
          <w:p>
            <w:r/>
            <w:r>
              <w:rPr>
                <w:sz w:val="18"/>
              </w:rPr>
              <w:t>Every column</w:t>
            </w:r>
          </w:p>
        </w:tc>
      </w:tr>
      <w:tr>
        <w:tc>
          <w:tcPr>
            <w:tcW w:type="dxa" w:w="2880"/>
          </w:tcPr>
          <w:p>
            <w:r/>
            <w:r>
              <w:rPr>
                <w:sz w:val="18"/>
              </w:rPr>
              <w:t>Composite (multiple columns)</w:t>
            </w:r>
          </w:p>
        </w:tc>
        <w:tc>
          <w:tcPr>
            <w:tcW w:type="dxa" w:w="2880"/>
          </w:tcPr>
          <w:p>
            <w:r/>
            <w:r>
              <w:rPr>
                <w:sz w:val="18"/>
              </w:rPr>
              <w:t>Whole table</w:t>
            </w:r>
          </w:p>
        </w:tc>
        <w:tc>
          <w:tcPr>
            <w:tcW w:type="dxa" w:w="2880"/>
          </w:tcPr>
          <w:p>
            <w:r/>
            <w:r>
              <w:rPr>
                <w:sz w:val="18"/>
              </w:rPr>
              <w:t>Every column</w:t>
            </w:r>
          </w:p>
        </w:tc>
      </w:tr>
      <w:tr>
        <w:tc>
          <w:tcPr>
            <w:tcW w:type="dxa" w:w="2880"/>
            <w:shd w:val="clear" w:fill="F7F9FB"/>
          </w:tcPr>
          <w:p>
            <w:r/>
            <w:r>
              <w:rPr>
                <w:sz w:val="18"/>
              </w:rPr>
              <w:t>Single-column fractional numeric</w:t>
            </w:r>
          </w:p>
        </w:tc>
        <w:tc>
          <w:tcPr>
            <w:tcW w:type="dxa" w:w="2880"/>
            <w:shd w:val="clear" w:fill="F7F9FB"/>
          </w:tcPr>
          <w:p>
            <w:r/>
            <w:r>
              <w:rPr>
                <w:sz w:val="18"/>
              </w:rPr>
              <w:t>Whole table</w:t>
            </w:r>
          </w:p>
        </w:tc>
        <w:tc>
          <w:tcPr>
            <w:tcW w:type="dxa" w:w="2880"/>
            <w:shd w:val="clear" w:fill="F7F9FB"/>
          </w:tcPr>
          <w:p>
            <w:r/>
            <w:r>
              <w:rPr>
                <w:sz w:val="18"/>
              </w:rPr>
              <w:t>Every column</w:t>
            </w:r>
          </w:p>
        </w:tc>
      </w:tr>
      <w:tr>
        <w:tc>
          <w:tcPr>
            <w:tcW w:type="dxa" w:w="2880"/>
            <w:shd w:val="clear" w:fill="F7F9FB"/>
          </w:tcPr>
          <w:p>
            <w:r/>
            <w:r>
              <w:rPr>
                <w:sz w:val="18"/>
              </w:rPr>
              <w:t>No primary key</w:t>
            </w:r>
          </w:p>
        </w:tc>
        <w:tc>
          <w:tcPr>
            <w:tcW w:type="dxa" w:w="2880"/>
            <w:shd w:val="clear" w:fill="F7F9FB"/>
          </w:tcPr>
          <w:p>
            <w:r/>
            <w:r>
              <w:rPr>
                <w:sz w:val="18"/>
              </w:rPr>
              <w:t>Whole table</w:t>
            </w:r>
          </w:p>
        </w:tc>
        <w:tc>
          <w:tcPr>
            <w:tcW w:type="dxa" w:w="2880"/>
            <w:shd w:val="clear" w:fill="F7F9FB"/>
          </w:tcPr>
          <w:p>
            <w:r/>
            <w:r>
              <w:rPr>
                <w:sz w:val="18"/>
              </w:rPr>
              <w:t>Every column</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What the content check can and cannot see</w:t>
            </w:r>
          </w:p>
          <w:p>
            <w:pPr>
              <w:spacing w:after="0"/>
            </w:pPr>
            <w:r>
              <w:rPr>
                <w:sz w:val="19"/>
              </w:rPr>
              <w:t>Per column it compares the non-null count and type-appropriate summaries: length, minimum, maximum and a value hash for text, binary and UUID columns; exact sums for numbers (after the same rounding the load applies); summed instants for timestamps and dates; true counts for booleans. A wrong, missing, truncated, rounded or shifted value changes one of these, and the report names the column. Values swapped between two rows of the same range can cancel out. To compare row counts only, set --checksum_mode off.</w:t>
            </w:r>
          </w:p>
        </w:tc>
      </w:tr>
    </w:tbl>
    <w:p>
      <w:pPr>
        <w:spacing w:after="40"/>
      </w:pPr>
    </w:p>
    <w:p>
      <w:pPr>
        <w:pStyle w:val="Heading1"/>
      </w:pPr>
      <w:r>
        <w:t>Change Data Capture Prerequisites</w:t>
      </w:r>
    </w:p>
    <w:p>
      <w:pPr>
        <w:pStyle w:val="Heading2"/>
      </w:pPr>
      <w:r>
        <w:t>Source schema must exist before CDC is configured</w:t>
      </w:r>
    </w:p>
    <w:p>
      <w:r>
        <w:rPr>
          <w:b w:val="0"/>
          <w:i w:val="0"/>
        </w:rPr>
        <w:t>AWS DMS uses the source database's change stream to capture ongoing changes. A schema created after CDC was configured on the source may not be resolvable from the change stream, in which case full load and validation succeed for that schema but ongoing CDC captures no changes for it.</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Guidance</w:t>
            </w:r>
          </w:p>
          <w:p>
            <w:pPr>
              <w:spacing w:after="0"/>
            </w:pPr>
            <w:r>
              <w:rPr>
                <w:sz w:val="19"/>
              </w:rPr>
              <w:t>Confirm that any schema you intend to replicate existed before CDC was configured on the source. If a schema was created afterward, have the database administrator refresh the source's change-capture configuration so the schema is included. The pre-migration assessment includes a CDC readiness check.</w:t>
            </w:r>
          </w:p>
        </w:tc>
      </w:tr>
    </w:tbl>
    <w:p>
      <w:pPr>
        <w:spacing w:after="40"/>
      </w:pPr>
    </w:p>
    <w:p>
      <w:pPr>
        <w:pStyle w:val="Heading2"/>
      </w:pPr>
      <w:r>
        <w:t>Tables with and without a primary key</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Table</w:t>
            </w:r>
          </w:p>
        </w:tc>
        <w:tc>
          <w:tcPr>
            <w:tcW w:type="dxa" w:w="4320"/>
            <w:shd w:val="clear" w:fill="0F2B46"/>
          </w:tcPr>
          <w:p>
            <w:r/>
            <w:r>
              <w:rPr>
                <w:b/>
                <w:color w:val="FFFFFF"/>
                <w:sz w:val="19"/>
              </w:rPr>
              <w:t>CDC behavior</w:t>
            </w:r>
          </w:p>
        </w:tc>
      </w:tr>
      <w:tr>
        <w:tc>
          <w:tcPr>
            <w:tcW w:type="dxa" w:w="4320"/>
          </w:tcPr>
          <w:p>
            <w:r/>
            <w:r>
              <w:rPr>
                <w:sz w:val="18"/>
              </w:rPr>
              <w:t>Single-column primary key (or a declared logical key)</w:t>
            </w:r>
          </w:p>
        </w:tc>
        <w:tc>
          <w:tcPr>
            <w:tcW w:type="dxa" w:w="4320"/>
          </w:tcPr>
          <w:p>
            <w:r/>
            <w:r>
              <w:rPr>
                <w:sz w:val="18"/>
              </w:rPr>
              <w:t>Inserts, updates, and deletes are applied.</w:t>
            </w:r>
          </w:p>
        </w:tc>
      </w:tr>
      <w:tr>
        <w:tc>
          <w:tcPr>
            <w:tcW w:type="dxa" w:w="4320"/>
          </w:tcPr>
          <w:p>
            <w:r/>
            <w:r>
              <w:rPr>
                <w:sz w:val="18"/>
              </w:rPr>
              <w:t>Multi-column primary key</w:t>
            </w:r>
          </w:p>
        </w:tc>
        <w:tc>
          <w:tcPr>
            <w:tcW w:type="dxa" w:w="4320"/>
          </w:tcPr>
          <w:p>
            <w:r/>
            <w:r>
              <w:rPr>
                <w:sz w:val="18"/>
              </w:rPr>
              <w:t>Not applied by the CDC job, which lists these tables at startup. Use a separate CDC process for them; cutover waits until it records their files as applied in cdc_control.cdc_file_status.</w:t>
            </w:r>
          </w:p>
        </w:tc>
      </w:tr>
      <w:tr>
        <w:tc>
          <w:tcPr>
            <w:tcW w:type="dxa" w:w="4320"/>
            <w:shd w:val="clear" w:fill="F7F9FB"/>
          </w:tcPr>
          <w:p>
            <w:r/>
            <w:r>
              <w:rPr>
                <w:sz w:val="18"/>
              </w:rPr>
              <w:t>No primary key</w:t>
            </w:r>
          </w:p>
        </w:tc>
        <w:tc>
          <w:tcPr>
            <w:tcW w:type="dxa" w:w="4320"/>
            <w:shd w:val="clear" w:fill="F7F9FB"/>
          </w:tcPr>
          <w:p>
            <w:r/>
            <w:r>
              <w:rPr>
                <w:sz w:val="18"/>
              </w:rPr>
              <w:t>Inserts and deletes are applied; updates are recorded for review rather than applied.</w:t>
            </w:r>
          </w:p>
        </w:tc>
      </w:tr>
    </w:tbl>
    <w:p>
      <w:pPr>
        <w:spacing w:after="40"/>
      </w:pPr>
    </w:p>
    <w:p>
      <w:pPr>
        <w:pStyle w:val="Heading1"/>
      </w:pPr>
      <w:r>
        <w:t>Operational Guidance</w:t>
      </w:r>
    </w:p>
    <w:p>
      <w:r>
        <w:rPr>
          <w:b w:val="0"/>
          <w:i w:val="0"/>
        </w:rPr>
        <w:t>For a reliable reload, remove all prior state together: the per-table Amazon S3 objects (including processed and failed objects), the task's load-status and validation-report files, and the table's rows in the control tables, before rerunning. Reloading with some earlier state still present produces inconsistent results, because already-processed objects are skipped and tables marked complete are not reloaded. To resume a single paused table instead, set its cdc_status back to active; do not delete its control rows.</w:t>
      </w:r>
    </w:p>
    <w:p>
      <w:pPr>
        <w:pStyle w:val="Heading1"/>
      </w:pPr>
      <w:r>
        <w:t>Summary</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Area</w:t>
            </w:r>
          </w:p>
        </w:tc>
        <w:tc>
          <w:tcPr>
            <w:tcW w:type="dxa" w:w="2880"/>
            <w:shd w:val="clear" w:fill="0F2B46"/>
          </w:tcPr>
          <w:p>
            <w:r/>
            <w:r>
              <w:rPr>
                <w:b/>
                <w:color w:val="FFFFFF"/>
                <w:sz w:val="19"/>
              </w:rPr>
              <w:t>Behavior</w:t>
            </w:r>
          </w:p>
        </w:tc>
        <w:tc>
          <w:tcPr>
            <w:tcW w:type="dxa" w:w="2880"/>
            <w:shd w:val="clear" w:fill="0F2B46"/>
          </w:tcPr>
          <w:p>
            <w:r/>
            <w:r>
              <w:rPr>
                <w:b/>
                <w:color w:val="FFFFFF"/>
                <w:sz w:val="19"/>
              </w:rPr>
              <w:t>Action</w:t>
            </w:r>
          </w:p>
        </w:tc>
      </w:tr>
      <w:tr>
        <w:tc>
          <w:tcPr>
            <w:tcW w:type="dxa" w:w="2880"/>
          </w:tcPr>
          <w:p>
            <w:r/>
            <w:r>
              <w:rPr>
                <w:sz w:val="18"/>
              </w:rPr>
              <w:t>Add / rename columns</w:t>
            </w:r>
          </w:p>
        </w:tc>
        <w:tc>
          <w:tcPr>
            <w:tcW w:type="dxa" w:w="2880"/>
          </w:tcPr>
          <w:p>
            <w:r/>
            <w:r>
              <w:rPr>
                <w:sz w:val="18"/>
              </w:rPr>
              <w:t>Replicated automatically</w:t>
            </w:r>
          </w:p>
        </w:tc>
        <w:tc>
          <w:tcPr>
            <w:tcW w:type="dxa" w:w="2880"/>
          </w:tcPr>
          <w:p>
            <w:r/>
            <w:r>
              <w:rPr>
                <w:sz w:val="18"/>
              </w:rPr>
              <w:t>None</w:t>
            </w:r>
          </w:p>
        </w:tc>
      </w:tr>
      <w:tr>
        <w:tc>
          <w:tcPr>
            <w:tcW w:type="dxa" w:w="2880"/>
            <w:shd w:val="clear" w:fill="F7F9FB"/>
          </w:tcPr>
          <w:p>
            <w:r/>
            <w:r>
              <w:rPr>
                <w:sz w:val="18"/>
              </w:rPr>
              <w:t>Drop column</w:t>
            </w:r>
          </w:p>
        </w:tc>
        <w:tc>
          <w:tcPr>
            <w:tcW w:type="dxa" w:w="2880"/>
            <w:shd w:val="clear" w:fill="F7F9FB"/>
          </w:tcPr>
          <w:p>
            <w:r/>
            <w:r>
              <w:rPr>
                <w:sz w:val="18"/>
              </w:rPr>
              <w:t>Column retained and nulled; table pauses if change data omits a target column</w:t>
            </w:r>
          </w:p>
        </w:tc>
        <w:tc>
          <w:tcPr>
            <w:tcW w:type="dxa" w:w="2880"/>
            <w:shd w:val="clear" w:fill="F7F9FB"/>
          </w:tcPr>
          <w:p>
            <w:r/>
            <w:r>
              <w:rPr>
                <w:sz w:val="18"/>
              </w:rPr>
              <w:t>Drop on target if intended; otherwise resolve the mismatch and set the table's cdc_status back to active (never delete the row)</w:t>
            </w:r>
          </w:p>
        </w:tc>
      </w:tr>
      <w:tr>
        <w:tc>
          <w:tcPr>
            <w:tcW w:type="dxa" w:w="2880"/>
          </w:tcPr>
          <w:p>
            <w:r/>
            <w:r>
              <w:rPr>
                <w:sz w:val="18"/>
              </w:rPr>
              <w:t>Change column type</w:t>
            </w:r>
          </w:p>
        </w:tc>
        <w:tc>
          <w:tcPr>
            <w:tcW w:type="dxa" w:w="2880"/>
          </w:tcPr>
          <w:p>
            <w:r/>
            <w:r>
              <w:rPr>
                <w:sz w:val="18"/>
              </w:rPr>
              <w:t>Not detected</w:t>
            </w:r>
          </w:p>
        </w:tc>
        <w:tc>
          <w:tcPr>
            <w:tcW w:type="dxa" w:w="2880"/>
          </w:tcPr>
          <w:p>
            <w:r/>
            <w:r>
              <w:rPr>
                <w:sz w:val="18"/>
              </w:rPr>
              <w:t>Change target type and re-apply affected rows</w:t>
            </w:r>
          </w:p>
        </w:tc>
      </w:tr>
      <w:tr>
        <w:tc>
          <w:tcPr>
            <w:tcW w:type="dxa" w:w="2880"/>
            <w:shd w:val="clear" w:fill="F7F9FB"/>
          </w:tcPr>
          <w:p>
            <w:r/>
            <w:r>
              <w:rPr>
                <w:sz w:val="18"/>
              </w:rPr>
              <w:t>Schema change with no following data</w:t>
            </w:r>
          </w:p>
        </w:tc>
        <w:tc>
          <w:tcPr>
            <w:tcW w:type="dxa" w:w="2880"/>
            <w:shd w:val="clear" w:fill="F7F9FB"/>
          </w:tcPr>
          <w:p>
            <w:r/>
            <w:r>
              <w:rPr>
                <w:sz w:val="18"/>
              </w:rPr>
              <w:t>Propagates on the next change</w:t>
            </w:r>
          </w:p>
        </w:tc>
        <w:tc>
          <w:tcPr>
            <w:tcW w:type="dxa" w:w="2880"/>
            <w:shd w:val="clear" w:fill="F7F9FB"/>
          </w:tcPr>
          <w:p>
            <w:r/>
            <w:r>
              <w:rPr>
                <w:sz w:val="18"/>
              </w:rPr>
              <w:t>Follow schema changes with a data change</w:t>
            </w:r>
          </w:p>
        </w:tc>
      </w:tr>
      <w:tr>
        <w:tc>
          <w:tcPr>
            <w:tcW w:type="dxa" w:w="2880"/>
          </w:tcPr>
          <w:p>
            <w:r/>
            <w:r>
              <w:rPr>
                <w:sz w:val="18"/>
              </w:rPr>
              <w:t>Timestamps with offset</w:t>
            </w:r>
          </w:p>
        </w:tc>
        <w:tc>
          <w:tcPr>
            <w:tcW w:type="dxa" w:w="2880"/>
          </w:tcPr>
          <w:p>
            <w:r/>
            <w:r>
              <w:rPr>
                <w:sz w:val="18"/>
              </w:rPr>
              <w:t>Converted to UTC</w:t>
            </w:r>
          </w:p>
        </w:tc>
        <w:tc>
          <w:tcPr>
            <w:tcW w:type="dxa" w:w="2880"/>
          </w:tcPr>
          <w:p>
            <w:r/>
            <w:r>
              <w:rPr>
                <w:sz w:val="18"/>
              </w:rPr>
              <w:t>None</w:t>
            </w:r>
          </w:p>
        </w:tc>
      </w:tr>
      <w:tr>
        <w:tc>
          <w:tcPr>
            <w:tcW w:type="dxa" w:w="2880"/>
            <w:shd w:val="clear" w:fill="F7F9FB"/>
          </w:tcPr>
          <w:p>
            <w:r/>
            <w:r>
              <w:rPr>
                <w:sz w:val="18"/>
              </w:rPr>
              <w:t>Text, CLOB, whitespace</w:t>
            </w:r>
          </w:p>
        </w:tc>
        <w:tc>
          <w:tcPr>
            <w:tcW w:type="dxa" w:w="2880"/>
            <w:shd w:val="clear" w:fill="F7F9FB"/>
          </w:tcPr>
          <w:p>
            <w:r/>
            <w:r>
              <w:rPr>
                <w:sz w:val="18"/>
              </w:rPr>
              <w:t>Preserved exactly</w:t>
            </w:r>
          </w:p>
        </w:tc>
        <w:tc>
          <w:tcPr>
            <w:tcW w:type="dxa" w:w="2880"/>
            <w:shd w:val="clear" w:fill="F7F9FB"/>
          </w:tcPr>
          <w:p>
            <w:r/>
            <w:r>
              <w:rPr>
                <w:sz w:val="18"/>
              </w:rPr>
              <w:t>None</w:t>
            </w:r>
          </w:p>
        </w:tc>
      </w:tr>
      <w:tr>
        <w:tc>
          <w:tcPr>
            <w:tcW w:type="dxa" w:w="2880"/>
          </w:tcPr>
          <w:p>
            <w:r/>
            <w:r>
              <w:rPr>
                <w:sz w:val="18"/>
              </w:rPr>
              <w:t>Subnormal floating point (~1e-308)</w:t>
            </w:r>
          </w:p>
        </w:tc>
        <w:tc>
          <w:tcPr>
            <w:tcW w:type="dxa" w:w="2880"/>
          </w:tcPr>
          <w:p>
            <w:r/>
            <w:r>
              <w:rPr>
                <w:sz w:val="18"/>
              </w:rPr>
              <w:t>May resolve to zero</w:t>
            </w:r>
          </w:p>
        </w:tc>
        <w:tc>
          <w:tcPr>
            <w:tcW w:type="dxa" w:w="2880"/>
          </w:tcPr>
          <w:p>
            <w:r/>
            <w:r>
              <w:rPr>
                <w:sz w:val="18"/>
              </w:rPr>
              <w:t>Use higher precision if required</w:t>
            </w:r>
          </w:p>
        </w:tc>
      </w:tr>
      <w:tr>
        <w:tc>
          <w:tcPr>
            <w:tcW w:type="dxa" w:w="2880"/>
            <w:shd w:val="clear" w:fill="F7F9FB"/>
          </w:tcPr>
          <w:p>
            <w:r/>
            <w:r>
              <w:rPr>
                <w:sz w:val="18"/>
              </w:rPr>
              <w:t>Composite / fractional-key tables</w:t>
            </w:r>
          </w:p>
        </w:tc>
        <w:tc>
          <w:tcPr>
            <w:tcW w:type="dxa" w:w="2880"/>
            <w:shd w:val="clear" w:fill="F7F9FB"/>
          </w:tcPr>
          <w:p>
            <w:r/>
            <w:r>
              <w:rPr>
                <w:sz w:val="18"/>
              </w:rPr>
              <w:t>Validated as one whole-table range, every column</w:t>
            </w:r>
          </w:p>
        </w:tc>
        <w:tc>
          <w:tcPr>
            <w:tcW w:type="dxa" w:w="2880"/>
            <w:shd w:val="clear" w:fill="F7F9FB"/>
          </w:tcPr>
          <w:p>
            <w:r/>
            <w:r>
              <w:rPr>
                <w:sz w:val="18"/>
              </w:rPr>
              <w:t>None</w:t>
            </w:r>
          </w:p>
        </w:tc>
      </w:tr>
      <w:tr>
        <w:tc>
          <w:tcPr>
            <w:tcW w:type="dxa" w:w="2880"/>
          </w:tcPr>
          <w:p>
            <w:r/>
            <w:r>
              <w:rPr>
                <w:sz w:val="18"/>
              </w:rPr>
              <w:t>Schema created after CDC setup</w:t>
            </w:r>
          </w:p>
        </w:tc>
        <w:tc>
          <w:tcPr>
            <w:tcW w:type="dxa" w:w="2880"/>
          </w:tcPr>
          <w:p>
            <w:r/>
            <w:r>
              <w:rPr>
                <w:sz w:val="18"/>
              </w:rPr>
              <w:t>Not captured by CDC</w:t>
            </w:r>
          </w:p>
        </w:tc>
        <w:tc>
          <w:tcPr>
            <w:tcW w:type="dxa" w:w="2880"/>
          </w:tcPr>
          <w:p>
            <w:r/>
            <w:r>
              <w:rPr>
                <w:sz w:val="18"/>
              </w:rPr>
              <w:t>Refresh source change-capture configuration</w:t>
            </w:r>
          </w:p>
        </w:tc>
      </w:tr>
      <w:tr>
        <w:tc>
          <w:tcPr>
            <w:tcW w:type="dxa" w:w="2880"/>
            <w:shd w:val="clear" w:fill="F7F9FB"/>
          </w:tcPr>
          <w:p>
            <w:r/>
            <w:r>
              <w:rPr>
                <w:sz w:val="18"/>
              </w:rPr>
              <w:t>Tables without a primary key</w:t>
            </w:r>
          </w:p>
        </w:tc>
        <w:tc>
          <w:tcPr>
            <w:tcW w:type="dxa" w:w="2880"/>
            <w:shd w:val="clear" w:fill="F7F9FB"/>
          </w:tcPr>
          <w:p>
            <w:r/>
            <w:r>
              <w:rPr>
                <w:sz w:val="18"/>
              </w:rPr>
              <w:t>Inserts and deletes applied</w:t>
            </w:r>
          </w:p>
        </w:tc>
        <w:tc>
          <w:tcPr>
            <w:tcW w:type="dxa" w:w="2880"/>
            <w:shd w:val="clear" w:fill="F7F9FB"/>
          </w:tcPr>
          <w:p>
            <w:r/>
            <w:r>
              <w:rPr>
                <w:sz w:val="18"/>
              </w:rPr>
              <w:t>Review recorded skipped updates</w:t>
            </w:r>
          </w:p>
        </w:tc>
      </w:tr>
      <w:tr>
        <w:tc>
          <w:tcPr>
            <w:tcW w:type="dxa" w:w="2880"/>
            <w:shd w:val="clear" w:fill="F7F9FB"/>
          </w:tcPr>
          <w:p>
            <w:r/>
            <w:r>
              <w:rPr>
                <w:sz w:val="18"/>
              </w:rPr>
              <w:t>Tables with a multi-column primary key</w:t>
            </w:r>
          </w:p>
        </w:tc>
        <w:tc>
          <w:tcPr>
            <w:tcW w:type="dxa" w:w="2880"/>
            <w:shd w:val="clear" w:fill="F7F9FB"/>
          </w:tcPr>
          <w:p>
            <w:r/>
            <w:r>
              <w:rPr>
                <w:sz w:val="18"/>
              </w:rPr>
              <w:t>Not applied by the CDC job (listed at startup)</w:t>
            </w:r>
          </w:p>
        </w:tc>
        <w:tc>
          <w:tcPr>
            <w:tcW w:type="dxa" w:w="2880"/>
            <w:shd w:val="clear" w:fill="F7F9FB"/>
          </w:tcPr>
          <w:p>
            <w:r/>
            <w:r>
              <w:rPr>
                <w:sz w:val="18"/>
              </w:rPr>
              <w:t>Use a separate CDC process; cutover waits for it</w:t>
            </w:r>
          </w:p>
        </w:tc>
      </w:tr>
      <w:tr>
        <w:tc>
          <w:tcPr>
            <w:tcW w:type="dxa" w:w="2880"/>
            <w:shd w:val="clear" w:fill="F7F9FB"/>
          </w:tcPr>
          <w:p>
            <w:r/>
            <w:r>
              <w:rPr>
                <w:sz w:val="18"/>
              </w:rPr>
              <w:t>Binary columns (RAW, BLOB)</w:t>
            </w:r>
          </w:p>
        </w:tc>
        <w:tc>
          <w:tcPr>
            <w:tcW w:type="dxa" w:w="2880"/>
            <w:shd w:val="clear" w:fill="F7F9FB"/>
          </w:tcPr>
          <w:p>
            <w:r/>
            <w:r>
              <w:rPr>
                <w:sz w:val="18"/>
              </w:rPr>
              <w:t>Stored as the original bytes</w:t>
            </w:r>
          </w:p>
        </w:tc>
        <w:tc>
          <w:tcPr>
            <w:tcW w:type="dxa" w:w="2880"/>
            <w:shd w:val="clear" w:fill="F7F9FB"/>
          </w:tcPr>
          <w:p>
            <w:r/>
            <w:r>
              <w:rPr>
                <w:sz w:val="18"/>
              </w:rPr>
              <w:t>None</w:t>
            </w:r>
          </w:p>
        </w:tc>
      </w:tr>
      <w:tr>
        <w:tc>
          <w:tcPr>
            <w:tcW w:type="dxa" w:w="2880"/>
            <w:shd w:val="clear" w:fill="F7F9FB"/>
          </w:tcPr>
          <w:p>
            <w:r/>
            <w:r>
              <w:rPr>
                <w:sz w:val="18"/>
              </w:rPr>
              <w:t>Text such as NA, N/A, NONE</w:t>
            </w:r>
          </w:p>
        </w:tc>
        <w:tc>
          <w:tcPr>
            <w:tcW w:type="dxa" w:w="2880"/>
            <w:shd w:val="clear" w:fill="F7F9FB"/>
          </w:tcPr>
          <w:p>
            <w:r/>
            <w:r>
              <w:rPr>
                <w:sz w:val="18"/>
              </w:rPr>
              <w:t>Kept as text; only an empty field or the endpoint's null marker is NULL</w:t>
            </w:r>
          </w:p>
        </w:tc>
        <w:tc>
          <w:tcPr>
            <w:tcW w:type="dxa" w:w="2880"/>
            <w:shd w:val="clear" w:fill="F7F9FB"/>
          </w:tcPr>
          <w:p>
            <w:r/>
            <w:r>
              <w:rPr>
                <w:sz w:val="18"/>
              </w:rPr>
              <w:t>None</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Migrating data from Oracle to Amazon Aurora DSQL  ·  Considerations and Limitations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5A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