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After discovery, each table is assigned one CDC owner: a multi-column (composite) primary-key table gets its own per-table composite (ck) fork with dedicated load, validate and CDC jobs; a big single- or no-primary-key table gets its own big (bg) CDC job; the main CDC job applies the rest. The pipeline creates and starts these fork jobs automatically after discovery and records each table's owner in the per-task job registry, so every table is applied by exactly one job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settings by hand. Copy config/params.example.csv, set account_id, Region, project, and dsql_endpoint (plus any optional keys), and upload it to s3://&lt;bucket&gt;/config/params.csv next to fleet_tasks.csv. Then run tools/setup.sh s3://&lt;bucket&gt;/config/params.csv to create or update all three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 If your IAM team already created these roles and you cannot create roles yourself, set manage_iam to false and provide the existing role ARNs (glue_role_arn, lambda_role_arn, and sfn_role_arn); setup then uses those roles and makes no IAM changes.</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s3://&lt;bucket&gt;/config/, and launch the fleet once with just the bucket: {"bucket": "&lt;pipeline bucket&gt;"}. Operator files are always read from the fixed folder s3://&lt;bucket&gt;/config/ (fleet_tasks.csv, params.csv, pipeline.json).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r>
        <w:t>Change-data-capture validation is on by default: each CDC job re-reads a sample of every committed file's rows by key and records lasting mismatches in a control table, and cutover stops if any are unresolved (clear each reviewed row by setting resolved to true, never by deleting it, then re-run cutover). An empty source table passes when the target is also empty. Very large tables are validated in per-key-range queries, each in its own short transaction under the Aurora DSQL time limit; a range that is still too large is split smaller and retried, and composite-key tables are split on their first key column, so a table of any size can be validated.</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