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Considerations and Limitations</w:t>
      </w:r>
    </w:p>
    <w:p>
      <w:pPr>
        <w:jc w:val="center"/>
      </w:pPr>
      <w:r>
        <w:rPr>
          <w:color w:val="235A97"/>
          <w:sz w:val="28"/>
        </w:rPr>
        <w:t>Behavior, Supported Scenarios, and Guidance for the Oracle-to-Aurora DSQL Pipeline</w:t>
      </w:r>
    </w:p>
    <w:p/>
    <w:p>
      <w:pPr>
        <w:jc w:val="center"/>
      </w:pPr>
      <w:r>
        <w:rPr>
          <w:b/>
          <w:color w:val="D86B00"/>
          <w:sz w:val="22"/>
        </w:rPr>
        <w:t>DMS  →  S3  →  AWS Glue  →  Amazon Aurora DSQL</w:t>
      </w:r>
    </w:p>
    <w:p/>
    <w:p/>
    <w:p>
      <w:pPr>
        <w:jc w:val="center"/>
      </w:pPr>
      <w:r>
        <w:rPr>
          <w:color w:val="555555"/>
          <w:sz w:val="19"/>
        </w:rPr>
        <w:t>How the pipeline behaves across schema changes, data types, validation, and CDC prerequisites, with guidance for each.</w:t>
      </w:r>
    </w:p>
    <w:p>
      <w:pPr>
        <w:jc w:val="center"/>
      </w:pPr>
      <w:r>
        <w:rPr>
          <w:color w:val="555555"/>
          <w:sz w:val="19"/>
        </w:rPr>
        <w:t>Companion documents: Usage Guide, Performance Guide.</w:t>
      </w:r>
    </w:p>
    <w:p>
      <w:r>
        <w:br w:type="page"/>
      </w:r>
    </w:p>
    <w:p>
      <w:pPr>
        <w:pStyle w:val="Heading1"/>
      </w:pPr>
      <w:r>
        <w:t>Overview</w:t>
      </w:r>
    </w:p>
    <w:p>
      <w:r>
        <w:rPr>
          <w:b w:val="0"/>
          <w:i w:val="0"/>
        </w:rPr>
        <w:t>This guide describes how the migration pipeline behaves in specific scenarios and provides guidance for each. Most workloads migrate within these behaviors without modification. Where a scenario requires an action, the guidance and, where relevant, an alternative are stated alongside it.</w:t>
      </w:r>
    </w:p>
    <w:p>
      <w:pPr>
        <w:pStyle w:val="Heading1"/>
      </w:pPr>
      <w:r>
        <w:t>Amazon Aurora DSQL Characteristics That Shape the Migration</w:t>
      </w:r>
    </w:p>
    <w:p>
      <w:r>
        <w:rPr>
          <w:b w:val="0"/>
          <w:i w:val="0"/>
        </w:rPr>
        <w:t>Aurora DSQL's distributed, serverless architecture defines several behaviors that the pipeline is built around. Understanding them helps set expectations for a migration.</w:t>
      </w:r>
    </w:p>
    <w:p>
      <w:pPr>
        <w:pStyle w:val="ListBullet"/>
      </w:pPr>
      <w:r>
        <w:rPr>
          <w:b/>
        </w:rPr>
        <w:t xml:space="preserve">Single database per cluster. </w:t>
      </w:r>
      <w:r>
        <w:t>Aurora DSQL provides one database per cluster. Use schemas within the cluster, or separate clusters, for logical separation.</w:t>
      </w:r>
    </w:p>
    <w:p>
      <w:pPr>
        <w:pStyle w:val="ListBullet"/>
      </w:pPr>
      <w:r>
        <w:rPr>
          <w:b/>
        </w:rPr>
        <w:t xml:space="preserve">UTC time zone. </w:t>
      </w:r>
      <w:r>
        <w:t>Aurora DSQL stores timezone-aware values in UTC. The pipeline converts source timestamps that carry a time zone offset to the equivalent UTC instant on load and during CDC, so stored values are consistent.</w:t>
      </w:r>
    </w:p>
    <w:p>
      <w:pPr>
        <w:pStyle w:val="ListBullet"/>
      </w:pPr>
      <w:r>
        <w:rPr>
          <w:b/>
        </w:rPr>
        <w:t xml:space="preserve">Transaction constraints. </w:t>
      </w:r>
      <w:r>
        <w:t>A transaction can modify up to 3,000 rows and can contain a single DDL statement, and DDL and DML run in separate transactions. The pipeline batches writes within these limits automatically.</w:t>
      </w:r>
    </w:p>
    <w:p>
      <w:pPr>
        <w:pStyle w:val="ListBullet"/>
      </w:pPr>
      <w:r>
        <w:rPr>
          <w:b/>
        </w:rPr>
        <w:t xml:space="preserve">Optimistic concurrency control. </w:t>
      </w:r>
      <w:r>
        <w:t>Aurora DSQL detects conflicts at commit time rather than locking. The pipeline applies changes in a way that is idempotent on retry.</w:t>
      </w:r>
    </w:p>
    <w:p>
      <w:pPr>
        <w:pStyle w:val="ListBullet"/>
      </w:pPr>
      <w:r>
        <w:rPr>
          <w:b/>
        </w:rPr>
        <w:t xml:space="preserve">Connections time out after one hour. </w:t>
      </w:r>
      <w:r>
        <w:t>The pipeline recycles its database connections before this limit, between transactions, so long-running load and CDC jobs are unaffected.</w:t>
      </w:r>
    </w:p>
    <w:p>
      <w:pPr>
        <w:pStyle w:val="Heading1"/>
      </w:pPr>
      <w:r>
        <w:t>Schema Changes During CDC</w:t>
      </w:r>
    </w:p>
    <w:p>
      <w:r>
        <w:rPr>
          <w:b w:val="0"/>
          <w:i w:val="0"/>
        </w:rPr>
        <w:t>While CDC is running, the pipeline replicates additive and rename schema changes to the target automatically. AWS DMS surfaces a schema change on the first data row after the change, so sequence any schema change so that a data modification follows it; a schema change with no following data does not propagate until the next change to that table.</w:t>
      </w:r>
    </w:p>
    <w:p>
      <w:pPr>
        <w:pStyle w:val="Heading2"/>
      </w:pPr>
      <w:r>
        <w:t>Supported automatically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Schema change</w:t>
            </w:r>
          </w:p>
        </w:tc>
        <w:tc>
          <w:tcPr>
            <w:tcW w:type="dxa" w:w="4320"/>
            <w:shd w:val="clear" w:fill="0F2B46"/>
          </w:tcPr>
          <w:p>
            <w:r/>
            <w:r>
              <w:rPr>
                <w:b/>
                <w:color w:val="FFFFFF"/>
                <w:sz w:val="19"/>
              </w:rPr>
              <w:t>Behavior</w:t>
            </w:r>
          </w:p>
        </w:tc>
      </w:tr>
      <w:tr>
        <w:tc>
          <w:tcPr>
            <w:tcW w:type="dxa" w:w="4320"/>
          </w:tcPr>
          <w:p>
            <w:r/>
            <w:r>
              <w:rPr>
                <w:sz w:val="18"/>
              </w:rPr>
              <w:t>Add a column, or several columns</w:t>
            </w:r>
          </w:p>
        </w:tc>
        <w:tc>
          <w:tcPr>
            <w:tcW w:type="dxa" w:w="4320"/>
          </w:tcPr>
          <w:p>
            <w:r/>
            <w:r>
              <w:rPr>
                <w:sz w:val="18"/>
              </w:rPr>
              <w:t>Added to the target automatically.</w:t>
            </w:r>
          </w:p>
        </w:tc>
      </w:tr>
      <w:tr>
        <w:tc>
          <w:tcPr>
            <w:tcW w:type="dxa" w:w="4320"/>
            <w:shd w:val="clear" w:fill="F7F9FB"/>
          </w:tcPr>
          <w:p>
            <w:r/>
            <w:r>
              <w:rPr>
                <w:sz w:val="18"/>
              </w:rPr>
              <w:t>Rename a column, or several columns</w:t>
            </w:r>
          </w:p>
        </w:tc>
        <w:tc>
          <w:tcPr>
            <w:tcW w:type="dxa" w:w="4320"/>
            <w:shd w:val="clear" w:fill="F7F9FB"/>
          </w:tcPr>
          <w:p>
            <w:r/>
            <w:r>
              <w:rPr>
                <w:sz w:val="18"/>
              </w:rPr>
              <w:t>Renamed on the target automatically, preserving the column's data.</w:t>
            </w:r>
          </w:p>
        </w:tc>
      </w:tr>
      <w:tr>
        <w:tc>
          <w:tcPr>
            <w:tcW w:type="dxa" w:w="4320"/>
          </w:tcPr>
          <w:p>
            <w:r/>
            <w:r>
              <w:rPr>
                <w:sz w:val="18"/>
              </w:rPr>
              <w:t>Rename and add columns in the same change</w:t>
            </w:r>
          </w:p>
        </w:tc>
        <w:tc>
          <w:tcPr>
            <w:tcW w:type="dxa" w:w="4320"/>
          </w:tcPr>
          <w:p>
            <w:r/>
            <w:r>
              <w:rPr>
                <w:sz w:val="18"/>
              </w:rPr>
              <w:t>Both applied correctly.</w:t>
            </w:r>
          </w:p>
        </w:tc>
      </w:tr>
    </w:tbl>
    <w:p>
      <w:pPr>
        <w:spacing w:after="40"/>
      </w:pPr>
    </w:p>
    <w:p>
      <w:r>
        <w:rPr>
          <w:b w:val="0"/>
          <w:i w:val="0"/>
        </w:rPr>
        <w:t>Rename detection relies on column ordering: because every column is present on each change row, a renamed column keeps its position while an added column appears at the end. The pipeline uses this to apply a true rename that preserves data. You can also declare a rename explicitly in the table configuration.</w:t>
      </w:r>
    </w:p>
    <w:p>
      <w:pPr>
        <w:pStyle w:val="Heading2"/>
      </w:pPr>
      <w:r>
        <w:t>Require an action</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Schema change</w:t>
            </w:r>
          </w:p>
        </w:tc>
        <w:tc>
          <w:tcPr>
            <w:tcW w:type="dxa" w:w="2880"/>
            <w:shd w:val="clear" w:fill="0F2B46"/>
          </w:tcPr>
          <w:p>
            <w:r/>
            <w:r>
              <w:rPr>
                <w:b/>
                <w:color w:val="FFFFFF"/>
                <w:sz w:val="19"/>
              </w:rPr>
              <w:t>Behavior</w:t>
            </w:r>
          </w:p>
        </w:tc>
        <w:tc>
          <w:tcPr>
            <w:tcW w:type="dxa" w:w="2880"/>
            <w:shd w:val="clear" w:fill="0F2B46"/>
          </w:tcPr>
          <w:p>
            <w:r/>
            <w:r>
              <w:rPr>
                <w:b/>
                <w:color w:val="FFFFFF"/>
                <w:sz w:val="19"/>
              </w:rPr>
              <w:t>Guidance</w:t>
            </w:r>
          </w:p>
        </w:tc>
      </w:tr>
      <w:tr>
        <w:tc>
          <w:tcPr>
            <w:tcW w:type="dxa" w:w="2880"/>
          </w:tcPr>
          <w:p>
            <w:r/>
            <w:r>
              <w:rPr>
                <w:sz w:val="18"/>
              </w:rPr>
              <w:t>Drop a column</w:t>
            </w:r>
          </w:p>
        </w:tc>
        <w:tc>
          <w:tcPr>
            <w:tcW w:type="dxa" w:w="2880"/>
          </w:tcPr>
          <w:p>
            <w:r/>
            <w:r>
              <w:rPr>
                <w:sz w:val="18"/>
              </w:rPr>
              <w:t>The column is retained on the target and receives null values for subsequent changes. If the change data omits a column that still exists on the target, the pipeline pauses that table rather than silently null a real value.</w:t>
            </w:r>
          </w:p>
        </w:tc>
        <w:tc>
          <w:tcPr>
            <w:tcW w:type="dxa" w:w="2880"/>
          </w:tcPr>
          <w:p>
            <w:r/>
            <w:r>
              <w:rPr>
                <w:sz w:val="18"/>
              </w:rPr>
              <w:t>If you intend to drop the column, drop it on the Aurora DSQL target as well. If a table pauses because a column is missing from the change data, resolve the mismatch and clear the table's control record to resume. Other tables continue.</w:t>
            </w:r>
          </w:p>
        </w:tc>
      </w:tr>
      <w:tr>
        <w:tc>
          <w:tcPr>
            <w:tcW w:type="dxa" w:w="2880"/>
            <w:shd w:val="clear" w:fill="F7F9FB"/>
          </w:tcPr>
          <w:p>
            <w:r/>
            <w:r>
              <w:rPr>
                <w:sz w:val="18"/>
              </w:rPr>
              <w:t>Change a column's data type</w:t>
            </w:r>
          </w:p>
        </w:tc>
        <w:tc>
          <w:tcPr>
            <w:tcW w:type="dxa" w:w="2880"/>
            <w:shd w:val="clear" w:fill="F7F9FB"/>
          </w:tcPr>
          <w:p>
            <w:r/>
            <w:r>
              <w:rPr>
                <w:sz w:val="18"/>
              </w:rPr>
              <w:t>The change is not detected by the schema comparison, which compares names.</w:t>
            </w:r>
          </w:p>
        </w:tc>
        <w:tc>
          <w:tcPr>
            <w:tcW w:type="dxa" w:w="2880"/>
            <w:shd w:val="clear" w:fill="F7F9FB"/>
          </w:tcPr>
          <w:p>
            <w:r/>
            <w:r>
              <w:rPr>
                <w:sz w:val="18"/>
              </w:rPr>
              <w:t>Avoid in-place type changes during migration. If unavoidable, change the target column type and re-apply the affected rows.</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Sequence every schema change with a following data change</w:t>
            </w:r>
          </w:p>
          <w:p>
            <w:pPr>
              <w:spacing w:after="0"/>
            </w:pPr>
            <w:r>
              <w:rPr>
                <w:sz w:val="19"/>
              </w:rPr>
              <w:t>Because AWS DMS surfaces a schema change only on the next data row for a table, always follow a schema change with a data modification so the change propagates promptly.</w:t>
            </w:r>
          </w:p>
        </w:tc>
      </w:tr>
    </w:tbl>
    <w:p>
      <w:pPr>
        <w:spacing w:after="40"/>
      </w:pPr>
    </w:p>
    <w:p>
      <w:pPr>
        <w:pStyle w:val="Heading1"/>
      </w:pPr>
      <w:r>
        <w:t>Data Type Handling</w:t>
      </w:r>
    </w:p>
    <w:p>
      <w:r>
        <w:rPr>
          <w:b w:val="0"/>
          <w:i w:val="0"/>
        </w:rPr>
        <w:t>The pipeline preserves values across a broad range of data types. The following are handled reliably: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Category</w:t>
            </w:r>
          </w:p>
        </w:tc>
        <w:tc>
          <w:tcPr>
            <w:tcW w:type="dxa" w:w="4320"/>
            <w:shd w:val="clear" w:fill="0F2B46"/>
          </w:tcPr>
          <w:p>
            <w:r/>
            <w:r>
              <w:rPr>
                <w:b/>
                <w:color w:val="FFFFFF"/>
                <w:sz w:val="19"/>
              </w:rPr>
              <w:t>Behavior</w:t>
            </w:r>
          </w:p>
        </w:tc>
      </w:tr>
      <w:tr>
        <w:tc>
          <w:tcPr>
            <w:tcW w:type="dxa" w:w="4320"/>
          </w:tcPr>
          <w:p>
            <w:r/>
            <w:r>
              <w:rPr>
                <w:sz w:val="18"/>
              </w:rPr>
              <w:t>Null values</w:t>
            </w:r>
          </w:p>
        </w:tc>
        <w:tc>
          <w:tcPr>
            <w:tcW w:type="dxa" w:w="4320"/>
          </w:tcPr>
          <w:p>
            <w:r/>
            <w:r>
              <w:rPr>
                <w:sz w:val="18"/>
              </w:rPr>
              <w:t>Preserved.</w:t>
            </w:r>
          </w:p>
        </w:tc>
      </w:tr>
      <w:tr>
        <w:tc>
          <w:tcPr>
            <w:tcW w:type="dxa" w:w="4320"/>
            <w:shd w:val="clear" w:fill="F7F9FB"/>
          </w:tcPr>
          <w:p>
            <w:r/>
            <w:r>
              <w:rPr>
                <w:sz w:val="18"/>
              </w:rPr>
              <w:t>Boolean values</w:t>
            </w:r>
          </w:p>
        </w:tc>
        <w:tc>
          <w:tcPr>
            <w:tcW w:type="dxa" w:w="4320"/>
            <w:shd w:val="clear" w:fill="F7F9FB"/>
          </w:tcPr>
          <w:p>
            <w:r/>
            <w:r>
              <w:rPr>
                <w:sz w:val="18"/>
              </w:rPr>
              <w:t>Preserved.</w:t>
            </w:r>
          </w:p>
        </w:tc>
      </w:tr>
      <w:tr>
        <w:tc>
          <w:tcPr>
            <w:tcW w:type="dxa" w:w="4320"/>
          </w:tcPr>
          <w:p>
            <w:r/>
            <w:r>
              <w:rPr>
                <w:sz w:val="18"/>
              </w:rPr>
              <w:t>Numeric and integer values, including boundary values</w:t>
            </w:r>
          </w:p>
        </w:tc>
        <w:tc>
          <w:tcPr>
            <w:tcW w:type="dxa" w:w="4320"/>
          </w:tcPr>
          <w:p>
            <w:r/>
            <w:r>
              <w:rPr>
                <w:sz w:val="18"/>
              </w:rPr>
              <w:t>Preserved exactly.</w:t>
            </w:r>
          </w:p>
        </w:tc>
      </w:tr>
      <w:tr>
        <w:tc>
          <w:tcPr>
            <w:tcW w:type="dxa" w:w="4320"/>
            <w:shd w:val="clear" w:fill="F7F9FB"/>
          </w:tcPr>
          <w:p>
            <w:r/>
            <w:r>
              <w:rPr>
                <w:sz w:val="18"/>
              </w:rPr>
              <w:t>Text, including commas, quotation marks, line breaks, tabs, Unicode, and empty strings</w:t>
            </w:r>
          </w:p>
        </w:tc>
        <w:tc>
          <w:tcPr>
            <w:tcW w:type="dxa" w:w="4320"/>
            <w:shd w:val="clear" w:fill="F7F9FB"/>
          </w:tcPr>
          <w:p>
            <w:r/>
            <w:r>
              <w:rPr>
                <w:sz w:val="18"/>
              </w:rPr>
              <w:t>Preserved exactly, including leading and trailing whitespace.</w:t>
            </w:r>
          </w:p>
        </w:tc>
      </w:tr>
      <w:tr>
        <w:tc>
          <w:tcPr>
            <w:tcW w:type="dxa" w:w="4320"/>
          </w:tcPr>
          <w:p>
            <w:r/>
            <w:r>
              <w:rPr>
                <w:sz w:val="18"/>
              </w:rPr>
              <w:t>Character large objects (CLOB and equivalent)</w:t>
            </w:r>
          </w:p>
        </w:tc>
        <w:tc>
          <w:tcPr>
            <w:tcW w:type="dxa" w:w="4320"/>
          </w:tcPr>
          <w:p>
            <w:r/>
            <w:r>
              <w:rPr>
                <w:sz w:val="18"/>
              </w:rPr>
              <w:t>Preserved exactly, including internal and surrounding whitespace and line breaks.</w:t>
            </w:r>
          </w:p>
        </w:tc>
      </w:tr>
      <w:tr>
        <w:tc>
          <w:tcPr>
            <w:tcW w:type="dxa" w:w="4320"/>
            <w:shd w:val="clear" w:fill="F7F9FB"/>
          </w:tcPr>
          <w:p>
            <w:r/>
            <w:r>
              <w:rPr>
                <w:sz w:val="18"/>
              </w:rPr>
              <w:t>Timestamps with a time zone offset</w:t>
            </w:r>
          </w:p>
        </w:tc>
        <w:tc>
          <w:tcPr>
            <w:tcW w:type="dxa" w:w="4320"/>
            <w:shd w:val="clear" w:fill="F7F9FB"/>
          </w:tcPr>
          <w:p>
            <w:r/>
            <w:r>
              <w:rPr>
                <w:sz w:val="18"/>
              </w:rPr>
              <w:t>Converted to the equivalent UTC instant, consistent with Aurora DSQL's UTC storage.</w:t>
            </w:r>
          </w:p>
        </w:tc>
      </w:tr>
      <w:tr>
        <w:tc>
          <w:tcPr>
            <w:tcW w:type="dxa" w:w="4320"/>
          </w:tcPr>
          <w:p>
            <w:r/>
            <w:r>
              <w:rPr>
                <w:sz w:val="18"/>
              </w:rPr>
              <w:t>Wide tables (many columns)</w:t>
            </w:r>
          </w:p>
        </w:tc>
        <w:tc>
          <w:tcPr>
            <w:tcW w:type="dxa" w:w="4320"/>
          </w:tcPr>
          <w:p>
            <w:r/>
            <w:r>
              <w:rPr>
                <w:sz w:val="18"/>
              </w:rPr>
              <w:t>Loaded and validated correctly.</w:t>
            </w:r>
          </w:p>
        </w:tc>
      </w:tr>
      <w:tr>
        <w:tc>
          <w:tcPr>
            <w:tcW w:type="dxa" w:w="4320"/>
            <w:shd w:val="clear" w:fill="F7F9FB"/>
          </w:tcPr>
          <w:p>
            <w:r/>
            <w:r>
              <w:rPr>
                <w:sz w:val="18"/>
              </w:rPr>
              <w:t>Repeated updates and delete-then-reinsert on the same key</w:t>
            </w:r>
          </w:p>
        </w:tc>
        <w:tc>
          <w:tcPr>
            <w:tcW w:type="dxa" w:w="4320"/>
            <w:shd w:val="clear" w:fill="F7F9FB"/>
          </w:tcPr>
          <w:p>
            <w:r/>
            <w:r>
              <w:rPr>
                <w:sz w:val="18"/>
              </w:rPr>
              <w:t>Converge to the correct final state.</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Time zone conversion</w:t>
            </w:r>
          </w:p>
          <w:p>
            <w:pPr>
              <w:spacing w:after="0"/>
            </w:pPr>
            <w:r>
              <w:rPr>
                <w:sz w:val="19"/>
              </w:rPr>
              <w:t>Aurora DSQL stores timezone-aware values in UTC. A source timestamp such as 12:30 at an offset of +05:30 is stored as its UTC equivalent (07:00 UTC). This applies consistently on both full load and CDC.</w:t>
            </w:r>
          </w:p>
        </w:tc>
      </w:tr>
    </w:tbl>
    <w:p>
      <w:pPr>
        <w:spacing w:after="40"/>
      </w:pPr>
    </w:p>
    <w:p>
      <w:pPr>
        <w:pStyle w:val="Heading2"/>
      </w:pPr>
      <w:r>
        <w:t>Boundary consideration</w:t>
      </w:r>
    </w:p>
    <w:p>
      <w:r>
        <w:rPr>
          <w:b w:val="0"/>
          <w:i w:val="0"/>
        </w:rPr>
        <w:t>Subnormal (denormalized) floating-point values near the smallest representable magnitude (approximately 1e-308) can lose precision and resolve to zero. These values are rare in operational data. If your workload relies on them, use a higher-precision representation for the affected column.</w:t>
      </w:r>
    </w:p>
    <w:p>
      <w:pPr>
        <w:pStyle w:val="Heading1"/>
      </w:pPr>
      <w:r>
        <w:t>Validation Coverage</w:t>
      </w:r>
    </w:p>
    <w:p>
      <w:r>
        <w:rPr>
          <w:b w:val="0"/>
          <w:i w:val="0"/>
        </w:rPr>
        <w:t>The validation job confirms every table by row count, and additionally verifies content by checksum on tables whose primary key can be ranged.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Primary key</w:t>
            </w:r>
          </w:p>
        </w:tc>
        <w:tc>
          <w:tcPr>
            <w:tcW w:type="dxa" w:w="2880"/>
            <w:shd w:val="clear" w:fill="0F2B46"/>
          </w:tcPr>
          <w:p>
            <w:r/>
            <w:r>
              <w:rPr>
                <w:b/>
                <w:color w:val="FFFFFF"/>
                <w:sz w:val="19"/>
              </w:rPr>
              <w:t>Row count</w:t>
            </w:r>
          </w:p>
        </w:tc>
        <w:tc>
          <w:tcPr>
            <w:tcW w:type="dxa" w:w="2880"/>
            <w:shd w:val="clear" w:fill="0F2B46"/>
          </w:tcPr>
          <w:p>
            <w:r/>
            <w:r>
              <w:rPr>
                <w:b/>
                <w:color w:val="FFFFFF"/>
                <w:sz w:val="19"/>
              </w:rPr>
              <w:t>Content checksum</w:t>
            </w:r>
          </w:p>
        </w:tc>
      </w:tr>
      <w:tr>
        <w:tc>
          <w:tcPr>
            <w:tcW w:type="dxa" w:w="2880"/>
          </w:tcPr>
          <w:p>
            <w:r/>
            <w:r>
              <w:rPr>
                <w:sz w:val="18"/>
              </w:rPr>
              <w:t>Single-column integer</w:t>
            </w:r>
          </w:p>
        </w:tc>
        <w:tc>
          <w:tcPr>
            <w:tcW w:type="dxa" w:w="2880"/>
          </w:tcPr>
          <w:p>
            <w:r/>
            <w:r>
              <w:rPr>
                <w:sz w:val="18"/>
              </w:rPr>
              <w:t>Verified</w:t>
            </w:r>
          </w:p>
        </w:tc>
        <w:tc>
          <w:tcPr>
            <w:tcW w:type="dxa" w:w="2880"/>
          </w:tcPr>
          <w:p>
            <w:r/>
            <w:r>
              <w:rPr>
                <w:sz w:val="18"/>
              </w:rPr>
              <w:t>Verified</w:t>
            </w:r>
          </w:p>
        </w:tc>
      </w:tr>
      <w:tr>
        <w:tc>
          <w:tcPr>
            <w:tcW w:type="dxa" w:w="2880"/>
            <w:shd w:val="clear" w:fill="F7F9FB"/>
          </w:tcPr>
          <w:p>
            <w:r/>
            <w:r>
              <w:rPr>
                <w:sz w:val="18"/>
              </w:rPr>
              <w:t>Single-column UUID</w:t>
            </w:r>
          </w:p>
        </w:tc>
        <w:tc>
          <w:tcPr>
            <w:tcW w:type="dxa" w:w="2880"/>
            <w:shd w:val="clear" w:fill="F7F9FB"/>
          </w:tcPr>
          <w:p>
            <w:r/>
            <w:r>
              <w:rPr>
                <w:sz w:val="18"/>
              </w:rPr>
              <w:t>Verified</w:t>
            </w:r>
          </w:p>
        </w:tc>
        <w:tc>
          <w:tcPr>
            <w:tcW w:type="dxa" w:w="2880"/>
            <w:shd w:val="clear" w:fill="F7F9FB"/>
          </w:tcPr>
          <w:p>
            <w:r/>
            <w:r>
              <w:rPr>
                <w:sz w:val="18"/>
              </w:rPr>
              <w:t>Verified</w:t>
            </w:r>
          </w:p>
        </w:tc>
      </w:tr>
      <w:tr>
        <w:tc>
          <w:tcPr>
            <w:tcW w:type="dxa" w:w="2880"/>
          </w:tcPr>
          <w:p>
            <w:r/>
            <w:r>
              <w:rPr>
                <w:sz w:val="18"/>
              </w:rPr>
              <w:t>Composite (multiple columns)</w:t>
            </w:r>
          </w:p>
        </w:tc>
        <w:tc>
          <w:tcPr>
            <w:tcW w:type="dxa" w:w="2880"/>
          </w:tcPr>
          <w:p>
            <w:r/>
            <w:r>
              <w:rPr>
                <w:sz w:val="18"/>
              </w:rPr>
              <w:t>Verified</w:t>
            </w:r>
          </w:p>
        </w:tc>
        <w:tc>
          <w:tcPr>
            <w:tcW w:type="dxa" w:w="2880"/>
          </w:tcPr>
          <w:p>
            <w:r/>
            <w:r>
              <w:rPr>
                <w:sz w:val="18"/>
              </w:rPr>
              <w:t>Not verified</w:t>
            </w:r>
          </w:p>
        </w:tc>
      </w:tr>
      <w:tr>
        <w:tc>
          <w:tcPr>
            <w:tcW w:type="dxa" w:w="2880"/>
            <w:shd w:val="clear" w:fill="F7F9FB"/>
          </w:tcPr>
          <w:p>
            <w:r/>
            <w:r>
              <w:rPr>
                <w:sz w:val="18"/>
              </w:rPr>
              <w:t>Single-column fractional numeric</w:t>
            </w:r>
          </w:p>
        </w:tc>
        <w:tc>
          <w:tcPr>
            <w:tcW w:type="dxa" w:w="2880"/>
            <w:shd w:val="clear" w:fill="F7F9FB"/>
          </w:tcPr>
          <w:p>
            <w:r/>
            <w:r>
              <w:rPr>
                <w:sz w:val="18"/>
              </w:rPr>
              <w:t>Verified</w:t>
            </w:r>
          </w:p>
        </w:tc>
        <w:tc>
          <w:tcPr>
            <w:tcW w:type="dxa" w:w="2880"/>
            <w:shd w:val="clear" w:fill="F7F9FB"/>
          </w:tcPr>
          <w:p>
            <w:r/>
            <w:r>
              <w:rPr>
                <w:sz w:val="18"/>
              </w:rPr>
              <w:t>Not verified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Content verification for composite-key tables</w:t>
            </w:r>
          </w:p>
          <w:p>
            <w:pPr>
              <w:spacing w:after="0"/>
            </w:pPr>
            <w:r>
              <w:rPr>
                <w:sz w:val="19"/>
              </w:rPr>
              <w:t>Tables with a composite or fractional-numeric primary key are verified by row count. Row counts confirm completeness; for content assurance on these tables, use an application-level or sampled comparison. Where content checksums apply, they cover text content.</w:t>
            </w:r>
          </w:p>
        </w:tc>
      </w:tr>
    </w:tbl>
    <w:p>
      <w:pPr>
        <w:spacing w:after="40"/>
      </w:pPr>
    </w:p>
    <w:p>
      <w:pPr>
        <w:pStyle w:val="Heading1"/>
      </w:pPr>
      <w:r>
        <w:t>Change Data Capture Prerequisites</w:t>
      </w:r>
    </w:p>
    <w:p>
      <w:pPr>
        <w:pStyle w:val="Heading2"/>
      </w:pPr>
      <w:r>
        <w:t>Source schema must exist before CDC is configured</w:t>
      </w:r>
    </w:p>
    <w:p>
      <w:r>
        <w:rPr>
          <w:b w:val="0"/>
          <w:i w:val="0"/>
        </w:rPr>
        <w:t>AWS DMS uses the source database's change stream to capture ongoing changes. A schema created after CDC was configured on the source may not be resolvable from the change stream, in which case full load and validation succeed for that schema but ongoing CDC captures no changes for it.</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Guidance</w:t>
            </w:r>
          </w:p>
          <w:p>
            <w:pPr>
              <w:spacing w:after="0"/>
            </w:pPr>
            <w:r>
              <w:rPr>
                <w:sz w:val="19"/>
              </w:rPr>
              <w:t>Confirm that any schema you intend to replicate existed before CDC was configured on the source. If a schema was created afterward, have the database administrator refresh the source's change-capture configuration so the schema is included. The pre-migration assessment includes a CDC readiness check.</w:t>
            </w:r>
          </w:p>
        </w:tc>
      </w:tr>
    </w:tbl>
    <w:p>
      <w:pPr>
        <w:spacing w:after="40"/>
      </w:pPr>
    </w:p>
    <w:p>
      <w:pPr>
        <w:pStyle w:val="Heading2"/>
      </w:pPr>
      <w:r>
        <w:t>Tables with and without a primary key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Table</w:t>
            </w:r>
          </w:p>
        </w:tc>
        <w:tc>
          <w:tcPr>
            <w:tcW w:type="dxa" w:w="4320"/>
            <w:shd w:val="clear" w:fill="0F2B46"/>
          </w:tcPr>
          <w:p>
            <w:r/>
            <w:r>
              <w:rPr>
                <w:b/>
                <w:color w:val="FFFFFF"/>
                <w:sz w:val="19"/>
              </w:rPr>
              <w:t>CDC behavior</w:t>
            </w:r>
          </w:p>
        </w:tc>
      </w:tr>
      <w:tr>
        <w:tc>
          <w:tcPr>
            <w:tcW w:type="dxa" w:w="4320"/>
          </w:tcPr>
          <w:p>
            <w:r/>
            <w:r>
              <w:rPr>
                <w:sz w:val="18"/>
              </w:rPr>
              <w:t>Has a primary key (or a declared logical key)</w:t>
            </w:r>
          </w:p>
        </w:tc>
        <w:tc>
          <w:tcPr>
            <w:tcW w:type="dxa" w:w="4320"/>
          </w:tcPr>
          <w:p>
            <w:r/>
            <w:r>
              <w:rPr>
                <w:sz w:val="18"/>
              </w:rPr>
              <w:t>Inserts, updates, and deletes are applied.</w:t>
            </w:r>
          </w:p>
        </w:tc>
      </w:tr>
      <w:tr>
        <w:tc>
          <w:tcPr>
            <w:tcW w:type="dxa" w:w="4320"/>
            <w:shd w:val="clear" w:fill="F7F9FB"/>
          </w:tcPr>
          <w:p>
            <w:r/>
            <w:r>
              <w:rPr>
                <w:sz w:val="18"/>
              </w:rPr>
              <w:t>No primary key</w:t>
            </w:r>
          </w:p>
        </w:tc>
        <w:tc>
          <w:tcPr>
            <w:tcW w:type="dxa" w:w="4320"/>
            <w:shd w:val="clear" w:fill="F7F9FB"/>
          </w:tcPr>
          <w:p>
            <w:r/>
            <w:r>
              <w:rPr>
                <w:sz w:val="18"/>
              </w:rPr>
              <w:t>Inserts and deletes are applied; updates are recorded for review rather than applied.</w:t>
            </w:r>
          </w:p>
        </w:tc>
      </w:tr>
    </w:tbl>
    <w:p>
      <w:pPr>
        <w:spacing w:after="40"/>
      </w:pPr>
    </w:p>
    <w:p>
      <w:pPr>
        <w:pStyle w:val="Heading1"/>
      </w:pPr>
      <w:r>
        <w:t>Operational Guidance</w:t>
      </w:r>
    </w:p>
    <w:p>
      <w:r>
        <w:rPr>
          <w:b w:val="0"/>
          <w:i w:val="0"/>
        </w:rPr>
        <w:t>For a reliable reload, remove all prior state together — the per-table Amazon S3 objects (including processed and failed objects), the load-status and validation-report files, and the table's rows in the control tables — before rerunning. Reloading with some earlier state still present produces inconsistent results, because already-processed objects are skipped and tables marked complete are not reloaded.</w:t>
      </w:r>
    </w:p>
    <w:p>
      <w:pPr>
        <w:pStyle w:val="Heading1"/>
      </w:pPr>
      <w:r>
        <w:t>Summary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Area</w:t>
            </w:r>
          </w:p>
        </w:tc>
        <w:tc>
          <w:tcPr>
            <w:tcW w:type="dxa" w:w="2880"/>
            <w:shd w:val="clear" w:fill="0F2B46"/>
          </w:tcPr>
          <w:p>
            <w:r/>
            <w:r>
              <w:rPr>
                <w:b/>
                <w:color w:val="FFFFFF"/>
                <w:sz w:val="19"/>
              </w:rPr>
              <w:t>Behavior</w:t>
            </w:r>
          </w:p>
        </w:tc>
        <w:tc>
          <w:tcPr>
            <w:tcW w:type="dxa" w:w="2880"/>
            <w:shd w:val="clear" w:fill="0F2B46"/>
          </w:tcPr>
          <w:p>
            <w:r/>
            <w:r>
              <w:rPr>
                <w:b/>
                <w:color w:val="FFFFFF"/>
                <w:sz w:val="19"/>
              </w:rPr>
              <w:t>Action</w:t>
            </w:r>
          </w:p>
        </w:tc>
      </w:tr>
      <w:tr>
        <w:tc>
          <w:tcPr>
            <w:tcW w:type="dxa" w:w="2880"/>
          </w:tcPr>
          <w:p>
            <w:r/>
            <w:r>
              <w:rPr>
                <w:sz w:val="18"/>
              </w:rPr>
              <w:t>Add / rename columns</w:t>
            </w:r>
          </w:p>
        </w:tc>
        <w:tc>
          <w:tcPr>
            <w:tcW w:type="dxa" w:w="2880"/>
          </w:tcPr>
          <w:p>
            <w:r/>
            <w:r>
              <w:rPr>
                <w:sz w:val="18"/>
              </w:rPr>
              <w:t>Replicated automatically</w:t>
            </w:r>
          </w:p>
        </w:tc>
        <w:tc>
          <w:tcPr>
            <w:tcW w:type="dxa" w:w="2880"/>
          </w:tcPr>
          <w:p>
            <w:r/>
            <w:r>
              <w:rPr>
                <w:sz w:val="18"/>
              </w:rPr>
              <w:t>None</w:t>
            </w:r>
          </w:p>
        </w:tc>
      </w:tr>
      <w:tr>
        <w:tc>
          <w:tcPr>
            <w:tcW w:type="dxa" w:w="2880"/>
            <w:shd w:val="clear" w:fill="F7F9FB"/>
          </w:tcPr>
          <w:p>
            <w:r/>
            <w:r>
              <w:rPr>
                <w:sz w:val="18"/>
              </w:rPr>
              <w:t>Drop column</w:t>
            </w:r>
          </w:p>
        </w:tc>
        <w:tc>
          <w:tcPr>
            <w:tcW w:type="dxa" w:w="2880"/>
            <w:shd w:val="clear" w:fill="F7F9FB"/>
          </w:tcPr>
          <w:p>
            <w:r/>
            <w:r>
              <w:rPr>
                <w:sz w:val="18"/>
              </w:rPr>
              <w:t>Column retained and nulled; table pauses if change data omits a target column</w:t>
            </w:r>
          </w:p>
        </w:tc>
        <w:tc>
          <w:tcPr>
            <w:tcW w:type="dxa" w:w="2880"/>
            <w:shd w:val="clear" w:fill="F7F9FB"/>
          </w:tcPr>
          <w:p>
            <w:r/>
            <w:r>
              <w:rPr>
                <w:sz w:val="18"/>
              </w:rPr>
              <w:t>Drop on target if intended; otherwise resolve mismatch and clear control record</w:t>
            </w:r>
          </w:p>
        </w:tc>
      </w:tr>
      <w:tr>
        <w:tc>
          <w:tcPr>
            <w:tcW w:type="dxa" w:w="2880"/>
          </w:tcPr>
          <w:p>
            <w:r/>
            <w:r>
              <w:rPr>
                <w:sz w:val="18"/>
              </w:rPr>
              <w:t>Change column type</w:t>
            </w:r>
          </w:p>
        </w:tc>
        <w:tc>
          <w:tcPr>
            <w:tcW w:type="dxa" w:w="2880"/>
          </w:tcPr>
          <w:p>
            <w:r/>
            <w:r>
              <w:rPr>
                <w:sz w:val="18"/>
              </w:rPr>
              <w:t>Not detected</w:t>
            </w:r>
          </w:p>
        </w:tc>
        <w:tc>
          <w:tcPr>
            <w:tcW w:type="dxa" w:w="2880"/>
          </w:tcPr>
          <w:p>
            <w:r/>
            <w:r>
              <w:rPr>
                <w:sz w:val="18"/>
              </w:rPr>
              <w:t>Change target type and re-apply affected rows</w:t>
            </w:r>
          </w:p>
        </w:tc>
      </w:tr>
      <w:tr>
        <w:tc>
          <w:tcPr>
            <w:tcW w:type="dxa" w:w="2880"/>
            <w:shd w:val="clear" w:fill="F7F9FB"/>
          </w:tcPr>
          <w:p>
            <w:r/>
            <w:r>
              <w:rPr>
                <w:sz w:val="18"/>
              </w:rPr>
              <w:t>Schema change with no following data</w:t>
            </w:r>
          </w:p>
        </w:tc>
        <w:tc>
          <w:tcPr>
            <w:tcW w:type="dxa" w:w="2880"/>
            <w:shd w:val="clear" w:fill="F7F9FB"/>
          </w:tcPr>
          <w:p>
            <w:r/>
            <w:r>
              <w:rPr>
                <w:sz w:val="18"/>
              </w:rPr>
              <w:t>Propagates on the next change</w:t>
            </w:r>
          </w:p>
        </w:tc>
        <w:tc>
          <w:tcPr>
            <w:tcW w:type="dxa" w:w="2880"/>
            <w:shd w:val="clear" w:fill="F7F9FB"/>
          </w:tcPr>
          <w:p>
            <w:r/>
            <w:r>
              <w:rPr>
                <w:sz w:val="18"/>
              </w:rPr>
              <w:t>Follow schema changes with a data change</w:t>
            </w:r>
          </w:p>
        </w:tc>
      </w:tr>
      <w:tr>
        <w:tc>
          <w:tcPr>
            <w:tcW w:type="dxa" w:w="2880"/>
          </w:tcPr>
          <w:p>
            <w:r/>
            <w:r>
              <w:rPr>
                <w:sz w:val="18"/>
              </w:rPr>
              <w:t>Timestamps with offset</w:t>
            </w:r>
          </w:p>
        </w:tc>
        <w:tc>
          <w:tcPr>
            <w:tcW w:type="dxa" w:w="2880"/>
          </w:tcPr>
          <w:p>
            <w:r/>
            <w:r>
              <w:rPr>
                <w:sz w:val="18"/>
              </w:rPr>
              <w:t>Converted to UTC</w:t>
            </w:r>
          </w:p>
        </w:tc>
        <w:tc>
          <w:tcPr>
            <w:tcW w:type="dxa" w:w="2880"/>
          </w:tcPr>
          <w:p>
            <w:r/>
            <w:r>
              <w:rPr>
                <w:sz w:val="18"/>
              </w:rPr>
              <w:t>None</w:t>
            </w:r>
          </w:p>
        </w:tc>
      </w:tr>
      <w:tr>
        <w:tc>
          <w:tcPr>
            <w:tcW w:type="dxa" w:w="2880"/>
            <w:shd w:val="clear" w:fill="F7F9FB"/>
          </w:tcPr>
          <w:p>
            <w:r/>
            <w:r>
              <w:rPr>
                <w:sz w:val="18"/>
              </w:rPr>
              <w:t>Text, CLOB, whitespace</w:t>
            </w:r>
          </w:p>
        </w:tc>
        <w:tc>
          <w:tcPr>
            <w:tcW w:type="dxa" w:w="2880"/>
            <w:shd w:val="clear" w:fill="F7F9FB"/>
          </w:tcPr>
          <w:p>
            <w:r/>
            <w:r>
              <w:rPr>
                <w:sz w:val="18"/>
              </w:rPr>
              <w:t>Preserved exactly</w:t>
            </w:r>
          </w:p>
        </w:tc>
        <w:tc>
          <w:tcPr>
            <w:tcW w:type="dxa" w:w="2880"/>
            <w:shd w:val="clear" w:fill="F7F9FB"/>
          </w:tcPr>
          <w:p>
            <w:r/>
            <w:r>
              <w:rPr>
                <w:sz w:val="18"/>
              </w:rPr>
              <w:t>None</w:t>
            </w:r>
          </w:p>
        </w:tc>
      </w:tr>
      <w:tr>
        <w:tc>
          <w:tcPr>
            <w:tcW w:type="dxa" w:w="2880"/>
          </w:tcPr>
          <w:p>
            <w:r/>
            <w:r>
              <w:rPr>
                <w:sz w:val="18"/>
              </w:rPr>
              <w:t>Subnormal floating point (~1e-308)</w:t>
            </w:r>
          </w:p>
        </w:tc>
        <w:tc>
          <w:tcPr>
            <w:tcW w:type="dxa" w:w="2880"/>
          </w:tcPr>
          <w:p>
            <w:r/>
            <w:r>
              <w:rPr>
                <w:sz w:val="18"/>
              </w:rPr>
              <w:t>May resolve to zero</w:t>
            </w:r>
          </w:p>
        </w:tc>
        <w:tc>
          <w:tcPr>
            <w:tcW w:type="dxa" w:w="2880"/>
          </w:tcPr>
          <w:p>
            <w:r/>
            <w:r>
              <w:rPr>
                <w:sz w:val="18"/>
              </w:rPr>
              <w:t>Use higher precision if required</w:t>
            </w:r>
          </w:p>
        </w:tc>
      </w:tr>
      <w:tr>
        <w:tc>
          <w:tcPr>
            <w:tcW w:type="dxa" w:w="2880"/>
            <w:shd w:val="clear" w:fill="F7F9FB"/>
          </w:tcPr>
          <w:p>
            <w:r/>
            <w:r>
              <w:rPr>
                <w:sz w:val="18"/>
              </w:rPr>
              <w:t>Composite / fractional-key tables</w:t>
            </w:r>
          </w:p>
        </w:tc>
        <w:tc>
          <w:tcPr>
            <w:tcW w:type="dxa" w:w="2880"/>
            <w:shd w:val="clear" w:fill="F7F9FB"/>
          </w:tcPr>
          <w:p>
            <w:r/>
            <w:r>
              <w:rPr>
                <w:sz w:val="18"/>
              </w:rPr>
              <w:t>Row-count validated</w:t>
            </w:r>
          </w:p>
        </w:tc>
        <w:tc>
          <w:tcPr>
            <w:tcW w:type="dxa" w:w="2880"/>
            <w:shd w:val="clear" w:fill="F7F9FB"/>
          </w:tcPr>
          <w:p>
            <w:r/>
            <w:r>
              <w:rPr>
                <w:sz w:val="18"/>
              </w:rPr>
              <w:t>Add content check if required</w:t>
            </w:r>
          </w:p>
        </w:tc>
      </w:tr>
      <w:tr>
        <w:tc>
          <w:tcPr>
            <w:tcW w:type="dxa" w:w="2880"/>
          </w:tcPr>
          <w:p>
            <w:r/>
            <w:r>
              <w:rPr>
                <w:sz w:val="18"/>
              </w:rPr>
              <w:t>Schema created after CDC setup</w:t>
            </w:r>
          </w:p>
        </w:tc>
        <w:tc>
          <w:tcPr>
            <w:tcW w:type="dxa" w:w="2880"/>
          </w:tcPr>
          <w:p>
            <w:r/>
            <w:r>
              <w:rPr>
                <w:sz w:val="18"/>
              </w:rPr>
              <w:t>Not captured by CDC</w:t>
            </w:r>
          </w:p>
        </w:tc>
        <w:tc>
          <w:tcPr>
            <w:tcW w:type="dxa" w:w="2880"/>
          </w:tcPr>
          <w:p>
            <w:r/>
            <w:r>
              <w:rPr>
                <w:sz w:val="18"/>
              </w:rPr>
              <w:t>Refresh source change-capture configuration</w:t>
            </w:r>
          </w:p>
        </w:tc>
      </w:tr>
      <w:tr>
        <w:tc>
          <w:tcPr>
            <w:tcW w:type="dxa" w:w="2880"/>
            <w:shd w:val="clear" w:fill="F7F9FB"/>
          </w:tcPr>
          <w:p>
            <w:r/>
            <w:r>
              <w:rPr>
                <w:sz w:val="18"/>
              </w:rPr>
              <w:t>Tables without a primary key</w:t>
            </w:r>
          </w:p>
        </w:tc>
        <w:tc>
          <w:tcPr>
            <w:tcW w:type="dxa" w:w="2880"/>
            <w:shd w:val="clear" w:fill="F7F9FB"/>
          </w:tcPr>
          <w:p>
            <w:r/>
            <w:r>
              <w:rPr>
                <w:sz w:val="18"/>
              </w:rPr>
              <w:t>Inserts and deletes applied</w:t>
            </w:r>
          </w:p>
        </w:tc>
        <w:tc>
          <w:tcPr>
            <w:tcW w:type="dxa" w:w="2880"/>
            <w:shd w:val="clear" w:fill="F7F9FB"/>
          </w:tcPr>
          <w:p>
            <w:r/>
            <w:r>
              <w:rPr>
                <w:sz w:val="18"/>
              </w:rPr>
              <w:t>Review recorded skipped updates</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Considerations and Limitations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