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070" w:type="dxa"/>
        <w:tblCellSpacing w:w="15" w:type="dxa"/>
        <w:shd w:val="clear" w:color="auto" w:fill="F1F4F9"/>
        <w:tblCellMar>
          <w:top w:w="15" w:type="dxa"/>
          <w:left w:w="15" w:type="dxa"/>
          <w:bottom w:w="15" w:type="dxa"/>
          <w:right w:w="15" w:type="dxa"/>
        </w:tblCellMar>
        <w:tblLook w:val="04A0" w:firstRow="1" w:lastRow="0" w:firstColumn="1" w:lastColumn="0" w:noHBand="0" w:noVBand="1"/>
      </w:tblPr>
      <w:tblGrid>
        <w:gridCol w:w="17070"/>
      </w:tblGrid>
      <w:tr w:rsidR="008015B3" w:rsidRPr="008015B3" w:rsidTr="008015B3">
        <w:trPr>
          <w:tblCellSpacing w:w="15" w:type="dxa"/>
        </w:trPr>
        <w:tc>
          <w:tcPr>
            <w:tcW w:w="0" w:type="auto"/>
            <w:shd w:val="clear" w:color="auto" w:fill="F1F4F9"/>
            <w:hideMark/>
          </w:tcPr>
          <w:tbl>
            <w:tblPr>
              <w:tblW w:w="10774" w:type="dxa"/>
              <w:tblCellMar>
                <w:left w:w="0" w:type="dxa"/>
                <w:right w:w="0" w:type="dxa"/>
              </w:tblCellMar>
              <w:tblLook w:val="04A0" w:firstRow="1" w:lastRow="0" w:firstColumn="1" w:lastColumn="0" w:noHBand="0" w:noVBand="1"/>
            </w:tblPr>
            <w:tblGrid>
              <w:gridCol w:w="4971"/>
              <w:gridCol w:w="5803"/>
            </w:tblGrid>
            <w:tr w:rsidR="008015B3" w:rsidRPr="008015B3">
              <w:tc>
                <w:tcPr>
                  <w:tcW w:w="4971" w:type="dxa"/>
                  <w:tcMar>
                    <w:top w:w="0" w:type="dxa"/>
                    <w:left w:w="108" w:type="dxa"/>
                    <w:bottom w:w="0" w:type="dxa"/>
                    <w:right w:w="108" w:type="dxa"/>
                  </w:tcMar>
                  <w:hideMark/>
                </w:tcPr>
                <w:p w:rsidR="008015B3" w:rsidRPr="008015B3" w:rsidRDefault="008015B3" w:rsidP="008015B3">
                  <w:pPr>
                    <w:spacing w:before="150" w:after="150" w:line="240" w:lineRule="auto"/>
                    <w:jc w:val="center"/>
                    <w:rPr>
                      <w:rFonts w:ascii="Times New Roman" w:eastAsia="Times New Roman" w:hAnsi="Times New Roman" w:cs="Times New Roman"/>
                      <w:sz w:val="17"/>
                      <w:szCs w:val="17"/>
                    </w:rPr>
                  </w:pPr>
                  <w:r w:rsidRPr="008015B3">
                    <w:rPr>
                      <w:rFonts w:ascii="Tahoma" w:eastAsia="Times New Roman" w:hAnsi="Tahoma" w:cs="Tahoma"/>
                      <w:sz w:val="20"/>
                      <w:szCs w:val="20"/>
                    </w:rPr>
                    <w:t>ĐẠI HỌC QUỐC GIA TP.HCM</w:t>
                  </w:r>
                </w:p>
                <w:p w:rsidR="008015B3" w:rsidRPr="008015B3" w:rsidRDefault="008015B3" w:rsidP="008015B3">
                  <w:pPr>
                    <w:spacing w:before="150" w:after="150" w:line="240" w:lineRule="auto"/>
                    <w:jc w:val="center"/>
                    <w:rPr>
                      <w:rFonts w:ascii="Times New Roman" w:eastAsia="Times New Roman" w:hAnsi="Times New Roman" w:cs="Times New Roman"/>
                      <w:sz w:val="17"/>
                      <w:szCs w:val="17"/>
                    </w:rPr>
                  </w:pPr>
                  <w:r w:rsidRPr="008015B3">
                    <w:rPr>
                      <w:rFonts w:ascii="Tahoma" w:eastAsia="Times New Roman" w:hAnsi="Tahoma" w:cs="Tahoma"/>
                      <w:b/>
                      <w:bCs/>
                      <w:sz w:val="20"/>
                      <w:szCs w:val="20"/>
                    </w:rPr>
                    <w:t>TRƯỜNG ĐH KHOA HỌC TỰ NHIÊN</w:t>
                  </w:r>
                </w:p>
              </w:tc>
              <w:tc>
                <w:tcPr>
                  <w:tcW w:w="5803" w:type="dxa"/>
                  <w:tcMar>
                    <w:top w:w="0" w:type="dxa"/>
                    <w:left w:w="108" w:type="dxa"/>
                    <w:bottom w:w="0" w:type="dxa"/>
                    <w:right w:w="108" w:type="dxa"/>
                  </w:tcMar>
                  <w:hideMark/>
                </w:tcPr>
                <w:p w:rsidR="008015B3" w:rsidRPr="008015B3" w:rsidRDefault="008015B3" w:rsidP="008015B3">
                  <w:pPr>
                    <w:spacing w:before="150" w:after="150" w:line="240" w:lineRule="auto"/>
                    <w:jc w:val="center"/>
                    <w:rPr>
                      <w:rFonts w:ascii="Times New Roman" w:eastAsia="Times New Roman" w:hAnsi="Times New Roman" w:cs="Times New Roman"/>
                      <w:sz w:val="17"/>
                      <w:szCs w:val="17"/>
                    </w:rPr>
                  </w:pPr>
                  <w:r w:rsidRPr="008015B3">
                    <w:rPr>
                      <w:rFonts w:ascii="Tahoma" w:eastAsia="Times New Roman" w:hAnsi="Tahoma" w:cs="Tahoma"/>
                      <w:b/>
                      <w:bCs/>
                      <w:sz w:val="20"/>
                      <w:szCs w:val="20"/>
                    </w:rPr>
                    <w:t>CỘNG HÒA XÃ HỘI CHỦ NGHĨA VIỆT NAM</w:t>
                  </w:r>
                </w:p>
                <w:p w:rsidR="008015B3" w:rsidRPr="008015B3" w:rsidRDefault="008015B3" w:rsidP="008015B3">
                  <w:pPr>
                    <w:spacing w:before="150" w:after="150" w:line="240" w:lineRule="auto"/>
                    <w:jc w:val="center"/>
                    <w:rPr>
                      <w:rFonts w:ascii="Times New Roman" w:eastAsia="Times New Roman" w:hAnsi="Times New Roman" w:cs="Times New Roman"/>
                      <w:sz w:val="17"/>
                      <w:szCs w:val="17"/>
                    </w:rPr>
                  </w:pPr>
                  <w:r w:rsidRPr="008015B3">
                    <w:rPr>
                      <w:rFonts w:ascii="Tahoma" w:eastAsia="Times New Roman" w:hAnsi="Tahoma" w:cs="Tahoma"/>
                      <w:b/>
                      <w:bCs/>
                      <w:sz w:val="20"/>
                      <w:szCs w:val="20"/>
                    </w:rPr>
                    <w:t>Độc lập - Tự do - Hạnh Phúc</w:t>
                  </w:r>
                </w:p>
              </w:tc>
            </w:tr>
          </w:tbl>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17"/>
                <w:szCs w:val="17"/>
              </w:rPr>
              <w:t> </w:t>
            </w:r>
          </w:p>
          <w:p w:rsidR="008015B3" w:rsidRPr="008015B3" w:rsidRDefault="008015B3" w:rsidP="008015B3">
            <w:pPr>
              <w:spacing w:before="150" w:after="150" w:line="248" w:lineRule="atLeast"/>
              <w:jc w:val="center"/>
              <w:outlineLvl w:val="2"/>
              <w:rPr>
                <w:rFonts w:ascii="Tahoma" w:eastAsia="Times New Roman" w:hAnsi="Tahoma" w:cs="Tahoma"/>
                <w:b/>
                <w:bCs/>
                <w:color w:val="003462"/>
                <w:sz w:val="21"/>
                <w:szCs w:val="21"/>
              </w:rPr>
            </w:pPr>
            <w:r w:rsidRPr="008015B3">
              <w:rPr>
                <w:rFonts w:ascii="Tahoma" w:eastAsia="Times New Roman" w:hAnsi="Tahoma" w:cs="Tahoma"/>
                <w:b/>
                <w:bCs/>
                <w:color w:val="003462"/>
                <w:sz w:val="20"/>
                <w:szCs w:val="20"/>
              </w:rPr>
              <w:t>THÔNG BÁO</w:t>
            </w:r>
          </w:p>
          <w:p w:rsidR="008015B3" w:rsidRPr="008015B3" w:rsidRDefault="008015B3" w:rsidP="008015B3">
            <w:pPr>
              <w:spacing w:before="150" w:after="150" w:line="248" w:lineRule="atLeast"/>
              <w:jc w:val="center"/>
              <w:rPr>
                <w:rFonts w:ascii="Tahoma" w:eastAsia="Times New Roman" w:hAnsi="Tahoma" w:cs="Tahoma"/>
                <w:color w:val="003462"/>
                <w:sz w:val="17"/>
                <w:szCs w:val="17"/>
              </w:rPr>
            </w:pPr>
            <w:r w:rsidRPr="008015B3">
              <w:rPr>
                <w:rFonts w:ascii="Tahoma" w:eastAsia="Times New Roman" w:hAnsi="Tahoma" w:cs="Tahoma"/>
                <w:color w:val="003462"/>
                <w:sz w:val="20"/>
                <w:szCs w:val="20"/>
              </w:rPr>
              <w:t>v/v Chiêu sinh các lớp ôn tập môn CƠ BẢN, CƠ SỞ chuẩn bị cho kỳ thi</w:t>
            </w:r>
          </w:p>
          <w:p w:rsidR="008015B3" w:rsidRPr="008015B3" w:rsidRDefault="008015B3" w:rsidP="008015B3">
            <w:pPr>
              <w:spacing w:before="150" w:after="150" w:line="248" w:lineRule="atLeast"/>
              <w:jc w:val="center"/>
              <w:rPr>
                <w:rFonts w:ascii="Tahoma" w:eastAsia="Times New Roman" w:hAnsi="Tahoma" w:cs="Tahoma"/>
                <w:color w:val="003462"/>
                <w:sz w:val="17"/>
                <w:szCs w:val="17"/>
              </w:rPr>
            </w:pPr>
            <w:r w:rsidRPr="008015B3">
              <w:rPr>
                <w:rFonts w:ascii="Tahoma" w:eastAsia="Times New Roman" w:hAnsi="Tahoma" w:cs="Tahoma"/>
                <w:color w:val="003462"/>
                <w:sz w:val="20"/>
                <w:szCs w:val="20"/>
              </w:rPr>
              <w:t>tuyển sinh sau đại học năm 2014</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w:t>
            </w:r>
          </w:p>
          <w:p w:rsidR="008015B3" w:rsidRPr="008015B3" w:rsidRDefault="008015B3" w:rsidP="008015B3">
            <w:pPr>
              <w:spacing w:before="150" w:after="150" w:line="248" w:lineRule="atLeast"/>
              <w:jc w:val="center"/>
              <w:outlineLvl w:val="2"/>
              <w:rPr>
                <w:rFonts w:ascii="Tahoma" w:eastAsia="Times New Roman" w:hAnsi="Tahoma" w:cs="Tahoma"/>
                <w:b/>
                <w:bCs/>
                <w:color w:val="003462"/>
                <w:sz w:val="21"/>
                <w:szCs w:val="21"/>
              </w:rPr>
            </w:pPr>
            <w:r w:rsidRPr="008015B3">
              <w:rPr>
                <w:rFonts w:ascii="Tahoma" w:eastAsia="Times New Roman" w:hAnsi="Tahoma" w:cs="Tahoma"/>
                <w:b/>
                <w:bCs/>
                <w:color w:val="003462"/>
                <w:sz w:val="20"/>
                <w:szCs w:val="20"/>
              </w:rPr>
              <w:t>TRƯỜNG ĐH KHOA HỌC TỰ NHIÊN - HCM THÔNG BÁO</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Nhằm tạo điều kiện cho người dự tuyển chương trình đào tạo sau đại học năm 2014 hệ thống kiến thức môn CƠ BẢN, CƠ SỞ trong kỳ thi thi tuyển sinh sau đại học, Trường Đại học Khoa học Tự Nhiên thông báo khai giảng các lớp hướng dẫn ôn tập theo kế hoạch như sau:</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1. Thời gian học</w:t>
            </w:r>
            <w:r w:rsidRPr="008015B3">
              <w:rPr>
                <w:rFonts w:ascii="Tahoma" w:eastAsia="Times New Roman" w:hAnsi="Tahoma" w:cs="Tahoma"/>
                <w:color w:val="003462"/>
                <w:sz w:val="20"/>
                <w:szCs w:val="20"/>
              </w:rPr>
              <w:t>: từ ngày 24/2/2014 đến hết thời lượng mỗi môn học (dự kiến 15/4/2014)</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2. Thời lượng môn học, học phí:</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 Môn cơ bản : 3 tín chỉ (45 tiết)</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 Môn cơ sở   : 2 tín chỉ (30 tiết)</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Mức thu học phí: </w:t>
            </w:r>
            <w:r w:rsidRPr="008015B3">
              <w:rPr>
                <w:rFonts w:ascii="Tahoma" w:eastAsia="Times New Roman" w:hAnsi="Tahoma" w:cs="Tahoma"/>
                <w:b/>
                <w:bCs/>
                <w:color w:val="003462"/>
                <w:sz w:val="20"/>
                <w:szCs w:val="20"/>
              </w:rPr>
              <w:t>180.000đ/ tín chỉ</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w:t>
            </w:r>
            <w:r w:rsidRPr="008015B3">
              <w:rPr>
                <w:rFonts w:ascii="Tahoma" w:eastAsia="Times New Roman" w:hAnsi="Tahoma" w:cs="Tahoma"/>
                <w:i/>
                <w:iCs/>
                <w:color w:val="003462"/>
                <w:sz w:val="20"/>
                <w:szCs w:val="20"/>
              </w:rPr>
              <w:t>Đối với học viên là CB của trường ĐHKH Tự Nhiên thì được xét miễn giảm 50% học phí. Học viên </w:t>
            </w:r>
            <w:r w:rsidRPr="008015B3">
              <w:rPr>
                <w:rFonts w:ascii="Tahoma" w:eastAsia="Times New Roman" w:hAnsi="Tahoma" w:cs="Tahoma"/>
                <w:b/>
                <w:bCs/>
                <w:i/>
                <w:iCs/>
                <w:color w:val="003462"/>
                <w:sz w:val="20"/>
                <w:szCs w:val="20"/>
              </w:rPr>
              <w:t>phải xuất trình hợp đồng lao động</w:t>
            </w:r>
            <w:r w:rsidRPr="008015B3">
              <w:rPr>
                <w:rFonts w:ascii="Tahoma" w:eastAsia="Times New Roman" w:hAnsi="Tahoma" w:cs="Tahoma"/>
                <w:i/>
                <w:iCs/>
                <w:color w:val="003462"/>
                <w:sz w:val="20"/>
                <w:szCs w:val="20"/>
              </w:rPr>
              <w:t> khi đăng ký học để được xét miễn giảm, Trường sẽ không giải quyết xét miễn giảm sau khi đã đăng ký học</w:t>
            </w:r>
            <w:r w:rsidRPr="008015B3">
              <w:rPr>
                <w:rFonts w:ascii="Tahoma" w:eastAsia="Times New Roman" w:hAnsi="Tahoma" w:cs="Tahoma"/>
                <w:color w:val="003462"/>
                <w:sz w:val="20"/>
                <w:szCs w:val="20"/>
              </w:rPr>
              <w:t>)</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2. Đăng ký ghi danh:</w:t>
            </w:r>
            <w:r w:rsidRPr="008015B3">
              <w:rPr>
                <w:rFonts w:ascii="Tahoma" w:eastAsia="Times New Roman" w:hAnsi="Tahoma" w:cs="Tahoma"/>
                <w:color w:val="003462"/>
                <w:sz w:val="20"/>
                <w:szCs w:val="20"/>
              </w:rPr>
              <w:t> đăng ký ghi danh từ ngày 10/2/2014  - 28/2/2014 tại phòng ĐT Sau đại học, trường ĐH KH Tự Nhiên, 227 Nguyễn Văn Cừ, Q5. Khi đăng ký, học viên sẽ được cấp </w:t>
            </w:r>
            <w:r w:rsidRPr="008015B3">
              <w:rPr>
                <w:rFonts w:ascii="Tahoma" w:eastAsia="Times New Roman" w:hAnsi="Tahoma" w:cs="Tahoma"/>
                <w:b/>
                <w:bCs/>
                <w:color w:val="003462"/>
                <w:sz w:val="20"/>
                <w:szCs w:val="20"/>
              </w:rPr>
              <w:t>THẺ VÀO LỚP</w:t>
            </w:r>
            <w:r w:rsidRPr="008015B3">
              <w:rPr>
                <w:rFonts w:ascii="Tahoma" w:eastAsia="Times New Roman" w:hAnsi="Tahoma" w:cs="Tahoma"/>
                <w:color w:val="003462"/>
                <w:sz w:val="20"/>
                <w:szCs w:val="20"/>
              </w:rPr>
              <w:t> </w:t>
            </w:r>
            <w:r w:rsidRPr="008015B3">
              <w:rPr>
                <w:rFonts w:ascii="Tahoma" w:eastAsia="Times New Roman" w:hAnsi="Tahoma" w:cs="Tahoma"/>
                <w:b/>
                <w:bCs/>
                <w:color w:val="003462"/>
                <w:sz w:val="20"/>
                <w:szCs w:val="20"/>
              </w:rPr>
              <w:t>(chỉ được cấp 1 lần)</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3. Tài liệu môn học:</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 Đề cương môn học: Học viên tham khảo đề cương tại trang web: hcmus.edu.vn/ tuyển sinh/sau đại học.</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 Tài liệu môn học: theo nội dung đã nêu trong đề cương, học viên tự mua giáo trình, sách tham khảo thêm tại các nhà sách</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4. Thời khóa biểu của từng chuyên ngành</w:t>
            </w:r>
            <w:r w:rsidRPr="008015B3">
              <w:rPr>
                <w:rFonts w:ascii="Tahoma" w:eastAsia="Times New Roman" w:hAnsi="Tahoma" w:cs="Tahoma"/>
                <w:color w:val="003462"/>
                <w:sz w:val="20"/>
                <w:szCs w:val="20"/>
              </w:rPr>
              <w:t> (</w:t>
            </w:r>
            <w:hyperlink r:id="rId4" w:tgtFrame="_blank" w:tooltip="đính kèm" w:history="1">
              <w:r w:rsidRPr="008015B3">
                <w:rPr>
                  <w:rFonts w:ascii="Tahoma" w:eastAsia="Times New Roman" w:hAnsi="Tahoma" w:cs="Tahoma"/>
                  <w:b/>
                  <w:bCs/>
                  <w:color w:val="003462"/>
                  <w:sz w:val="20"/>
                  <w:szCs w:val="20"/>
                </w:rPr>
                <w:t>đính kèm</w:t>
              </w:r>
            </w:hyperlink>
            <w:r w:rsidRPr="008015B3">
              <w:rPr>
                <w:rFonts w:ascii="Tahoma" w:eastAsia="Times New Roman" w:hAnsi="Tahoma" w:cs="Tahoma"/>
                <w:color w:val="003462"/>
                <w:sz w:val="20"/>
                <w:szCs w:val="20"/>
              </w:rPr>
              <w:t>)</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Tất cả các lớp sẽ học tại trường Đại học Khoa học Tự Nhiên, số 227 Nguyễn Văn Cừ, Quận 5, Tp.HCM.</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5.</w:t>
            </w:r>
            <w:r w:rsidRPr="008015B3">
              <w:rPr>
                <w:rFonts w:ascii="Tahoma" w:eastAsia="Times New Roman" w:hAnsi="Tahoma" w:cs="Tahoma"/>
                <w:color w:val="003462"/>
                <w:sz w:val="20"/>
                <w:szCs w:val="20"/>
              </w:rPr>
              <w:t> Học viên phải xuất trình </w:t>
            </w:r>
            <w:r w:rsidRPr="008015B3">
              <w:rPr>
                <w:rFonts w:ascii="Tahoma" w:eastAsia="Times New Roman" w:hAnsi="Tahoma" w:cs="Tahoma"/>
                <w:b/>
                <w:bCs/>
                <w:color w:val="003462"/>
                <w:sz w:val="20"/>
                <w:szCs w:val="20"/>
              </w:rPr>
              <w:t>THẺ VÀO LỚP</w:t>
            </w:r>
            <w:r w:rsidRPr="008015B3">
              <w:rPr>
                <w:rFonts w:ascii="Tahoma" w:eastAsia="Times New Roman" w:hAnsi="Tahoma" w:cs="Tahoma"/>
                <w:color w:val="003462"/>
                <w:sz w:val="20"/>
                <w:szCs w:val="20"/>
              </w:rPr>
              <w:t> cho bộ phận kiểm tra trước khi vào lớp.</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6.</w:t>
            </w:r>
            <w:r w:rsidRPr="008015B3">
              <w:rPr>
                <w:rFonts w:ascii="Tahoma" w:eastAsia="Times New Roman" w:hAnsi="Tahoma" w:cs="Tahoma"/>
                <w:color w:val="003462"/>
                <w:sz w:val="20"/>
                <w:szCs w:val="20"/>
              </w:rPr>
              <w:t> Học viên xem kỹ thời khóa biểu trước khi đăng ký học. Nhà trường không giải quyết rút lại học phí với bất cứ lý do nào.</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b/>
                <w:bCs/>
                <w:color w:val="003462"/>
                <w:sz w:val="20"/>
                <w:szCs w:val="20"/>
              </w:rPr>
              <w:t>7. Giấy triệu tập học ôn tập:</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Học viên có nhu cầu cấp "</w:t>
            </w:r>
            <w:r w:rsidRPr="008015B3">
              <w:rPr>
                <w:rFonts w:ascii="Tahoma" w:eastAsia="Times New Roman" w:hAnsi="Tahoma" w:cs="Tahoma"/>
                <w:i/>
                <w:iCs/>
                <w:color w:val="003462"/>
                <w:sz w:val="20"/>
                <w:szCs w:val="20"/>
              </w:rPr>
              <w:t>Giấy triệu tập học ôn tập</w:t>
            </w:r>
            <w:r w:rsidRPr="008015B3">
              <w:rPr>
                <w:rFonts w:ascii="Tahoma" w:eastAsia="Times New Roman" w:hAnsi="Tahoma" w:cs="Tahoma"/>
                <w:color w:val="003462"/>
                <w:sz w:val="20"/>
                <w:szCs w:val="20"/>
              </w:rPr>
              <w:t>" "</w:t>
            </w:r>
            <w:r w:rsidRPr="008015B3">
              <w:rPr>
                <w:rFonts w:ascii="Tahoma" w:eastAsia="Times New Roman" w:hAnsi="Tahoma" w:cs="Tahoma"/>
                <w:i/>
                <w:iCs/>
                <w:color w:val="003462"/>
                <w:sz w:val="20"/>
                <w:szCs w:val="20"/>
              </w:rPr>
              <w:t>giấy xác nhận lịch học</w:t>
            </w:r>
            <w:r w:rsidRPr="008015B3">
              <w:rPr>
                <w:rFonts w:ascii="Tahoma" w:eastAsia="Times New Roman" w:hAnsi="Tahoma" w:cs="Tahoma"/>
                <w:color w:val="003462"/>
                <w:sz w:val="20"/>
                <w:szCs w:val="20"/>
              </w:rPr>
              <w:t>" để trình cơ quan công tác giải quyết chế độ đi học, đề nghị liên hệ với phòng Đào tạo Sau Đại học (xuất trình biên lai thu học phí) từ ngày 10/2/20141 đến 15/4/2014. Sau thời hạn này nhà trường sẽ không giải quyết cấp các văn bản giấy tờ cho HV với bất cứ lý do nào.</w:t>
            </w:r>
          </w:p>
          <w:p w:rsidR="008015B3" w:rsidRPr="008015B3" w:rsidRDefault="008015B3" w:rsidP="008015B3">
            <w:pPr>
              <w:spacing w:before="150" w:after="150" w:line="248" w:lineRule="atLeast"/>
              <w:rPr>
                <w:rFonts w:ascii="Tahoma" w:eastAsia="Times New Roman" w:hAnsi="Tahoma" w:cs="Tahoma"/>
                <w:color w:val="003462"/>
                <w:sz w:val="17"/>
                <w:szCs w:val="17"/>
              </w:rPr>
            </w:pPr>
            <w:r w:rsidRPr="008015B3">
              <w:rPr>
                <w:rFonts w:ascii="Tahoma" w:eastAsia="Times New Roman" w:hAnsi="Tahoma" w:cs="Tahoma"/>
                <w:color w:val="003462"/>
                <w:sz w:val="20"/>
                <w:szCs w:val="20"/>
              </w:rPr>
              <w:t> </w:t>
            </w:r>
          </w:p>
          <w:p w:rsidR="008015B3" w:rsidRPr="008015B3" w:rsidRDefault="008015B3" w:rsidP="008015B3">
            <w:pPr>
              <w:spacing w:before="150" w:after="150" w:line="248" w:lineRule="atLeast"/>
              <w:jc w:val="center"/>
              <w:rPr>
                <w:rFonts w:ascii="Tahoma" w:eastAsia="Times New Roman" w:hAnsi="Tahoma" w:cs="Tahoma"/>
                <w:color w:val="003462"/>
                <w:sz w:val="17"/>
                <w:szCs w:val="17"/>
              </w:rPr>
            </w:pPr>
            <w:r w:rsidRPr="008015B3">
              <w:rPr>
                <w:rFonts w:ascii="Tahoma" w:eastAsia="Times New Roman" w:hAnsi="Tahoma" w:cs="Tahoma"/>
                <w:color w:val="003462"/>
                <w:sz w:val="20"/>
                <w:szCs w:val="20"/>
              </w:rPr>
              <w:t>   Tp. Hồ Chí Minh, ngày 22 tháng 1 năm 2014</w:t>
            </w:r>
          </w:p>
          <w:p w:rsidR="008015B3" w:rsidRPr="008015B3" w:rsidRDefault="008015B3" w:rsidP="008015B3">
            <w:pPr>
              <w:spacing w:after="0" w:line="248" w:lineRule="atLeast"/>
              <w:jc w:val="center"/>
              <w:rPr>
                <w:rFonts w:ascii="Tahoma" w:eastAsia="Times New Roman" w:hAnsi="Tahoma" w:cs="Tahoma"/>
                <w:color w:val="003462"/>
                <w:sz w:val="17"/>
                <w:szCs w:val="17"/>
              </w:rPr>
            </w:pPr>
            <w:r w:rsidRPr="008015B3">
              <w:rPr>
                <w:rFonts w:ascii="Tahoma" w:eastAsia="Times New Roman" w:hAnsi="Tahoma" w:cs="Tahoma"/>
                <w:color w:val="003462"/>
                <w:sz w:val="20"/>
                <w:szCs w:val="20"/>
              </w:rPr>
              <w:t>     </w:t>
            </w:r>
            <w:r w:rsidRPr="008015B3">
              <w:rPr>
                <w:rFonts w:ascii="Tahoma" w:eastAsia="Times New Roman" w:hAnsi="Tahoma" w:cs="Tahoma"/>
                <w:b/>
                <w:bCs/>
                <w:color w:val="003462"/>
                <w:sz w:val="20"/>
                <w:szCs w:val="20"/>
              </w:rPr>
              <w:t>TRƯỞNG PHÒNG ĐT SAU ĐẠI HỌC</w:t>
            </w:r>
          </w:p>
        </w:tc>
      </w:tr>
    </w:tbl>
    <w:p w:rsidR="008B74B8" w:rsidRDefault="008015B3">
      <w:r w:rsidRPr="008015B3">
        <w:rPr>
          <w:rFonts w:ascii="Tahoma" w:eastAsia="Times New Roman" w:hAnsi="Tahoma" w:cs="Tahoma"/>
          <w:color w:val="003462"/>
          <w:sz w:val="17"/>
          <w:szCs w:val="17"/>
          <w:shd w:val="clear" w:color="auto" w:fill="F1F4F9"/>
        </w:rPr>
        <w:lastRenderedPageBreak/>
        <w:t> </w:t>
      </w:r>
      <w:bookmarkStart w:id="0" w:name="_GoBack"/>
      <w:bookmarkEnd w:id="0"/>
    </w:p>
    <w:sectPr w:rsidR="008B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6C"/>
    <w:rsid w:val="000E606C"/>
    <w:rsid w:val="008015B3"/>
    <w:rsid w:val="008B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9614E-9236-4B1D-8BD1-8824374F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1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5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1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15B3"/>
  </w:style>
  <w:style w:type="character" w:styleId="Hyperlink">
    <w:name w:val="Hyperlink"/>
    <w:basedOn w:val="DefaultParagraphFont"/>
    <w:uiPriority w:val="99"/>
    <w:semiHidden/>
    <w:unhideWhenUsed/>
    <w:rsid w:val="008015B3"/>
    <w:rPr>
      <w:color w:val="0000FF"/>
      <w:u w:val="single"/>
    </w:rPr>
  </w:style>
  <w:style w:type="character" w:customStyle="1" w:styleId="articleseperator">
    <w:name w:val="article_seperator"/>
    <w:basedOn w:val="DefaultParagraphFont"/>
    <w:rsid w:val="0080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7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cmus.edu.vn/images/stories/phong_sau_dh/tuyensinh2014/thoikhoabieuontap_2014-web.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dc:creator>
  <cp:keywords/>
  <dc:description/>
  <cp:lastModifiedBy>FT</cp:lastModifiedBy>
  <cp:revision>2</cp:revision>
  <dcterms:created xsi:type="dcterms:W3CDTF">2014-02-09T10:42:00Z</dcterms:created>
  <dcterms:modified xsi:type="dcterms:W3CDTF">2014-02-09T10:42:00Z</dcterms:modified>
</cp:coreProperties>
</file>