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BUSINESS PLAN</w:t>
      </w:r>
    </w:p>
    <w:p>
      <w:pPr>
        <w:spacing w:after="100"/>
        <w:jc w:val="center"/>
      </w:pPr>
      <w:r>
        <w:rPr>
          <w:rFonts w:ascii="Arial" w:cs="Arial" w:eastAsia="Arial" w:hAnsi="Arial"/>
          <w:color w:val="2E75B6"/>
          <w:sz w:val="44"/>
          <w:szCs w:val="44"/>
        </w:rPr>
        <w:t xml:space="preserve">QScoring.com</w:t>
      </w:r>
    </w:p>
    <w:p>
      <w:pPr>
        <w:pBdr>
          <w:bottom w:val="single" w:color="2E75B6" w:sz="6" w:space="8"/>
        </w:pBdr>
        <w:spacing w:after="600"/>
        <w:jc w:val="center"/>
      </w:pPr>
      <w:r>
        <w:rPr>
          <w:rFonts w:ascii="Arial" w:cs="Arial" w:eastAsia="Arial" w:hAnsi="Arial"/>
          <w:i/>
          <w:iCs/>
          <w:color w:val="666666"/>
          <w:sz w:val="28"/>
          <w:szCs w:val="28"/>
        </w:rPr>
        <w:t xml:space="preserve">Quantitative Stock Scoring Platform</w:t>
      </w:r>
    </w:p>
    <w:p>
      <w:pPr>
        <w:spacing w:after="200"/>
      </w:pPr>
    </w:p>
    <w:p>
      <w:pPr>
        <w:spacing w:after="100"/>
        <w:jc w:val="center"/>
      </w:pPr>
      <w:r>
        <w:rPr>
          <w:rFonts w:ascii="Arial" w:cs="Arial" w:eastAsia="Arial" w:hAnsi="Arial"/>
          <w:color w:val="333333"/>
          <w:sz w:val="24"/>
          <w:szCs w:val="24"/>
        </w:rPr>
        <w:t xml:space="preserve">Prepared by: Gagan Singh</w:t>
      </w:r>
    </w:p>
    <w:p>
      <w:pPr>
        <w:spacing w:after="100"/>
        <w:jc w:val="center"/>
      </w:pPr>
      <w:r>
        <w:rPr>
          <w:rFonts w:ascii="Arial" w:cs="Arial" w:eastAsia="Arial" w:hAnsi="Arial"/>
          <w:color w:val="333333"/>
          <w:sz w:val="24"/>
          <w:szCs w:val="24"/>
        </w:rPr>
        <w:t xml:space="preserve">Date: May 2026</w:t>
      </w:r>
    </w:p>
    <w:p>
      <w:pPr>
        <w:jc w:val="center"/>
      </w:pPr>
      <w:r>
        <w:rPr>
          <w:rFonts w:ascii="Arial" w:cs="Arial" w:eastAsia="Arial" w:hAnsi="Arial"/>
          <w:b/>
          <w:bCs/>
          <w:color w:val="2E75B6"/>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333333"/>
          <w:sz w:val="24"/>
          <w:szCs w:val="24"/>
        </w:rPr>
        <w:t xml:space="preserve">QScoring is a web-based quantitative stock analysis platform that provides retail investors with an instant, data-driven score for any publicly traded US equity. Users enter a stock ticker and receive a composite Quant Score (1–100) along with clear directional signals: Buy Short-Term, Buy Long-Term, or Short. The platform distills complex financial metrics, technical indicators, and market sentiment data into an intuitive, actionable interface.</w:t>
      </w:r>
    </w:p>
    <w:p>
      <w:pPr>
        <w:spacing w:after="160"/>
      </w:pPr>
      <w:r>
        <w:rPr>
          <w:rFonts w:ascii="Arial" w:cs="Arial" w:eastAsia="Arial" w:hAnsi="Arial"/>
          <w:color w:val="333333"/>
          <w:sz w:val="24"/>
          <w:szCs w:val="24"/>
        </w:rPr>
        <w:t xml:space="preserve">The platform targets the growing market of self-directed retail investors who want institutional-grade analysis without the complexity of professional terminals. With over 60 million retail brokerage accounts in the US alone and a surge in self-directed investing since 2020, the opportunity is substantial.</w:t>
      </w:r>
    </w:p>
    <w:p>
      <w:pPr>
        <w:spacing w:after="160"/>
      </w:pPr>
      <w:r>
        <w:rPr>
          <w:rFonts w:ascii="Arial" w:cs="Arial" w:eastAsia="Arial" w:hAnsi="Arial"/>
          <w:color w:val="333333"/>
          <w:sz w:val="24"/>
          <w:szCs w:val="24"/>
        </w:rPr>
        <w:t xml:space="preserve">QScoring will operate on a subscription model with a monthly and annual plan, generating recurring revenue while keeping the product ad-free and aligned with user interests. The founder, Gagan Singh, brings deep enterprise technology leadership experience spanning infrastructure, cloud architecture, financial planning, and vendor management across institutions including Merck, National Bank of Kuwait, and Trinity Solar.</w:t>
      </w:r>
    </w:p>
    <w:p>
      <w:pPr>
        <w:pStyle w:val="Heading1"/>
      </w:pPr>
      <w:r>
        <w:t xml:space="preserve">2. Problem Statement</w:t>
      </w:r>
    </w:p>
    <w:p>
      <w:pPr>
        <w:spacing w:after="160"/>
      </w:pPr>
      <w:r>
        <w:rPr>
          <w:rFonts w:ascii="Arial" w:cs="Arial" w:eastAsia="Arial" w:hAnsi="Arial"/>
          <w:color w:val="333333"/>
          <w:sz w:val="24"/>
          <w:szCs w:val="24"/>
        </w:rPr>
        <w:t xml:space="preserve">Retail investors face several persistent challenges when making investment decisions:</w:t>
      </w:r>
    </w:p>
    <w:p>
      <w:pPr>
        <w:pStyle w:val="ListParagraph"/>
        <w:numPr>
          <w:ilvl w:val="0"/>
          <w:numId w:val="2"/>
        </w:numPr>
        <w:spacing w:after="100"/>
      </w:pPr>
      <w:r>
        <w:rPr>
          <w:rFonts w:ascii="Arial" w:cs="Arial" w:eastAsia="Arial" w:hAnsi="Arial"/>
          <w:color w:val="333333"/>
          <w:sz w:val="24"/>
          <w:szCs w:val="24"/>
        </w:rPr>
        <w:t xml:space="preserve">Information overload: Platforms like Yahoo Finance, Finviz, and Bloomberg display hundreds of data points per stock with no synthesis or prioritization.</w:t>
      </w:r>
    </w:p>
    <w:p>
      <w:pPr>
        <w:pStyle w:val="ListParagraph"/>
        <w:numPr>
          <w:ilvl w:val="0"/>
          <w:numId w:val="2"/>
        </w:numPr>
        <w:spacing w:after="100"/>
      </w:pPr>
      <w:r>
        <w:rPr>
          <w:rFonts w:ascii="Arial" w:cs="Arial" w:eastAsia="Arial" w:hAnsi="Arial"/>
          <w:color w:val="333333"/>
          <w:sz w:val="24"/>
          <w:szCs w:val="24"/>
        </w:rPr>
        <w:t xml:space="preserve">Analysis paralysis: Without quantitative training, most retail investors cannot combine fundamental, technical, and sentiment data into a coherent thesis.</w:t>
      </w:r>
    </w:p>
    <w:p>
      <w:pPr>
        <w:pStyle w:val="ListParagraph"/>
        <w:numPr>
          <w:ilvl w:val="0"/>
          <w:numId w:val="2"/>
        </w:numPr>
        <w:spacing w:after="100"/>
      </w:pPr>
      <w:r>
        <w:rPr>
          <w:rFonts w:ascii="Arial" w:cs="Arial" w:eastAsia="Arial" w:hAnsi="Arial"/>
          <w:color w:val="333333"/>
          <w:sz w:val="24"/>
          <w:szCs w:val="24"/>
        </w:rPr>
        <w:t xml:space="preserve">Conflicting signals: A stock may look cheap on P/E but terrible on momentum, leaving investors unsure how to weigh competing factors.</w:t>
      </w:r>
    </w:p>
    <w:p>
      <w:pPr>
        <w:pStyle w:val="ListParagraph"/>
        <w:numPr>
          <w:ilvl w:val="0"/>
          <w:numId w:val="2"/>
        </w:numPr>
        <w:spacing w:after="100"/>
      </w:pPr>
      <w:r>
        <w:rPr>
          <w:rFonts w:ascii="Arial" w:cs="Arial" w:eastAsia="Arial" w:hAnsi="Arial"/>
          <w:color w:val="333333"/>
          <w:sz w:val="24"/>
          <w:szCs w:val="24"/>
        </w:rPr>
        <w:t xml:space="preserve">Time constraints: Most retail investors have full-time jobs and cannot spend hours researching every trade.</w:t>
      </w:r>
    </w:p>
    <w:p>
      <w:pPr>
        <w:pStyle w:val="ListParagraph"/>
        <w:numPr>
          <w:ilvl w:val="0"/>
          <w:numId w:val="2"/>
        </w:numPr>
        <w:spacing w:after="100"/>
      </w:pPr>
      <w:r>
        <w:rPr>
          <w:rFonts w:ascii="Arial" w:cs="Arial" w:eastAsia="Arial" w:hAnsi="Arial"/>
          <w:color w:val="333333"/>
          <w:sz w:val="24"/>
          <w:szCs w:val="24"/>
        </w:rPr>
        <w:t xml:space="preserve">Opaque existing tools: Services like Seeking Alpha Quant Ratings or Zacks Rank provide scores but offer limited transparency into methodology, reducing trust.</w:t>
      </w:r>
    </w:p>
    <w:p>
      <w:pPr>
        <w:spacing w:after="80"/>
      </w:pPr>
    </w:p>
    <w:p>
      <w:pPr>
        <w:spacing w:after="160"/>
      </w:pPr>
      <w:r>
        <w:rPr>
          <w:rFonts w:ascii="Arial" w:cs="Arial" w:eastAsia="Arial" w:hAnsi="Arial"/>
          <w:color w:val="333333"/>
          <w:sz w:val="24"/>
          <w:szCs w:val="24"/>
        </w:rPr>
        <w:t xml:space="preserve">QScoring solves this by delivering a single, transparent composite score with a clear recommendation, accessible in seconds.</w:t>
      </w:r>
    </w:p>
    <w:p>
      <w:pPr>
        <w:pStyle w:val="Heading1"/>
      </w:pPr>
      <w:r>
        <w:t xml:space="preserve">3. Solution: The QScoring Platform</w:t>
      </w:r>
    </w:p>
    <w:p>
      <w:pPr>
        <w:pStyle w:val="Heading2"/>
      </w:pPr>
      <w:r>
        <w:t xml:space="preserve">3.1 Core Product</w:t>
      </w:r>
    </w:p>
    <w:p>
      <w:pPr>
        <w:spacing w:after="160"/>
      </w:pPr>
      <w:r>
        <w:rPr>
          <w:rFonts w:ascii="Arial" w:cs="Arial" w:eastAsia="Arial" w:hAnsi="Arial"/>
          <w:color w:val="333333"/>
          <w:sz w:val="24"/>
          <w:szCs w:val="24"/>
        </w:rPr>
        <w:t xml:space="preserve">The QScoring platform is a web application where users enter any US stock ticker and instantly receive:</w:t>
      </w:r>
    </w:p>
    <w:p>
      <w:pPr>
        <w:pStyle w:val="ListParagraph"/>
        <w:numPr>
          <w:ilvl w:val="0"/>
          <w:numId w:val="3"/>
        </w:numPr>
        <w:spacing w:after="100"/>
      </w:pPr>
      <w:r>
        <w:rPr>
          <w:rFonts w:ascii="Arial" w:cs="Arial" w:eastAsia="Arial" w:hAnsi="Arial"/>
          <w:color w:val="333333"/>
          <w:sz w:val="24"/>
          <w:szCs w:val="24"/>
        </w:rPr>
        <w:t xml:space="preserve">A Quant Score (1–100) representing overall quantitative attractiveness</w:t>
      </w:r>
    </w:p>
    <w:p>
      <w:pPr>
        <w:pStyle w:val="ListParagraph"/>
        <w:numPr>
          <w:ilvl w:val="0"/>
          <w:numId w:val="3"/>
        </w:numPr>
        <w:spacing w:after="100"/>
      </w:pPr>
      <w:r>
        <w:rPr>
          <w:rFonts w:ascii="Arial" w:cs="Arial" w:eastAsia="Arial" w:hAnsi="Arial"/>
          <w:color w:val="333333"/>
          <w:sz w:val="24"/>
          <w:szCs w:val="24"/>
        </w:rPr>
        <w:t xml:space="preserve">A directional signal: Buy Short-Term (1–90 days), Buy Long-Term (90+ days), Short, or Hold</w:t>
      </w:r>
    </w:p>
    <w:p>
      <w:pPr>
        <w:pStyle w:val="ListParagraph"/>
        <w:numPr>
          <w:ilvl w:val="0"/>
          <w:numId w:val="3"/>
        </w:numPr>
        <w:spacing w:after="100"/>
      </w:pPr>
      <w:r>
        <w:rPr>
          <w:rFonts w:ascii="Arial" w:cs="Arial" w:eastAsia="Arial" w:hAnsi="Arial"/>
          <w:color w:val="333333"/>
          <w:sz w:val="24"/>
          <w:szCs w:val="24"/>
        </w:rPr>
        <w:t xml:space="preserve">A score breakdown showing the contribution of each factor category</w:t>
      </w:r>
    </w:p>
    <w:p>
      <w:pPr>
        <w:pStyle w:val="ListParagraph"/>
        <w:numPr>
          <w:ilvl w:val="0"/>
          <w:numId w:val="3"/>
        </w:numPr>
        <w:spacing w:after="100"/>
      </w:pPr>
      <w:r>
        <w:rPr>
          <w:rFonts w:ascii="Arial" w:cs="Arial" w:eastAsia="Arial" w:hAnsi="Arial"/>
          <w:color w:val="333333"/>
          <w:sz w:val="24"/>
          <w:szCs w:val="24"/>
        </w:rPr>
        <w:t xml:space="preserve">A confidence level (High / Medium / Low) based on data completeness and signal agreement</w:t>
      </w:r>
    </w:p>
    <w:p>
      <w:pPr>
        <w:pStyle w:val="Heading2"/>
      </w:pPr>
      <w:r>
        <w:t xml:space="preserve">3.2 Scoring Methodology</w:t>
      </w:r>
    </w:p>
    <w:p>
      <w:pPr>
        <w:spacing w:after="160"/>
      </w:pPr>
      <w:r>
        <w:rPr>
          <w:rFonts w:ascii="Arial" w:cs="Arial" w:eastAsia="Arial" w:hAnsi="Arial"/>
          <w:color w:val="333333"/>
          <w:sz w:val="24"/>
          <w:szCs w:val="24"/>
        </w:rPr>
        <w:t xml:space="preserve">The Quant Score is a weighted composite of five factor categories: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50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Factor Category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5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Key Metrics</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Value</w:t>
            </w:r>
          </w:p>
        </w:tc>
        <w:tc>
          <w:tcPr>
            <w:tcW w:type="dxa" w:w="1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20%</w:t>
            </w:r>
          </w:p>
        </w:tc>
        <w:tc>
          <w:tcPr>
            <w:tcW w:type="dxa" w:w="504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P/E, P/B, PEG, EV/EBITDA, Price-to-Sales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Growth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20%</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Revenue growth, EPS growth, forward estimates, earnings revisions</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Momentum</w:t>
            </w:r>
          </w:p>
        </w:tc>
        <w:tc>
          <w:tcPr>
            <w:tcW w:type="dxa" w:w="1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25%</w:t>
            </w:r>
          </w:p>
        </w:tc>
        <w:tc>
          <w:tcPr>
            <w:tcW w:type="dxa" w:w="504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RSI, MACD, 50/200-day MA crossovers, 3/6/12-month price performance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Profitability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15%</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ROE, ROA, gross margin, operating margin, free cash flow yield</w:t>
            </w:r>
          </w:p>
        </w:tc>
      </w:tr>
      <w:tr>
        <w:tc>
          <w:tcPr>
            <w:tcW w:type="dxa" w:w="312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Risk / Sentiment</w:t>
            </w:r>
          </w:p>
        </w:tc>
        <w:tc>
          <w:tcPr>
            <w:tcW w:type="dxa" w:w="1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20%</w:t>
            </w:r>
          </w:p>
        </w:tc>
        <w:tc>
          <w:tcPr>
            <w:tcW w:type="dxa" w:w="504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Beta, short interest ratio, institutional ownership changes, options flow</w:t>
            </w:r>
          </w:p>
        </w:tc>
      </w:tr>
    </w:tbl>
    <w:p>
      <w:pPr>
        <w:spacing w:after="80"/>
      </w:pPr>
    </w:p>
    <w:p>
      <w:pPr>
        <w:spacing w:after="160"/>
      </w:pPr>
      <w:r>
        <w:rPr>
          <w:rFonts w:ascii="Arial" w:cs="Arial" w:eastAsia="Arial" w:hAnsi="Arial"/>
          <w:color w:val="333333"/>
          <w:sz w:val="24"/>
          <w:szCs w:val="24"/>
        </w:rPr>
        <w:t xml:space="preserve">Momentum receives the highest weight because it captures both technical and behavioral market dynamics, which are particularly relevant for the short-term signal. The model will be backtested against historical data and refined over time.</w:t>
      </w:r>
    </w:p>
    <w:p>
      <w:pPr>
        <w:pStyle w:val="Heading2"/>
      </w:pPr>
      <w:r>
        <w:t xml:space="preserve">3.3 Directional Signal Logic</w:t>
      </w:r>
    </w:p>
    <w:p>
      <w:pPr>
        <w:spacing w:after="160"/>
      </w:pPr>
      <w:r>
        <w:rPr>
          <w:rFonts w:ascii="Arial" w:cs="Arial" w:eastAsia="Arial" w:hAnsi="Arial"/>
          <w:color w:val="333333"/>
          <w:sz w:val="24"/>
          <w:szCs w:val="24"/>
        </w:rPr>
        <w:t xml:space="preserve">The directional signal is derived from the Quant Score combined with a time-horizon weighting adjustment:</w:t>
      </w:r>
    </w:p>
    <w:p>
      <w:pPr>
        <w:pStyle w:val="ListParagraph"/>
        <w:numPr>
          <w:ilvl w:val="0"/>
          <w:numId w:val="2"/>
        </w:numPr>
        <w:spacing w:after="100"/>
      </w:pPr>
      <w:r>
        <w:rPr>
          <w:rFonts w:ascii="Arial" w:cs="Arial" w:eastAsia="Arial" w:hAnsi="Arial"/>
          <w:color w:val="333333"/>
          <w:sz w:val="24"/>
          <w:szCs w:val="24"/>
        </w:rPr>
        <w:t xml:space="preserve">Buy Long-Term: Quant Score above 70 with strong Value and Growth factors, even if short-term Momentum is weak.</w:t>
      </w:r>
    </w:p>
    <w:p>
      <w:pPr>
        <w:pStyle w:val="ListParagraph"/>
        <w:numPr>
          <w:ilvl w:val="0"/>
          <w:numId w:val="2"/>
        </w:numPr>
        <w:spacing w:after="100"/>
      </w:pPr>
      <w:r>
        <w:rPr>
          <w:rFonts w:ascii="Arial" w:cs="Arial" w:eastAsia="Arial" w:hAnsi="Arial"/>
          <w:color w:val="333333"/>
          <w:sz w:val="24"/>
          <w:szCs w:val="24"/>
        </w:rPr>
        <w:t xml:space="preserve">Buy Short-Term: Quant Score above 65 with strong Momentum and positive Sentiment signals, regardless of valuation depth.</w:t>
      </w:r>
    </w:p>
    <w:p>
      <w:pPr>
        <w:pStyle w:val="ListParagraph"/>
        <w:numPr>
          <w:ilvl w:val="0"/>
          <w:numId w:val="2"/>
        </w:numPr>
        <w:spacing w:after="100"/>
      </w:pPr>
      <w:r>
        <w:rPr>
          <w:rFonts w:ascii="Arial" w:cs="Arial" w:eastAsia="Arial" w:hAnsi="Arial"/>
          <w:color w:val="333333"/>
          <w:sz w:val="24"/>
          <w:szCs w:val="24"/>
        </w:rPr>
        <w:t xml:space="preserve">Short: Quant Score below 30, or strong negative momentum combined with deteriorating fundamentals and high short interest.</w:t>
      </w:r>
    </w:p>
    <w:p>
      <w:pPr>
        <w:pStyle w:val="ListParagraph"/>
        <w:numPr>
          <w:ilvl w:val="0"/>
          <w:numId w:val="2"/>
        </w:numPr>
        <w:spacing w:after="100"/>
      </w:pPr>
      <w:r>
        <w:rPr>
          <w:rFonts w:ascii="Arial" w:cs="Arial" w:eastAsia="Arial" w:hAnsi="Arial"/>
          <w:color w:val="333333"/>
          <w:sz w:val="24"/>
          <w:szCs w:val="24"/>
        </w:rPr>
        <w:t xml:space="preserve">Hold: Scores between 30–65 or mixed signals with low confidence.</w:t>
      </w:r>
    </w:p>
    <w:p>
      <w:r>
        <w:br w:type="page"/>
      </w:r>
    </w:p>
    <w:p>
      <w:pPr>
        <w:pStyle w:val="Heading1"/>
      </w:pPr>
      <w:r>
        <w:t xml:space="preserve">4. Market Opportunity</w:t>
      </w:r>
    </w:p>
    <w:p>
      <w:pPr>
        <w:pStyle w:val="Heading2"/>
      </w:pPr>
      <w:r>
        <w:t xml:space="preserve">4.1 Market Size</w:t>
      </w:r>
    </w:p>
    <w:p>
      <w:pPr>
        <w:spacing w:after="160"/>
      </w:pPr>
      <w:r>
        <w:rPr>
          <w:rFonts w:ascii="Arial" w:cs="Arial" w:eastAsia="Arial" w:hAnsi="Arial"/>
          <w:color w:val="333333"/>
          <w:sz w:val="24"/>
          <w:szCs w:val="24"/>
        </w:rPr>
        <w:t xml:space="preserve">The addressable market is large and growing:</w:t>
      </w:r>
    </w:p>
    <w:p>
      <w:pPr>
        <w:pStyle w:val="ListParagraph"/>
        <w:numPr>
          <w:ilvl w:val="0"/>
          <w:numId w:val="2"/>
        </w:numPr>
        <w:spacing w:after="100"/>
      </w:pPr>
      <w:r>
        <w:rPr>
          <w:rFonts w:ascii="Arial" w:cs="Arial" w:eastAsia="Arial" w:hAnsi="Arial"/>
          <w:color w:val="333333"/>
          <w:sz w:val="24"/>
          <w:szCs w:val="24"/>
        </w:rPr>
        <w:t xml:space="preserve">Over 60 million funded US retail brokerage accounts as of 2025.</w:t>
      </w:r>
    </w:p>
    <w:p>
      <w:pPr>
        <w:pStyle w:val="ListParagraph"/>
        <w:numPr>
          <w:ilvl w:val="0"/>
          <w:numId w:val="2"/>
        </w:numPr>
        <w:spacing w:after="100"/>
      </w:pPr>
      <w:r>
        <w:rPr>
          <w:rFonts w:ascii="Arial" w:cs="Arial" w:eastAsia="Arial" w:hAnsi="Arial"/>
          <w:color w:val="333333"/>
          <w:sz w:val="24"/>
          <w:szCs w:val="24"/>
        </w:rPr>
        <w:t xml:space="preserve">Global retail investing market projected to exceed $1.5 trillion in assets by 2028.</w:t>
      </w:r>
    </w:p>
    <w:p>
      <w:pPr>
        <w:pStyle w:val="ListParagraph"/>
        <w:numPr>
          <w:ilvl w:val="0"/>
          <w:numId w:val="2"/>
        </w:numPr>
        <w:spacing w:after="100"/>
      </w:pPr>
      <w:r>
        <w:rPr>
          <w:rFonts w:ascii="Arial" w:cs="Arial" w:eastAsia="Arial" w:hAnsi="Arial"/>
          <w:color w:val="333333"/>
          <w:sz w:val="24"/>
          <w:szCs w:val="24"/>
        </w:rPr>
        <w:t xml:space="preserve">The financial data and analytics market is valued at approximately $40 billion and growing at 10%+ annually.</w:t>
      </w:r>
    </w:p>
    <w:p>
      <w:pPr>
        <w:pStyle w:val="ListParagraph"/>
        <w:numPr>
          <w:ilvl w:val="0"/>
          <w:numId w:val="2"/>
        </w:numPr>
        <w:spacing w:after="100"/>
      </w:pPr>
      <w:r>
        <w:rPr>
          <w:rFonts w:ascii="Arial" w:cs="Arial" w:eastAsia="Arial" w:hAnsi="Arial"/>
          <w:color w:val="333333"/>
          <w:sz w:val="24"/>
          <w:szCs w:val="24"/>
        </w:rPr>
        <w:t xml:space="preserve">Stock screening and analysis tools (Seeking Alpha, Zacks, TipRanks, Morningstar) collectively serve tens of millions of users.</w:t>
      </w:r>
    </w:p>
    <w:p>
      <w:pPr>
        <w:pStyle w:val="Heading2"/>
      </w:pPr>
      <w:r>
        <w:t xml:space="preserve">4.2 Competitive Landscape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Competitor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Strengths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Weaknesses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QScoring Advantage</w:t>
            </w:r>
          </w:p>
        </w:tc>
      </w:tr>
      <w:tr>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Seeking Alpha Quant</w:t>
            </w:r>
          </w:p>
        </w:tc>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Large user base, integrated content</w:t>
            </w:r>
          </w:p>
        </w:tc>
        <w:tc>
          <w:tcPr>
            <w:tcW w:type="dxa" w:w="2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Complex UI, score methodology opaque</w:t>
            </w:r>
          </w:p>
        </w:tc>
        <w:tc>
          <w:tcPr>
            <w:tcW w:type="dxa" w:w="27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Simpler UX, transparent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Zacks Rank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Proven track record, earnings focus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Dated interface, upsell-heavy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Modern design, no ads</w:t>
            </w:r>
          </w:p>
        </w:tc>
      </w:tr>
      <w:tr>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TipRanks</w:t>
            </w:r>
          </w:p>
        </w:tc>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Analyst consensus aggregation</w:t>
            </w:r>
          </w:p>
        </w:tc>
        <w:tc>
          <w:tcPr>
            <w:tcW w:type="dxa" w:w="2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Analyst-dependent, not purely quantitative</w:t>
            </w:r>
          </w:p>
        </w:tc>
        <w:tc>
          <w:tcPr>
            <w:tcW w:type="dxa" w:w="27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Fully algorithmic, no human bias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Finviz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Powerful screener, free tier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 composite scoring, overwhelming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Single score, clear recommendation</w:t>
            </w:r>
          </w:p>
        </w:tc>
      </w:tr>
      <w:tr>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Morningstar</w:t>
            </w:r>
          </w:p>
        </w:tc>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Deep fundamental analysis</w:t>
            </w:r>
          </w:p>
        </w:tc>
        <w:tc>
          <w:tcPr>
            <w:tcW w:type="dxa" w:w="2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Expensive, geared toward long-term only</w:t>
            </w:r>
          </w:p>
        </w:tc>
        <w:tc>
          <w:tcPr>
            <w:tcW w:type="dxa" w:w="27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Short-term + long-term signals</w:t>
            </w:r>
          </w:p>
        </w:tc>
      </w:tr>
    </w:tbl>
    <w:p>
      <w:pPr>
        <w:pStyle w:val="Heading2"/>
      </w:pPr>
      <w:r>
        <w:t xml:space="preserve">4.3 Competitive Moat</w:t>
      </w:r>
    </w:p>
    <w:p>
      <w:pPr>
        <w:spacing w:after="160"/>
      </w:pPr>
      <w:r>
        <w:rPr>
          <w:rFonts w:ascii="Arial" w:cs="Arial" w:eastAsia="Arial" w:hAnsi="Arial"/>
          <w:color w:val="333333"/>
          <w:sz w:val="24"/>
          <w:szCs w:val="24"/>
        </w:rPr>
        <w:t xml:space="preserve">QScoring differentiates through simplicity, speed, and transparency. While competitors bury insights behind complex dashboards or paywalls, QScoring delivers an answer in seconds. The scoring methodology is transparent, and over time, the platform will build a proprietary dataset of backtested model performance that competitors cannot easily replicate.</w:t>
      </w:r>
    </w:p>
    <w:p>
      <w:r>
        <w:br w:type="page"/>
      </w:r>
    </w:p>
    <w:p>
      <w:pPr>
        <w:pStyle w:val="Heading1"/>
      </w:pPr>
      <w:r>
        <w:t xml:space="preserve">5. Revenue Model</w:t>
      </w:r>
    </w:p>
    <w:p>
      <w:pPr>
        <w:pStyle w:val="Heading2"/>
      </w:pPr>
      <w:r>
        <w:t xml:space="preserve">5.1 Subscription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000"/>
        <w:gridCol w:w="30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Free Trial (14 days)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Monthly Plan</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Annual Plan</w:t>
            </w:r>
          </w:p>
        </w:tc>
      </w:tr>
      <w:tr>
        <w:tc>
          <w:tcPr>
            <w:tcW w:type="dxa" w:w="2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Price</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$0</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$19.99/month</w:t>
            </w:r>
          </w:p>
        </w:tc>
        <w:tc>
          <w:tcPr>
            <w:tcW w:type="dxa" w:w="30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$149.99/year (save 37%)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Lookups per day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Unlimited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Unlimited</w:t>
            </w:r>
          </w:p>
        </w:tc>
      </w:tr>
      <w:tr>
        <w:tc>
          <w:tcPr>
            <w:tcW w:type="dxa" w:w="2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Quant Score</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30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Directional signal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Yes</w:t>
            </w:r>
          </w:p>
        </w:tc>
      </w:tr>
      <w:tr>
        <w:tc>
          <w:tcPr>
            <w:tcW w:type="dxa" w:w="2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Score breakdown</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Limited</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Full</w:t>
            </w:r>
          </w:p>
        </w:tc>
        <w:tc>
          <w:tcPr>
            <w:tcW w:type="dxa" w:w="30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Watchlist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Up to 50 tickers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Up to 200 tickers</w:t>
            </w:r>
          </w:p>
        </w:tc>
      </w:tr>
      <w:tr>
        <w:tc>
          <w:tcPr>
            <w:tcW w:type="dxa" w:w="2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Alerts (email/push)</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5 alerts</w:t>
            </w:r>
          </w:p>
        </w:tc>
        <w:tc>
          <w:tcPr>
            <w:tcW w:type="dxa" w:w="30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Unlimited alerts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Historical score trends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30 days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12 months</w:t>
            </w:r>
          </w:p>
        </w:tc>
      </w:tr>
      <w:tr>
        <w:tc>
          <w:tcPr>
            <w:tcW w:type="dxa" w:w="26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API access</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No</w:t>
            </w:r>
          </w:p>
        </w:tc>
        <w:tc>
          <w:tcPr>
            <w:tcW w:type="dxa" w:w="30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Yes (1,000 calls/month)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Priority support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Yes</w:t>
            </w:r>
          </w:p>
        </w:tc>
      </w:tr>
    </w:tbl>
    <w:p>
      <w:pPr>
        <w:pStyle w:val="Heading2"/>
      </w:pPr>
      <w:r>
        <w:t xml:space="preserve">5.2 Revenue Projections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5"/>
        <w:gridCol w:w="2055"/>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Year 1</w:t>
            </w:r>
          </w:p>
        </w:tc>
        <w:tc>
          <w:tcPr>
            <w:tcW w:type="dxa" w:w="20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Year 2</w:t>
            </w:r>
          </w:p>
        </w:tc>
        <w:tc>
          <w:tcPr>
            <w:tcW w:type="dxa" w:w="20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Year 3</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Free trial signups</w:t>
            </w:r>
          </w:p>
        </w:tc>
        <w:tc>
          <w:tcPr>
            <w:tcW w:type="dxa" w:w="205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15,000</w:t>
            </w:r>
          </w:p>
        </w:tc>
        <w:tc>
          <w:tcPr>
            <w:tcW w:type="dxa" w:w="2055"/>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50,000</w:t>
            </w:r>
          </w:p>
        </w:tc>
        <w:tc>
          <w:tcPr>
            <w:tcW w:type="dxa" w:w="2055"/>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120,000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Paying subscribers (end of year)</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1,500</w:t>
            </w:r>
          </w:p>
        </w:tc>
        <w:tc>
          <w:tcPr>
            <w:tcW w:type="dxa" w:w="2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7,500</w:t>
            </w:r>
          </w:p>
        </w:tc>
        <w:tc>
          <w:tcPr>
            <w:tcW w:type="dxa" w:w="2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25,000</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Conversion rate</w:t>
            </w:r>
          </w:p>
        </w:tc>
        <w:tc>
          <w:tcPr>
            <w:tcW w:type="dxa" w:w="205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10%</w:t>
            </w:r>
          </w:p>
        </w:tc>
        <w:tc>
          <w:tcPr>
            <w:tcW w:type="dxa" w:w="2055"/>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15%</w:t>
            </w:r>
          </w:p>
        </w:tc>
        <w:tc>
          <w:tcPr>
            <w:tcW w:type="dxa" w:w="2055"/>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Average revenue per user (ARPU)</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$14/mo</w:t>
            </w:r>
          </w:p>
        </w:tc>
        <w:tc>
          <w:tcPr>
            <w:tcW w:type="dxa" w:w="2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$15/mo</w:t>
            </w:r>
          </w:p>
        </w:tc>
        <w:tc>
          <w:tcPr>
            <w:tcW w:type="dxa" w:w="2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$16/mo</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Monthly Recurring Revenue (end of year)</w:t>
            </w:r>
          </w:p>
        </w:tc>
        <w:tc>
          <w:tcPr>
            <w:tcW w:type="dxa" w:w="205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$21,000</w:t>
            </w:r>
          </w:p>
        </w:tc>
        <w:tc>
          <w:tcPr>
            <w:tcW w:type="dxa" w:w="2055"/>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$112,500</w:t>
            </w:r>
          </w:p>
        </w:tc>
        <w:tc>
          <w:tcPr>
            <w:tcW w:type="dxa" w:w="2055"/>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$400,000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Annual Revenue</w:t>
            </w:r>
          </w:p>
        </w:tc>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$126,000</w:t>
            </w:r>
          </w:p>
        </w:tc>
        <w:tc>
          <w:tcPr>
            <w:tcW w:type="dxa" w:w="2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$1,012,500</w:t>
            </w:r>
          </w:p>
        </w:tc>
        <w:tc>
          <w:tcPr>
            <w:tcW w:type="dxa" w:w="20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$3,600,000</w:t>
            </w:r>
          </w:p>
        </w:tc>
      </w:tr>
    </w:tbl>
    <w:p>
      <w:pPr>
        <w:spacing w:after="80"/>
      </w:pPr>
    </w:p>
    <w:p>
      <w:pPr>
        <w:spacing w:after="160"/>
      </w:pPr>
      <w:r>
        <w:rPr>
          <w:rFonts w:ascii="Arial" w:cs="Arial" w:eastAsia="Arial" w:hAnsi="Arial"/>
          <w:color w:val="333333"/>
          <w:sz w:val="24"/>
          <w:szCs w:val="24"/>
        </w:rPr>
        <w:t xml:space="preserve">Year 1 projections assume conservative organic growth via SEO, social media, and finance community engagement. Years 2–3 assume scaling through content marketing, partnerships, and referral programs. ARPU increases reflect annual price optimization and higher annual plan adoption.</w:t>
      </w:r>
    </w:p>
    <w:p>
      <w:r>
        <w:br w:type="page"/>
      </w:r>
    </w:p>
    <w:p>
      <w:pPr>
        <w:pStyle w:val="Heading1"/>
      </w:pPr>
      <w:r>
        <w:t xml:space="preserve">6. Technology Stack &amp; Architecture</w:t>
      </w:r>
    </w:p>
    <w:p>
      <w:pPr>
        <w:pStyle w:val="Heading2"/>
      </w:pPr>
      <w:r>
        <w:t xml:space="preserve">6.1 Recommended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Frontend</w:t>
            </w:r>
          </w:p>
        </w:tc>
        <w:tc>
          <w:tcPr>
            <w:tcW w:type="dxa" w:w="3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Next.js (React) + Tailwind CSS</w:t>
            </w:r>
          </w:p>
        </w:tc>
        <w:tc>
          <w:tcPr>
            <w:tcW w:type="dxa" w:w="36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Fast, SEO-friendly, component-based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Backend / API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Next.js API Routes or FastAPI (Python)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Serverless-ready, rapid development</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Database</w:t>
            </w:r>
          </w:p>
        </w:tc>
        <w:tc>
          <w:tcPr>
            <w:tcW w:type="dxa" w:w="3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PostgreSQL (via Supabase or Neon)</w:t>
            </w:r>
          </w:p>
        </w:tc>
        <w:tc>
          <w:tcPr>
            <w:tcW w:type="dxa" w:w="36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Relational, robust, free tier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Cache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Redis (Upstash)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Sub-millisecond score caching, rate limiting</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Financial Data API</w:t>
            </w:r>
          </w:p>
        </w:tc>
        <w:tc>
          <w:tcPr>
            <w:tcW w:type="dxa" w:w="3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Financial Modeling Prep or Polygon.io</w:t>
            </w:r>
          </w:p>
        </w:tc>
        <w:tc>
          <w:tcPr>
            <w:tcW w:type="dxa" w:w="36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Comprehensive stock data, affordable pricing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Hosting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Cloudflare Pages + Workers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Edge performance, free SSL, already configured</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Auth</w:t>
            </w:r>
          </w:p>
        </w:tc>
        <w:tc>
          <w:tcPr>
            <w:tcW w:type="dxa" w:w="3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Clerk or Supabase Auth</w:t>
            </w:r>
          </w:p>
        </w:tc>
        <w:tc>
          <w:tcPr>
            <w:tcW w:type="dxa" w:w="36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Drop-in auth with subscription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Payments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Stripe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Industry standard for SaaS subscriptions</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Monitoring</w:t>
            </w:r>
          </w:p>
        </w:tc>
        <w:tc>
          <w:tcPr>
            <w:tcW w:type="dxa" w:w="35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Cloudflare Analytics + Sentry</w:t>
            </w:r>
          </w:p>
        </w:tc>
        <w:tc>
          <w:tcPr>
            <w:tcW w:type="dxa" w:w="36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Performance and error tracking</w:t>
            </w:r>
          </w:p>
        </w:tc>
      </w:tr>
    </w:tbl>
    <w:p>
      <w:pPr>
        <w:pStyle w:val="Heading2"/>
      </w:pPr>
      <w:r>
        <w:t xml:space="preserve">6.2 Architecture Overview</w:t>
      </w:r>
    </w:p>
    <w:p>
      <w:pPr>
        <w:spacing w:after="160"/>
      </w:pPr>
      <w:r>
        <w:rPr>
          <w:rFonts w:ascii="Arial" w:cs="Arial" w:eastAsia="Arial" w:hAnsi="Arial"/>
          <w:color w:val="333333"/>
          <w:sz w:val="24"/>
          <w:szCs w:val="24"/>
        </w:rPr>
        <w:t xml:space="preserve">The platform follows a serverless-first architecture to minimize infrastructure costs and maximize scalability:</w:t>
      </w:r>
    </w:p>
    <w:p>
      <w:pPr>
        <w:pStyle w:val="ListParagraph"/>
        <w:numPr>
          <w:ilvl w:val="0"/>
          <w:numId w:val="4"/>
        </w:numPr>
        <w:spacing w:after="100"/>
      </w:pPr>
      <w:r>
        <w:rPr>
          <w:rFonts w:ascii="Arial" w:cs="Arial" w:eastAsia="Arial" w:hAnsi="Arial"/>
          <w:color w:val="333333"/>
          <w:sz w:val="24"/>
          <w:szCs w:val="24"/>
        </w:rPr>
        <w:t xml:space="preserve">User enters a ticker on the frontend (Next.js, hosted on Cloudflare Pages).</w:t>
      </w:r>
    </w:p>
    <w:p>
      <w:pPr>
        <w:pStyle w:val="ListParagraph"/>
        <w:numPr>
          <w:ilvl w:val="0"/>
          <w:numId w:val="4"/>
        </w:numPr>
        <w:spacing w:after="100"/>
      </w:pPr>
      <w:r>
        <w:rPr>
          <w:rFonts w:ascii="Arial" w:cs="Arial" w:eastAsia="Arial" w:hAnsi="Arial"/>
          <w:color w:val="333333"/>
          <w:sz w:val="24"/>
          <w:szCs w:val="24"/>
        </w:rPr>
        <w:t xml:space="preserve">Request hits the API layer, which first checks Redis cache for a recent score.</w:t>
      </w:r>
    </w:p>
    <w:p>
      <w:pPr>
        <w:pStyle w:val="ListParagraph"/>
        <w:numPr>
          <w:ilvl w:val="0"/>
          <w:numId w:val="4"/>
        </w:numPr>
        <w:spacing w:after="100"/>
      </w:pPr>
      <w:r>
        <w:rPr>
          <w:rFonts w:ascii="Arial" w:cs="Arial" w:eastAsia="Arial" w:hAnsi="Arial"/>
          <w:color w:val="333333"/>
          <w:sz w:val="24"/>
          <w:szCs w:val="24"/>
        </w:rPr>
        <w:t xml:space="preserve">On cache miss, the API fetches real-time data from the financial data provider.</w:t>
      </w:r>
    </w:p>
    <w:p>
      <w:pPr>
        <w:pStyle w:val="ListParagraph"/>
        <w:numPr>
          <w:ilvl w:val="0"/>
          <w:numId w:val="4"/>
        </w:numPr>
        <w:spacing w:after="100"/>
      </w:pPr>
      <w:r>
        <w:rPr>
          <w:rFonts w:ascii="Arial" w:cs="Arial" w:eastAsia="Arial" w:hAnsi="Arial"/>
          <w:color w:val="333333"/>
          <w:sz w:val="24"/>
          <w:szCs w:val="24"/>
        </w:rPr>
        <w:t xml:space="preserve">The scoring engine (Python or JavaScript) computes the Quant Score and directional signal.</w:t>
      </w:r>
    </w:p>
    <w:p>
      <w:pPr>
        <w:pStyle w:val="ListParagraph"/>
        <w:numPr>
          <w:ilvl w:val="0"/>
          <w:numId w:val="4"/>
        </w:numPr>
        <w:spacing w:after="100"/>
      </w:pPr>
      <w:r>
        <w:rPr>
          <w:rFonts w:ascii="Arial" w:cs="Arial" w:eastAsia="Arial" w:hAnsi="Arial"/>
          <w:color w:val="333333"/>
          <w:sz w:val="24"/>
          <w:szCs w:val="24"/>
        </w:rPr>
        <w:t xml:space="preserve">Results are cached (TTL: 15 minutes for intraday freshness) and returned to the user.</w:t>
      </w:r>
    </w:p>
    <w:p>
      <w:pPr>
        <w:pStyle w:val="ListParagraph"/>
        <w:numPr>
          <w:ilvl w:val="0"/>
          <w:numId w:val="4"/>
        </w:numPr>
        <w:spacing w:after="100"/>
      </w:pPr>
      <w:r>
        <w:rPr>
          <w:rFonts w:ascii="Arial" w:cs="Arial" w:eastAsia="Arial" w:hAnsi="Arial"/>
          <w:color w:val="333333"/>
          <w:sz w:val="24"/>
          <w:szCs w:val="24"/>
        </w:rPr>
        <w:t xml:space="preserve">Scores are persisted to PostgreSQL for historical tracking and watchlist features.</w:t>
      </w:r>
    </w:p>
    <w:p>
      <w:pPr>
        <w:pStyle w:val="Heading2"/>
      </w:pPr>
      <w:r>
        <w:t xml:space="preserve">6.3 Data API Cost Estimates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Plan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Monthly Cost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API Calls Included</w:t>
            </w:r>
          </w:p>
        </w:tc>
      </w:tr>
      <w:tr>
        <w:tc>
          <w:tcPr>
            <w:tcW w:type="dxa" w:w="24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Financial Modeling Prep</w:t>
            </w:r>
          </w:p>
        </w:tc>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Starter</w:t>
            </w:r>
          </w:p>
        </w:tc>
        <w:tc>
          <w:tcPr>
            <w:tcW w:type="dxa" w:w="24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$29/mo</w:t>
            </w:r>
          </w:p>
        </w:tc>
        <w:tc>
          <w:tcPr>
            <w:tcW w:type="dxa" w:w="27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300 calls/min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Polygon.io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Starter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$29/mo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5 calls/min, unlimited data</w:t>
            </w:r>
          </w:p>
        </w:tc>
      </w:tr>
      <w:tr>
        <w:tc>
          <w:tcPr>
            <w:tcW w:type="dxa" w:w="24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Alpha Vantage</w:t>
            </w:r>
          </w:p>
        </w:tc>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Premium</w:t>
            </w:r>
          </w:p>
        </w:tc>
        <w:tc>
          <w:tcPr>
            <w:tcW w:type="dxa" w:w="24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$49.99/mo</w:t>
            </w:r>
          </w:p>
        </w:tc>
        <w:tc>
          <w:tcPr>
            <w:tcW w:type="dxa" w:w="27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75 calls/min</w:t>
            </w:r>
          </w:p>
        </w:tc>
      </w:tr>
    </w:tbl>
    <w:p>
      <w:pPr>
        <w:spacing w:after="80"/>
      </w:pPr>
    </w:p>
    <w:p>
      <w:pPr>
        <w:spacing w:after="160"/>
      </w:pPr>
      <w:r>
        <w:rPr>
          <w:rFonts w:ascii="Arial" w:cs="Arial" w:eastAsia="Arial" w:hAnsi="Arial"/>
          <w:color w:val="333333"/>
          <w:sz w:val="24"/>
          <w:szCs w:val="24"/>
        </w:rPr>
        <w:t xml:space="preserve">Financial Modeling Prep or Polygon.io are recommended for the MVP due to their balance of coverage, rate limits, and cost. Both provide fundamentals, technicals, and market data through a single API.</w:t>
      </w:r>
    </w:p>
    <w:p>
      <w:r>
        <w:br w:type="page"/>
      </w:r>
    </w:p>
    <w:p>
      <w:pPr>
        <w:pStyle w:val="Heading1"/>
      </w:pPr>
      <w:r>
        <w:t xml:space="preserve">7. Financial Plan</w:t>
      </w:r>
    </w:p>
    <w:p>
      <w:pPr>
        <w:pStyle w:val="Heading2"/>
      </w:pPr>
      <w:r>
        <w:t xml:space="preserve">7.1 Startup Costs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One-Time Cost</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Domain (qscoring.com)</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$10</w:t>
            </w:r>
          </w:p>
        </w:tc>
        <w:tc>
          <w:tcPr>
            <w:tcW w:type="dxa" w:w="4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Already purchased via Cloudflare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Cloudflare hosting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Free tier sufficient for MVP</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Financial data API</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$0–$50/mo</w:t>
            </w:r>
          </w:p>
        </w:tc>
        <w:tc>
          <w:tcPr>
            <w:tcW w:type="dxa" w:w="4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Free tiers available; $29–$50 for production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Supabase (database + 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Free tier: 500MB, 50K monthly active users</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Stripe setup</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$0</w:t>
            </w:r>
          </w:p>
        </w:tc>
        <w:tc>
          <w:tcPr>
            <w:tcW w:type="dxa" w:w="4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No monthly fee; 2.9% + 30¢ per transaction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Design assets / stock images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$0–$100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Optional; use Tailwind + open-source icons</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LLC formation</w:t>
            </w:r>
          </w:p>
        </w:tc>
        <w:tc>
          <w:tcPr>
            <w:tcW w:type="dxa" w:w="2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$100–$300</w:t>
            </w:r>
          </w:p>
        </w:tc>
        <w:tc>
          <w:tcPr>
            <w:tcW w:type="dxa" w:w="41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Recommended before launch; state filing fees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Total initial investment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$110–$460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Bootstrappable with minimal capital</w:t>
            </w:r>
          </w:p>
        </w:tc>
      </w:tr>
    </w:tbl>
    <w:p>
      <w:pPr>
        <w:pStyle w:val="Heading2"/>
      </w:pPr>
      <w:r>
        <w:t xml:space="preserve">7.2 Monthly Operating Costs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230"/>
        <w:gridCol w:w="223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Month 1–6</w:t>
            </w:r>
          </w:p>
        </w:tc>
        <w:tc>
          <w:tcPr>
            <w:tcW w:type="dxa" w:w="22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Month 7–12</w:t>
            </w:r>
          </w:p>
        </w:tc>
        <w:tc>
          <w:tcPr>
            <w:tcW w:type="dxa" w:w="22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Year 2</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Financial data API</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$29</w:t>
            </w:r>
          </w:p>
        </w:tc>
        <w:tc>
          <w:tcPr>
            <w:tcW w:type="dxa" w:w="223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$49</w:t>
            </w:r>
          </w:p>
        </w:tc>
        <w:tc>
          <w:tcPr>
            <w:tcW w:type="dxa" w:w="223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$99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Database (Supabase Pro)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$0</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$25</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$25</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Redis cache (Upstash)</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$0</w:t>
            </w:r>
          </w:p>
        </w:tc>
        <w:tc>
          <w:tcPr>
            <w:tcW w:type="dxa" w:w="223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$10</w:t>
            </w:r>
          </w:p>
        </w:tc>
        <w:tc>
          <w:tcPr>
            <w:tcW w:type="dxa" w:w="223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Email service (Resend/Postmark)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$0</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$20</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$50</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Monitoring (Sentry)</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$0</w:t>
            </w:r>
          </w:p>
        </w:tc>
        <w:tc>
          <w:tcPr>
            <w:tcW w:type="dxa" w:w="223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$0</w:t>
            </w:r>
          </w:p>
        </w:tc>
        <w:tc>
          <w:tcPr>
            <w:tcW w:type="dxa" w:w="223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Stripe fees (~3% of revenue)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$0</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$630/mo</w:t>
            </w:r>
          </w:p>
        </w:tc>
        <w:tc>
          <w:tcPr>
            <w:tcW w:type="dxa" w:w="22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$2,500/mo</w:t>
            </w:r>
          </w:p>
        </w:tc>
      </w:tr>
      <w:tr>
        <w:tc>
          <w:tcPr>
            <w:tcW w:type="dxa" w:w="3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Total monthly burn</w:t>
            </w:r>
          </w:p>
        </w:tc>
        <w:tc>
          <w:tcPr>
            <w:tcW w:type="dxa" w:w="17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$29</w:t>
            </w:r>
          </w:p>
        </w:tc>
        <w:tc>
          <w:tcPr>
            <w:tcW w:type="dxa" w:w="223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$734</w:t>
            </w:r>
          </w:p>
        </w:tc>
        <w:tc>
          <w:tcPr>
            <w:tcW w:type="dxa" w:w="223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$2,730</w:t>
            </w:r>
          </w:p>
        </w:tc>
      </w:tr>
    </w:tbl>
    <w:p>
      <w:pPr>
        <w:spacing w:after="80"/>
      </w:pPr>
    </w:p>
    <w:p>
      <w:pPr>
        <w:spacing w:after="160"/>
      </w:pPr>
      <w:r>
        <w:rPr>
          <w:rFonts w:ascii="Arial" w:cs="Arial" w:eastAsia="Arial" w:hAnsi="Arial"/>
          <w:color w:val="333333"/>
          <w:sz w:val="24"/>
          <w:szCs w:val="24"/>
        </w:rPr>
        <w:t xml:space="preserve">The business reaches profitability at approximately 200 paying subscribers (monthly plan equivalent), which is achievable within the first 6–9 months based on conservative projections. The low fixed-cost structure means nearly all marginal revenue drops to the bottom line after breakeven.</w:t>
      </w:r>
    </w:p>
    <w:p>
      <w:pPr>
        <w:pStyle w:val="Heading2"/>
      </w:pPr>
      <w:r>
        <w:t xml:space="preserve">7.3 Break-Even Analysis</w:t>
      </w:r>
    </w:p>
    <w:p>
      <w:pPr>
        <w:spacing w:after="160"/>
      </w:pPr>
      <w:r>
        <w:rPr>
          <w:rFonts w:ascii="Arial" w:cs="Arial" w:eastAsia="Arial" w:hAnsi="Arial"/>
          <w:color w:val="333333"/>
          <w:sz w:val="24"/>
          <w:szCs w:val="24"/>
        </w:rPr>
        <w:t xml:space="preserve">With monthly operating costs of approximately $734 at scale and an average revenue per user of $14/month (blended monthly and annual), the break-even point is approximately 53 paying subscribers. This accounts for Stripe transaction fees and all infrastructure costs.</w:t>
      </w:r>
    </w:p>
    <w:p>
      <w:r>
        <w:br w:type="page"/>
      </w:r>
    </w:p>
    <w:p>
      <w:pPr>
        <w:pStyle w:val="Heading1"/>
      </w:pPr>
      <w:r>
        <w:t xml:space="preserve">8. Go-to-Market Strategy</w:t>
      </w:r>
    </w:p>
    <w:p>
      <w:pPr>
        <w:pStyle w:val="Heading2"/>
      </w:pPr>
      <w:r>
        <w:t xml:space="preserve">8.1 Pre-Launch (Weeks 1–4)</w:t>
      </w:r>
    </w:p>
    <w:p>
      <w:pPr>
        <w:pStyle w:val="ListParagraph"/>
        <w:numPr>
          <w:ilvl w:val="0"/>
          <w:numId w:val="5"/>
        </w:numPr>
        <w:spacing w:after="100"/>
      </w:pPr>
      <w:r>
        <w:rPr>
          <w:rFonts w:ascii="Arial" w:cs="Arial" w:eastAsia="Arial" w:hAnsi="Arial"/>
          <w:color w:val="333333"/>
          <w:sz w:val="24"/>
          <w:szCs w:val="24"/>
        </w:rPr>
        <w:t xml:space="preserve">Build a landing page on qscoring.com with an email signup for early access.</w:t>
      </w:r>
    </w:p>
    <w:p>
      <w:pPr>
        <w:pStyle w:val="ListParagraph"/>
        <w:numPr>
          <w:ilvl w:val="0"/>
          <w:numId w:val="5"/>
        </w:numPr>
        <w:spacing w:after="100"/>
      </w:pPr>
      <w:r>
        <w:rPr>
          <w:rFonts w:ascii="Arial" w:cs="Arial" w:eastAsia="Arial" w:hAnsi="Arial"/>
          <w:color w:val="333333"/>
          <w:sz w:val="24"/>
          <w:szCs w:val="24"/>
        </w:rPr>
        <w:t xml:space="preserve">Create social media accounts (X/Twitter, Reddit r/wallstreetbets, r/stocks, r/investing).</w:t>
      </w:r>
    </w:p>
    <w:p>
      <w:pPr>
        <w:pStyle w:val="ListParagraph"/>
        <w:numPr>
          <w:ilvl w:val="0"/>
          <w:numId w:val="5"/>
        </w:numPr>
        <w:spacing w:after="100"/>
      </w:pPr>
      <w:r>
        <w:rPr>
          <w:rFonts w:ascii="Arial" w:cs="Arial" w:eastAsia="Arial" w:hAnsi="Arial"/>
          <w:color w:val="333333"/>
          <w:sz w:val="24"/>
          <w:szCs w:val="24"/>
        </w:rPr>
        <w:t xml:space="preserve">Post teaser content: sample scores for trending tickers, methodology explainers.</w:t>
      </w:r>
    </w:p>
    <w:p>
      <w:pPr>
        <w:pStyle w:val="ListParagraph"/>
        <w:numPr>
          <w:ilvl w:val="0"/>
          <w:numId w:val="5"/>
        </w:numPr>
        <w:spacing w:after="100"/>
      </w:pPr>
      <w:r>
        <w:rPr>
          <w:rFonts w:ascii="Arial" w:cs="Arial" w:eastAsia="Arial" w:hAnsi="Arial"/>
          <w:color w:val="333333"/>
          <w:sz w:val="24"/>
          <w:szCs w:val="24"/>
        </w:rPr>
        <w:t xml:space="preserve">Set a launch target of 500 email signups before beta release.</w:t>
      </w:r>
    </w:p>
    <w:p>
      <w:pPr>
        <w:pStyle w:val="Heading2"/>
      </w:pPr>
      <w:r>
        <w:t xml:space="preserve">8.2 Launch Phase (Weeks 5–12)</w:t>
      </w:r>
    </w:p>
    <w:p>
      <w:pPr>
        <w:pStyle w:val="ListParagraph"/>
        <w:numPr>
          <w:ilvl w:val="0"/>
          <w:numId w:val="6"/>
        </w:numPr>
        <w:spacing w:after="100"/>
      </w:pPr>
      <w:r>
        <w:rPr>
          <w:rFonts w:ascii="Arial" w:cs="Arial" w:eastAsia="Arial" w:hAnsi="Arial"/>
          <w:color w:val="333333"/>
          <w:sz w:val="24"/>
          <w:szCs w:val="24"/>
        </w:rPr>
        <w:t xml:space="preserve">Release the MVP with free 14-day trial, no credit card required.</w:t>
      </w:r>
    </w:p>
    <w:p>
      <w:pPr>
        <w:pStyle w:val="ListParagraph"/>
        <w:numPr>
          <w:ilvl w:val="0"/>
          <w:numId w:val="6"/>
        </w:numPr>
        <w:spacing w:after="100"/>
      </w:pPr>
      <w:r>
        <w:rPr>
          <w:rFonts w:ascii="Arial" w:cs="Arial" w:eastAsia="Arial" w:hAnsi="Arial"/>
          <w:color w:val="333333"/>
          <w:sz w:val="24"/>
          <w:szCs w:val="24"/>
        </w:rPr>
        <w:t xml:space="preserve">Publish SEO-optimized blog content: stock analyses using QScoring methodology.</w:t>
      </w:r>
    </w:p>
    <w:p>
      <w:pPr>
        <w:pStyle w:val="ListParagraph"/>
        <w:numPr>
          <w:ilvl w:val="0"/>
          <w:numId w:val="6"/>
        </w:numPr>
        <w:spacing w:after="100"/>
      </w:pPr>
      <w:r>
        <w:rPr>
          <w:rFonts w:ascii="Arial" w:cs="Arial" w:eastAsia="Arial" w:hAnsi="Arial"/>
          <w:color w:val="333333"/>
          <w:sz w:val="24"/>
          <w:szCs w:val="24"/>
        </w:rPr>
        <w:t xml:space="preserve">Engage in finance subreddits and X/Twitter FinTwit communities organically.</w:t>
      </w:r>
    </w:p>
    <w:p>
      <w:pPr>
        <w:pStyle w:val="ListParagraph"/>
        <w:numPr>
          <w:ilvl w:val="0"/>
          <w:numId w:val="6"/>
        </w:numPr>
        <w:spacing w:after="100"/>
      </w:pPr>
      <w:r>
        <w:rPr>
          <w:rFonts w:ascii="Arial" w:cs="Arial" w:eastAsia="Arial" w:hAnsi="Arial"/>
          <w:color w:val="333333"/>
          <w:sz w:val="24"/>
          <w:szCs w:val="24"/>
        </w:rPr>
        <w:t xml:space="preserve">Reach out to finance YouTubers and newsletter creators for review/partnership.</w:t>
      </w:r>
    </w:p>
    <w:p>
      <w:pPr>
        <w:pStyle w:val="ListParagraph"/>
        <w:numPr>
          <w:ilvl w:val="0"/>
          <w:numId w:val="6"/>
        </w:numPr>
        <w:spacing w:after="100"/>
      </w:pPr>
      <w:r>
        <w:rPr>
          <w:rFonts w:ascii="Arial" w:cs="Arial" w:eastAsia="Arial" w:hAnsi="Arial"/>
          <w:color w:val="333333"/>
          <w:sz w:val="24"/>
          <w:szCs w:val="24"/>
        </w:rPr>
        <w:t xml:space="preserve">Implement a referral program: give 1 free month for every 3 referrals who convert.</w:t>
      </w:r>
    </w:p>
    <w:p>
      <w:pPr>
        <w:pStyle w:val="Heading2"/>
      </w:pPr>
      <w:r>
        <w:t xml:space="preserve">8.3 Growth Phase (Months 4–12)</w:t>
      </w:r>
    </w:p>
    <w:p>
      <w:pPr>
        <w:pStyle w:val="ListParagraph"/>
        <w:numPr>
          <w:ilvl w:val="0"/>
          <w:numId w:val="2"/>
        </w:numPr>
        <w:spacing w:after="100"/>
      </w:pPr>
      <w:r>
        <w:rPr>
          <w:rFonts w:ascii="Arial" w:cs="Arial" w:eastAsia="Arial" w:hAnsi="Arial"/>
          <w:color w:val="333333"/>
          <w:sz w:val="24"/>
          <w:szCs w:val="24"/>
        </w:rPr>
        <w:t xml:space="preserve">Content marketing: Weekly "QScore Top 10" and "QScore Bottom 10" lists drive organic traffic and social sharing.</w:t>
      </w:r>
    </w:p>
    <w:p>
      <w:pPr>
        <w:pStyle w:val="ListParagraph"/>
        <w:numPr>
          <w:ilvl w:val="0"/>
          <w:numId w:val="2"/>
        </w:numPr>
        <w:spacing w:after="100"/>
      </w:pPr>
      <w:r>
        <w:rPr>
          <w:rFonts w:ascii="Arial" w:cs="Arial" w:eastAsia="Arial" w:hAnsi="Arial"/>
          <w:color w:val="333333"/>
          <w:sz w:val="24"/>
          <w:szCs w:val="24"/>
        </w:rPr>
        <w:t xml:space="preserve">SEO play: Target long-tail keywords like "should I buy [TICKER] stock" and "[TICKER] stock analysis" with auto-generated score pages.</w:t>
      </w:r>
    </w:p>
    <w:p>
      <w:pPr>
        <w:pStyle w:val="ListParagraph"/>
        <w:numPr>
          <w:ilvl w:val="0"/>
          <w:numId w:val="2"/>
        </w:numPr>
        <w:spacing w:after="100"/>
      </w:pPr>
      <w:r>
        <w:rPr>
          <w:rFonts w:ascii="Arial" w:cs="Arial" w:eastAsia="Arial" w:hAnsi="Arial"/>
          <w:color w:val="333333"/>
          <w:sz w:val="24"/>
          <w:szCs w:val="24"/>
        </w:rPr>
        <w:t xml:space="preserve">API partnerships: Offer the QScore API to financial bloggers, newsletter operators, and small fintech apps.</w:t>
      </w:r>
    </w:p>
    <w:p>
      <w:pPr>
        <w:pStyle w:val="ListParagraph"/>
        <w:numPr>
          <w:ilvl w:val="0"/>
          <w:numId w:val="2"/>
        </w:numPr>
        <w:spacing w:after="100"/>
      </w:pPr>
      <w:r>
        <w:rPr>
          <w:rFonts w:ascii="Arial" w:cs="Arial" w:eastAsia="Arial" w:hAnsi="Arial"/>
          <w:color w:val="333333"/>
          <w:sz w:val="24"/>
          <w:szCs w:val="24"/>
        </w:rPr>
        <w:t xml:space="preserve">Email marketing: Weekly digest to subscribers with notable score changes in their watchlists.</w:t>
      </w:r>
    </w:p>
    <w:p>
      <w:pPr>
        <w:pStyle w:val="Heading2"/>
      </w:pPr>
      <w:r>
        <w:t xml:space="preserve">8.4 Customer Acquisition Cost (CAC) Targets</w:t>
      </w:r>
    </w:p>
    <w:p>
      <w:pPr>
        <w:spacing w:after="160"/>
      </w:pPr>
      <w:r>
        <w:rPr>
          <w:rFonts w:ascii="Arial" w:cs="Arial" w:eastAsia="Arial" w:hAnsi="Arial"/>
          <w:color w:val="333333"/>
          <w:sz w:val="24"/>
          <w:szCs w:val="24"/>
        </w:rPr>
        <w:t xml:space="preserve">With a primarily organic and content-driven strategy, the target CAC is under $15 per paying subscriber in Year 1. As the brand builds authority and SEO compounds, CAC is expected to decline to under $8 in Year 2. Lifetime value (LTV) at 8-month average retention and $14 ARPU is approximately $112, yielding an LTV:CAC ratio above 7:1.</w:t>
      </w:r>
    </w:p>
    <w:p>
      <w:r>
        <w:br w:type="page"/>
      </w:r>
    </w:p>
    <w:p>
      <w:pPr>
        <w:pStyle w:val="Heading1"/>
      </w:pPr>
      <w:r>
        <w:t xml:space="preserve">9. Legal &amp; Regulatory Considerations</w:t>
      </w:r>
    </w:p>
    <w:p>
      <w:pPr>
        <w:spacing w:after="160"/>
      </w:pPr>
      <w:r>
        <w:rPr>
          <w:rFonts w:ascii="Arial" w:cs="Arial" w:eastAsia="Arial" w:hAnsi="Arial"/>
          <w:color w:val="333333"/>
          <w:sz w:val="24"/>
          <w:szCs w:val="24"/>
        </w:rPr>
        <w:t xml:space="preserve">Operating a stock scoring platform requires careful attention to securities regulations:</w:t>
      </w:r>
    </w:p>
    <w:p>
      <w:pPr>
        <w:pStyle w:val="Heading2"/>
      </w:pPr>
      <w:r>
        <w:t xml:space="preserve">9.1 SEC / FINRA Compliance</w:t>
      </w:r>
    </w:p>
    <w:p>
      <w:pPr>
        <w:pStyle w:val="ListParagraph"/>
        <w:numPr>
          <w:ilvl w:val="0"/>
          <w:numId w:val="2"/>
        </w:numPr>
        <w:spacing w:after="100"/>
      </w:pPr>
      <w:r>
        <w:rPr>
          <w:rFonts w:ascii="Arial" w:cs="Arial" w:eastAsia="Arial" w:hAnsi="Arial"/>
          <w:color w:val="333333"/>
          <w:sz w:val="24"/>
          <w:szCs w:val="24"/>
        </w:rPr>
        <w:t xml:space="preserve">QScoring provides quantitative analysis and educational information, not personalized investment advice. All output will include clear disclaimers.</w:t>
      </w:r>
    </w:p>
    <w:p>
      <w:pPr>
        <w:pStyle w:val="ListParagraph"/>
        <w:numPr>
          <w:ilvl w:val="0"/>
          <w:numId w:val="2"/>
        </w:numPr>
        <w:spacing w:after="100"/>
      </w:pPr>
      <w:r>
        <w:rPr>
          <w:rFonts w:ascii="Arial" w:cs="Arial" w:eastAsia="Arial" w:hAnsi="Arial"/>
          <w:color w:val="333333"/>
          <w:sz w:val="24"/>
          <w:szCs w:val="24"/>
        </w:rPr>
        <w:t xml:space="preserve">The platform will avoid language like "you should buy" or "we recommend" and instead use "bullish signal," "bearish signal," and "quantitative score."</w:t>
      </w:r>
    </w:p>
    <w:p>
      <w:pPr>
        <w:pStyle w:val="ListParagraph"/>
        <w:numPr>
          <w:ilvl w:val="0"/>
          <w:numId w:val="2"/>
        </w:numPr>
        <w:spacing w:after="100"/>
      </w:pPr>
      <w:r>
        <w:rPr>
          <w:rFonts w:ascii="Arial" w:cs="Arial" w:eastAsia="Arial" w:hAnsi="Arial"/>
          <w:color w:val="333333"/>
          <w:sz w:val="24"/>
          <w:szCs w:val="24"/>
        </w:rPr>
        <w:t xml:space="preserve">No fiduciary relationship is established. Terms of service will explicitly disclaim any advisory relationship.</w:t>
      </w:r>
    </w:p>
    <w:p>
      <w:pPr>
        <w:pStyle w:val="ListParagraph"/>
        <w:numPr>
          <w:ilvl w:val="0"/>
          <w:numId w:val="2"/>
        </w:numPr>
        <w:spacing w:after="100"/>
      </w:pPr>
      <w:r>
        <w:rPr>
          <w:rFonts w:ascii="Arial" w:cs="Arial" w:eastAsia="Arial" w:hAnsi="Arial"/>
          <w:color w:val="333333"/>
          <w:sz w:val="24"/>
          <w:szCs w:val="24"/>
        </w:rPr>
        <w:t xml:space="preserve">If the platform scales to the point where registration as a Registered Investment Adviser (RIA) is warranted, legal counsel will be engaged to evaluate that transition.</w:t>
      </w:r>
    </w:p>
    <w:p>
      <w:pPr>
        <w:pStyle w:val="Heading2"/>
      </w:pPr>
      <w:r>
        <w:t xml:space="preserve">9.2 Disclaimers</w:t>
      </w:r>
    </w:p>
    <w:p>
      <w:pPr>
        <w:spacing w:after="160"/>
      </w:pPr>
      <w:r>
        <w:rPr>
          <w:rFonts w:ascii="Arial" w:cs="Arial" w:eastAsia="Arial" w:hAnsi="Arial"/>
          <w:color w:val="333333"/>
          <w:sz w:val="24"/>
          <w:szCs w:val="24"/>
        </w:rPr>
        <w:t xml:space="preserve">Every score page and the site footer will include: "QScoring provides quantitative analysis for informational and educational purposes only. It does not constitute investment advice, a recommendation, or a solicitation to buy or sell any security. Past performance and quantitative scores do not guarantee future results. Always conduct your own research and consult a licensed financial advisor before making investment decisions."</w:t>
      </w:r>
    </w:p>
    <w:p>
      <w:pPr>
        <w:pStyle w:val="Heading2"/>
      </w:pPr>
      <w:r>
        <w:t xml:space="preserve">9.3 Business Entity</w:t>
      </w:r>
    </w:p>
    <w:p>
      <w:pPr>
        <w:spacing w:after="160"/>
      </w:pPr>
      <w:r>
        <w:rPr>
          <w:rFonts w:ascii="Arial" w:cs="Arial" w:eastAsia="Arial" w:hAnsi="Arial"/>
          <w:color w:val="333333"/>
          <w:sz w:val="24"/>
          <w:szCs w:val="24"/>
        </w:rPr>
        <w:t xml:space="preserve">A single-member LLC (formed in New Jersey or Delaware) is recommended to provide liability protection and tax flexibility. Estimated formation cost is $100–$300 depending on the state. An EIN should be obtained before processing payments through Stripe.</w:t>
      </w:r>
    </w:p>
    <w:p>
      <w:pPr>
        <w:pStyle w:val="Heading2"/>
      </w:pPr>
      <w:r>
        <w:t xml:space="preserve">9.4 Data Licensing</w:t>
      </w:r>
    </w:p>
    <w:p>
      <w:pPr>
        <w:spacing w:after="160"/>
      </w:pPr>
      <w:r>
        <w:rPr>
          <w:rFonts w:ascii="Arial" w:cs="Arial" w:eastAsia="Arial" w:hAnsi="Arial"/>
          <w:color w:val="333333"/>
          <w:sz w:val="24"/>
          <w:szCs w:val="24"/>
        </w:rPr>
        <w:t xml:space="preserve">Financial data API providers (Financial Modeling Prep, Polygon.io) include redistribution rights in their commercial plans. The terms of service for the selected provider will be reviewed to ensure QScoring’s use case (derived scores from raw data) is compliant.</w:t>
      </w:r>
    </w:p>
    <w:p>
      <w:r>
        <w:br w:type="page"/>
      </w:r>
    </w:p>
    <w:p>
      <w:pPr>
        <w:pStyle w:val="Heading1"/>
      </w:pPr>
      <w:r>
        <w:t xml:space="preserve">10. Development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Phase 1: Foundation</w:t>
            </w:r>
          </w:p>
        </w:tc>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Weeks 1–2</w:t>
            </w:r>
          </w:p>
        </w:tc>
        <w:tc>
          <w:tcPr>
            <w:tcW w:type="dxa" w:w="53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Landing page with email capture; select and integrate financial data API; build scoring engine prototype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Phase 2: MVP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Weeks 3–6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Core web app: ticker input, score display, score breakdown; user auth and free trial flow; Stripe subscription integration</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Phase 3: Beta Launch</w:t>
            </w:r>
          </w:p>
        </w:tc>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Weeks 7–8</w:t>
            </w:r>
          </w:p>
        </w:tc>
        <w:tc>
          <w:tcPr>
            <w:tcW w:type="dxa" w:w="53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Deploy to production on Cloudflare; onboard early access users; collect feedback and iterate on scoring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Phase 4: Full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Weeks 9–12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Watchlist and alerts; historical score tracking; SEO content pages; referral program</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Phase 5: Growth</w:t>
            </w:r>
          </w:p>
        </w:tc>
        <w:tc>
          <w:tcPr>
            <w:tcW w:type="dxa" w:w="18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Months 4–6</w:t>
            </w:r>
          </w:p>
        </w:tc>
        <w:tc>
          <w:tcPr>
            <w:tcW w:type="dxa" w:w="53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Mobile-responsive optimization; API access tier; expanded stock coverage (ETFs); blog and content marketing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Phase 6: Scale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Months 7–12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Advanced features: sector comparison, portfolio scoring; AI-generated analysis summaries; partnership integrations</w:t>
            </w:r>
          </w:p>
        </w:tc>
      </w:tr>
    </w:tbl>
    <w:p>
      <w:r>
        <w:br w:type="page"/>
      </w:r>
    </w:p>
    <w:p>
      <w:pPr>
        <w:pStyle w:val="Heading1"/>
      </w:pPr>
      <w:r>
        <w:t xml:space="preserve">11. Risk Analysis &amp; Mitigation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Data API provider changes pricing or terms</w:t>
            </w:r>
          </w:p>
        </w:tc>
        <w:tc>
          <w:tcPr>
            <w:tcW w:type="dxa" w:w="1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Medium</w:t>
            </w:r>
          </w:p>
        </w:tc>
        <w:tc>
          <w:tcPr>
            <w:tcW w:type="dxa" w:w="1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High</w:t>
            </w:r>
          </w:p>
        </w:tc>
        <w:tc>
          <w:tcPr>
            <w:tcW w:type="dxa" w:w="49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Abstract data layer to support multiple providers; maintain fallback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Low initial conversion 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Extend free trial, A/B test pricing, add free-tier features to build habit</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Regulatory scrutiny on scoring language</w:t>
            </w:r>
          </w:p>
        </w:tc>
        <w:tc>
          <w:tcPr>
            <w:tcW w:type="dxa" w:w="1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Low</w:t>
            </w:r>
          </w:p>
        </w:tc>
        <w:tc>
          <w:tcPr>
            <w:tcW w:type="dxa" w:w="1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High</w:t>
            </w:r>
          </w:p>
        </w:tc>
        <w:tc>
          <w:tcPr>
            <w:tcW w:type="dxa" w:w="49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Proactive legal review of all copy; clear disclaimers; avoid advisory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Competitor launches similar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Move fast, build community, focus on UX simplicity as differentiator</w:t>
            </w:r>
          </w:p>
        </w:tc>
      </w:tr>
      <w:tr>
        <w:tc>
          <w:tcPr>
            <w:tcW w:type="dxa" w:w="2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Scoring model underperforms expectations</w:t>
            </w:r>
          </w:p>
        </w:tc>
        <w:tc>
          <w:tcPr>
            <w:tcW w:type="dxa" w:w="12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Medium</w:t>
            </w:r>
          </w:p>
        </w:tc>
        <w:tc>
          <w:tcPr>
            <w:tcW w:type="dxa" w:w="100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High</w:t>
            </w:r>
          </w:p>
        </w:tc>
        <w:tc>
          <w:tcPr>
            <w:tcW w:type="dxa" w:w="4960"/>
            <w:tcBorders>
              <w:top w:val="single" w:color="CCCCCC" w:sz="1"/>
              <w:left w:val="single" w:color="CCCCCC" w:sz="1"/>
              <w:bottom w:val="single" w:color="CCCCCC" w:sz="1"/>
              <w:right w:val="single" w:color="CCCCCC" w:sz="1"/>
            </w:tcBorders>
            <w:shd w:fill="EAF0F7" w:val="clear"/>
            <w:tcMar>
              <w:top w:type="dxa" w:w="80"/>
              <w:left w:type="dxa" w:w="120"/>
              <w:bottom w:type="dxa" w:w="80"/>
              <w:right w:type="dxa" w:w="120"/>
            </w:tcMar>
          </w:tcPr>
          <w:p>
            <w:r>
              <w:rPr>
                <w:rFonts w:ascii="Arial" w:cs="Arial" w:eastAsia="Arial" w:hAnsi="Arial"/>
                <w:color w:val="333333"/>
                <w:sz w:val="22"/>
                <w:szCs w:val="22"/>
              </w:rPr>
              <w:t xml:space="preserve">Transparent methodology, regular backtesting, allow users to customize weights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Security breach or data exposure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No PII beyond email; use Stripe for all payments; standard security practices</w:t>
            </w:r>
          </w:p>
        </w:tc>
      </w:tr>
    </w:tbl>
    <w:p>
      <w:r>
        <w:br w:type="page"/>
      </w:r>
    </w:p>
    <w:p>
      <w:pPr>
        <w:pStyle w:val="Heading1"/>
      </w:pPr>
      <w:r>
        <w:t xml:space="preserve">12. Founding Team</w:t>
      </w:r>
    </w:p>
    <w:p>
      <w:pPr>
        <w:spacing w:after="160"/>
      </w:pPr>
      <w:r>
        <w:rPr>
          <w:rFonts w:ascii="Arial" w:cs="Arial" w:eastAsia="Arial" w:hAnsi="Arial"/>
          <w:color w:val="333333"/>
          <w:sz w:val="24"/>
          <w:szCs w:val="24"/>
        </w:rPr>
        <w:t xml:space="preserve">Gagan Singh — Founder &amp; CEO</w:t>
      </w:r>
    </w:p>
    <w:p>
      <w:pPr>
        <w:spacing w:after="160"/>
      </w:pPr>
      <w:r>
        <w:rPr>
          <w:rFonts w:ascii="Arial" w:cs="Arial" w:eastAsia="Arial" w:hAnsi="Arial"/>
          <w:color w:val="333333"/>
          <w:sz w:val="24"/>
          <w:szCs w:val="24"/>
        </w:rPr>
        <w:t xml:space="preserve">Gagan brings over a decade of enterprise technology and infrastructure leadership to QScoring. His career spans senior roles at major institutions:</w:t>
      </w:r>
    </w:p>
    <w:p>
      <w:pPr>
        <w:pStyle w:val="ListParagraph"/>
        <w:numPr>
          <w:ilvl w:val="0"/>
          <w:numId w:val="2"/>
        </w:numPr>
        <w:spacing w:after="100"/>
      </w:pPr>
      <w:r>
        <w:rPr>
          <w:rFonts w:ascii="Arial" w:cs="Arial" w:eastAsia="Arial" w:hAnsi="Arial"/>
          <w:color w:val="333333"/>
          <w:sz w:val="24"/>
          <w:szCs w:val="24"/>
        </w:rPr>
        <w:t xml:space="preserve">AVP, IT &amp; Infrastructure at National Bank of Kuwait (New York Branch): Managed technology operations, financial planning, budget administration, and vendor contracts for a global banking institution.</w:t>
      </w:r>
    </w:p>
    <w:p>
      <w:pPr>
        <w:pStyle w:val="ListParagraph"/>
        <w:numPr>
          <w:ilvl w:val="0"/>
          <w:numId w:val="2"/>
        </w:numPr>
        <w:spacing w:after="100"/>
      </w:pPr>
      <w:r>
        <w:rPr>
          <w:rFonts w:ascii="Arial" w:cs="Arial" w:eastAsia="Arial" w:hAnsi="Arial"/>
          <w:color w:val="333333"/>
          <w:sz w:val="24"/>
          <w:szCs w:val="24"/>
        </w:rPr>
        <w:t xml:space="preserve">Senior Technical Architect at Merck: Led infrastructure supporting 50 petabytes of data; achieved 33% reduction in unmanaged infrastructure spend.</w:t>
      </w:r>
    </w:p>
    <w:p>
      <w:pPr>
        <w:pStyle w:val="ListParagraph"/>
        <w:numPr>
          <w:ilvl w:val="0"/>
          <w:numId w:val="2"/>
        </w:numPr>
        <w:spacing w:after="100"/>
      </w:pPr>
      <w:r>
        <w:rPr>
          <w:rFonts w:ascii="Arial" w:cs="Arial" w:eastAsia="Arial" w:hAnsi="Arial"/>
          <w:color w:val="333333"/>
          <w:sz w:val="24"/>
          <w:szCs w:val="24"/>
        </w:rPr>
        <w:t xml:space="preserve">VP Director, Cloud at Trinity Solar: Directed cloud strategy and infrastructure at one of the largest residential solar companies in the US.</w:t>
      </w:r>
    </w:p>
    <w:p>
      <w:pPr>
        <w:spacing w:after="80"/>
      </w:pPr>
    </w:p>
    <w:p>
      <w:pPr>
        <w:spacing w:after="160"/>
      </w:pPr>
      <w:r>
        <w:rPr>
          <w:rFonts w:ascii="Arial" w:cs="Arial" w:eastAsia="Arial" w:hAnsi="Arial"/>
          <w:color w:val="333333"/>
          <w:sz w:val="24"/>
          <w:szCs w:val="24"/>
        </w:rPr>
        <w:t xml:space="preserve">This background in enterprise architecture, financial operations, and technology leadership provides the ideal foundation for building a scalable, reliable, and financially disciplined fintech platform. Gagan holds a degree in Information Technology and is based in the New York/New Jersey metro area.</w:t>
      </w:r>
    </w:p>
    <w:p>
      <w:r>
        <w:br w:type="page"/>
      </w:r>
    </w:p>
    <w:p>
      <w:pPr>
        <w:pStyle w:val="Heading1"/>
      </w:pPr>
      <w:r>
        <w:t xml:space="preserve">13. Summary &amp; Next Steps</w:t>
      </w:r>
    </w:p>
    <w:p>
      <w:pPr>
        <w:spacing w:after="160"/>
      </w:pPr>
      <w:r>
        <w:rPr>
          <w:rFonts w:ascii="Arial" w:cs="Arial" w:eastAsia="Arial" w:hAnsi="Arial"/>
          <w:color w:val="333333"/>
          <w:sz w:val="24"/>
          <w:szCs w:val="24"/>
        </w:rPr>
        <w:t xml:space="preserve">QScoring addresses a clear market gap: retail investors need fast, transparent, quantitative stock analysis without the complexity of professional tools or the noise of ad-driven platforms. With a subscription-first revenue model, a lean tech stack, and a bootstrapped cost structure, the business can reach profitability quickly while building toward a significant recurring revenue base.</w:t>
      </w:r>
    </w:p>
    <w:p>
      <w:pPr>
        <w:spacing w:after="160"/>
      </w:pPr>
      <w:r>
        <w:rPr>
          <w:rFonts w:ascii="Arial" w:cs="Arial" w:eastAsia="Arial" w:hAnsi="Arial"/>
          <w:color w:val="333333"/>
          <w:sz w:val="24"/>
          <w:szCs w:val="24"/>
        </w:rPr>
        <w:t xml:space="preserve">Immediate next steps:</w:t>
      </w:r>
    </w:p>
    <w:p>
      <w:pPr>
        <w:pStyle w:val="ListParagraph"/>
        <w:numPr>
          <w:ilvl w:val="0"/>
          <w:numId w:val="3"/>
        </w:numPr>
        <w:spacing w:after="100"/>
      </w:pPr>
      <w:r>
        <w:rPr>
          <w:rFonts w:ascii="Arial" w:cs="Arial" w:eastAsia="Arial" w:hAnsi="Arial"/>
          <w:color w:val="333333"/>
          <w:sz w:val="24"/>
          <w:szCs w:val="24"/>
        </w:rPr>
        <w:t xml:space="preserve">Form LLC and obtain EIN.</w:t>
      </w:r>
    </w:p>
    <w:p>
      <w:pPr>
        <w:pStyle w:val="ListParagraph"/>
        <w:numPr>
          <w:ilvl w:val="0"/>
          <w:numId w:val="3"/>
        </w:numPr>
        <w:spacing w:after="100"/>
      </w:pPr>
      <w:r>
        <w:rPr>
          <w:rFonts w:ascii="Arial" w:cs="Arial" w:eastAsia="Arial" w:hAnsi="Arial"/>
          <w:color w:val="333333"/>
          <w:sz w:val="24"/>
          <w:szCs w:val="24"/>
        </w:rPr>
        <w:t xml:space="preserve">Build and deploy landing page with email capture on qscoring.com.</w:t>
      </w:r>
    </w:p>
    <w:p>
      <w:pPr>
        <w:pStyle w:val="ListParagraph"/>
        <w:numPr>
          <w:ilvl w:val="0"/>
          <w:numId w:val="3"/>
        </w:numPr>
        <w:spacing w:after="100"/>
      </w:pPr>
      <w:r>
        <w:rPr>
          <w:rFonts w:ascii="Arial" w:cs="Arial" w:eastAsia="Arial" w:hAnsi="Arial"/>
          <w:color w:val="333333"/>
          <w:sz w:val="24"/>
          <w:szCs w:val="24"/>
        </w:rPr>
        <w:t xml:space="preserve">Select financial data API provider and build scoring engine prototype.</w:t>
      </w:r>
    </w:p>
    <w:p>
      <w:pPr>
        <w:pStyle w:val="ListParagraph"/>
        <w:numPr>
          <w:ilvl w:val="0"/>
          <w:numId w:val="3"/>
        </w:numPr>
        <w:spacing w:after="100"/>
      </w:pPr>
      <w:r>
        <w:rPr>
          <w:rFonts w:ascii="Arial" w:cs="Arial" w:eastAsia="Arial" w:hAnsi="Arial"/>
          <w:color w:val="333333"/>
          <w:sz w:val="24"/>
          <w:szCs w:val="24"/>
        </w:rPr>
        <w:t xml:space="preserve">Develop MVP (target: 6 weeks to beta).</w:t>
      </w:r>
    </w:p>
    <w:p>
      <w:pPr>
        <w:pStyle w:val="ListParagraph"/>
        <w:numPr>
          <w:ilvl w:val="0"/>
          <w:numId w:val="3"/>
        </w:numPr>
        <w:spacing w:after="100"/>
      </w:pPr>
      <w:r>
        <w:rPr>
          <w:rFonts w:ascii="Arial" w:cs="Arial" w:eastAsia="Arial" w:hAnsi="Arial"/>
          <w:color w:val="333333"/>
          <w:sz w:val="24"/>
          <w:szCs w:val="24"/>
        </w:rPr>
        <w:t xml:space="preserve">Launch beta to early access list and iterate based on feedback.</w:t>
      </w:r>
    </w:p>
    <w:p>
      <w:pPr>
        <w:spacing w:after="80"/>
      </w:pPr>
    </w:p>
    <w:p>
      <w:pPr>
        <w:pBdr>
          <w:top w:val="single" w:color="2E75B6" w:sz="4" w:space="8"/>
        </w:pBdr>
        <w:spacing w:before="600"/>
        <w:jc w:val="center"/>
      </w:pPr>
      <w:r>
        <w:rPr>
          <w:rFonts w:ascii="Arial" w:cs="Arial" w:eastAsia="Arial" w:hAnsi="Arial"/>
          <w:b/>
          <w:bCs/>
          <w:color w:val="2E75B6"/>
          <w:sz w:val="28"/>
          <w:szCs w:val="28"/>
        </w:rPr>
        <w:t xml:space="preserve">qscoring.com</w:t>
      </w:r>
    </w:p>
    <w:p>
      <w:pPr>
        <w:spacing w:after="200"/>
        <w:jc w:val="center"/>
      </w:pPr>
      <w:r>
        <w:rPr>
          <w:rFonts w:ascii="Arial" w:cs="Arial" w:eastAsia="Arial" w:hAnsi="Arial"/>
          <w:i/>
          <w:iCs/>
          <w:color w:val="666666"/>
          <w:sz w:val="22"/>
          <w:szCs w:val="22"/>
        </w:rPr>
        <w:t xml:space="preserve">Built for investors who value clarity over complexity.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1B2A4A"/>
        <w:sz w:val="18"/>
        <w:szCs w:val="18"/>
      </w:rPr>
      <w:t xml:space="preserve">QScoring.com</w:t>
    </w:r>
    <w:r>
      <w:rPr>
        <w:rFonts w:ascii="Arial" w:cs="Arial" w:eastAsia="Arial" w:hAnsi="Arial"/>
        <w:color w:val="666666"/>
        <w:sz w:val="18"/>
        <w:szCs w:val="18"/>
      </w:rPr>
      <w:t xml:space="preserve">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2026-05-06T19:05:10.725Z</dcterms:created>
  <dcterms:modified xsi:type="dcterms:W3CDTF">2026-05-06T19:05:10.725Z</dcterms:modified>
</cp:coreProperties>
</file>

<file path=docProps/custom.xml><?xml version="1.0" encoding="utf-8"?>
<Properties xmlns="http://schemas.openxmlformats.org/officeDocument/2006/custom-properties" xmlns:vt="http://schemas.openxmlformats.org/officeDocument/2006/docPropsVTypes"/>
</file>