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pPr>
    </w:p>
    <w:p>
      <w:pPr>
        <w:tabs>
          <w:tab w:val="left" w:pos="1800"/>
          <w:tab w:val="left" w:pos="8640"/>
        </w:tabs>
        <w:spacing w:after="40"/>
        <w:rPr>
          <w:rFonts w:ascii="Arial" w:hAnsi="Arial" w:cs="Arial"/>
          <w:bCs/>
        </w:rPr>
      </w:pPr>
      <w:r>
        <w:rPr>
          <w:rFonts w:ascii="Arial" w:hAnsi="Arial" w:cs="Arial"/>
          <w:b/>
        </w:rPr>
        <w:t>Date:</w:t>
      </w:r>
      <w:r>
        <w:rPr>
          <w:rFonts w:ascii="Arial" w:hAnsi="Arial" w:cs="Arial"/>
          <w:b/>
        </w:rPr>
        <w:tab/>
      </w:r>
      <w:r>
        <w:rPr>
          <w:rFonts w:ascii="Arial" w:hAnsi="Arial" w:cs="Arial"/>
          <w:bCs/>
        </w:rPr>
        <w:t xml:space="preserve">9/29/2026</w:t>
      </w:r>
    </w:p>
    <w:p>
      <w:pPr>
        <w:tabs>
          <w:tab w:val="left" w:pos="1800"/>
          <w:tab w:val="left" w:pos="8640"/>
        </w:tabs>
        <w:spacing w:after="40"/>
        <w:ind w:left="1800" w:hanging="1800"/>
        <w:rPr>
          <w:rFonts w:ascii="Arial" w:hAnsi="Arial" w:cs="Arial"/>
          <w:bCs/>
        </w:rPr>
      </w:pPr>
      <w:r>
        <w:rPr>
          <w:rFonts w:ascii="Arial" w:hAnsi="Arial" w:cs="Arial"/>
          <w:b/>
        </w:rPr>
        <w:t>To:</w:t>
      </w:r>
      <w:r>
        <w:rPr>
          <w:rFonts w:ascii="Arial" w:hAnsi="Arial" w:cs="Arial"/>
          <w:b/>
        </w:rPr>
        <w:tab/>
      </w:r>
      <w:r>
        <w:rPr>
          <w:rFonts w:ascii="Arial" w:hAnsi="Arial" w:cs="Arial"/>
          <w:bCs/>
          <w:b/>
        </w:rPr>
        <w:t xml:space="preserve">PTC</w:t>
      </w:r>
    </w:p>
    <w:p>
      <w:pPr>
        <w:tabs>
          <w:tab w:val="left" w:pos="1800"/>
          <w:tab w:val="left" w:pos="8640"/>
        </w:tabs>
        <w:spacing w:after="40"/>
        <w:rPr>
          <w:rFonts w:ascii="Arial" w:hAnsi="Arial" w:cs="Arial"/>
          <w:bCs/>
        </w:rPr>
      </w:pPr>
      <w:r>
        <w:rPr>
          <w:rFonts w:ascii="Arial" w:hAnsi="Arial" w:cs="Arial"/>
          <w:b/>
        </w:rPr>
        <w:t>Author:</w:t>
      </w:r>
      <w:r>
        <w:rPr>
          <w:rFonts w:ascii="Arial" w:hAnsi="Arial" w:cs="Arial"/>
          <w:b/>
        </w:rPr>
        <w:tab/>
      </w:r>
      <w:r>
        <w:rPr>
          <w:rFonts w:ascii="Arial" w:hAnsi="Arial" w:cs="Arial"/>
          <w:bCs/>
          <w:b/>
        </w:rPr>
        <w:t xml:space="preserve">MTO – Mark Kevin Olivar</w:t>
      </w:r>
    </w:p>
    <w:p>
      <w:pPr>
        <w:tabs>
          <w:tab w:val="left" w:pos="1800"/>
          <w:tab w:val="left" w:pos="8640"/>
        </w:tabs>
        <w:spacing w:after="40"/>
        <w:rPr>
          <w:rFonts w:ascii="Arial" w:hAnsi="Arial" w:cs="Arial"/>
          <w:bCs/>
        </w:rPr>
      </w:pPr>
      <w:r>
        <w:rPr>
          <w:rFonts w:ascii="Arial" w:hAnsi="Arial" w:cs="Arial"/>
          <w:b/>
        </w:rPr>
        <w:t>Author File #:</w:t>
      </w:r>
      <w:r>
        <w:rPr>
          <w:rFonts w:ascii="Arial" w:hAnsi="Arial" w:cs="Arial"/>
          <w:b/>
        </w:rPr>
        <w:tab/>
      </w:r>
      <w:r>
        <w:rPr>
          <w:rFonts w:ascii="Arial" w:hAnsi="Arial" w:cs="Arial"/>
          <w:bCs/>
        </w:rPr>
        <w:t xml:space="preserve">MTO-MEMO-001A-092926</w:t>
      </w:r>
    </w:p>
    <w:p>
      <w:pPr>
        <w:tabs>
          <w:tab w:val="left" w:pos="1800"/>
          <w:tab w:val="left" w:pos="8640"/>
        </w:tabs>
        <w:spacing w:after="40"/>
        <w:ind w:left="1800" w:hanging="1800"/>
        <w:rPr>
          <w:rFonts w:ascii="Arial" w:hAnsi="Arial" w:cs="Arial"/>
          <w:bCs/>
        </w:rPr>
      </w:pPr>
      <w:r>
        <w:rPr>
          <w:rFonts w:ascii="Arial" w:hAnsi="Arial" w:cs="Arial"/>
          <w:b/>
        </w:rPr>
        <w:t>CC:</w:t>
      </w:r>
      <w:r>
        <w:rPr>
          <w:rFonts w:ascii="Arial" w:hAnsi="Arial" w:cs="Arial"/>
          <w:b/>
        </w:rPr>
        <w:tab/>
      </w:r>
      <w:r>
        <w:rPr>
          <w:rFonts w:ascii="Arial" w:hAnsi="Arial" w:cs="Arial"/>
          <w:bCs/>
          <w:b/>
        </w:rPr>
        <w:t xml:space="preserve">MOB, RZM, ODT, AWP, LWM, NTC, JPC, RDM, KLC, DGT, HR</w:t>
      </w:r>
    </w:p>
    <w:p>
      <w:pPr>
        <w:pBdr>
          <w:bottom w:val="single" w:sz="12" w:space="1" w:color="auto"/>
        </w:pBdr>
        <w:tabs>
          <w:tab w:val="left" w:pos="1800"/>
          <w:tab w:val="left" w:pos="8640"/>
        </w:tabs>
        <w:spacing w:after="40"/>
        <w:rPr>
          <w:rFonts w:ascii="Arial" w:hAnsi="Arial" w:cs="Arial"/>
          <w:bCs/>
        </w:rPr>
      </w:pPr>
      <w:r>
        <w:rPr>
          <w:rFonts w:ascii="Arial" w:hAnsi="Arial" w:cs="Arial"/>
          <w:b/>
        </w:rPr>
        <w:t>Subject:</w:t>
      </w:r>
      <w:r>
        <w:rPr>
          <w:rFonts w:ascii="Arial" w:hAnsi="Arial" w:cs="Arial"/>
          <w:b/>
        </w:rPr>
        <w:tab/>
      </w:r>
      <w:r>
        <w:rPr>
          <w:rFonts w:ascii="Arial" w:hAnsi="Arial" w:cs="Arial"/>
          <w:bCs/>
          <w:b/>
        </w:rPr>
        <w:t xml:space="preserve">SBSI REWARD SYSTEM – OVERALL PROGRAM CONCEPT</w:t>
      </w:r>
    </w:p>
    <w:p>
      <w:pPr>
        <w:pBdr>
          <w:bottom w:val="single" w:sz="12" w:space="1" w:color="auto"/>
        </w:pBdr>
        <w:tabs>
          <w:tab w:val="left" w:pos="1800"/>
          <w:tab w:val="left" w:pos="8640"/>
        </w:tabs>
        <w:spacing w:after="40"/>
        <w:rPr>
          <w:rFonts w:ascii="Arial" w:hAnsi="Arial" w:cs="Arial"/>
          <w:bCs/>
        </w:rPr>
      </w:pPr>
      <w:r>
        <w:rPr>
          <w:rFonts w:ascii="Arial" w:hAnsi="Arial" w:cs="Arial"/>
          <w:b/>
        </w:rPr>
        <w:t>Attachments:</w:t>
      </w:r>
      <w:r>
        <w:rPr>
          <w:rFonts w:ascii="Arial" w:hAnsi="Arial" w:cs="Arial"/>
          <w:b/>
        </w:rPr>
        <w:tab/>
      </w:r>
      <w:r>
        <w:rPr>
          <w:rFonts w:ascii="Arial" w:hAnsi="Arial" w:cs="Arial"/>
          <w:bCs/>
        </w:rPr>
        <w:t xml:space="preserve">sbsi-reward-system-memo_MTO-MEMO-001A_2026-09-29.docx; JPC-227A (Customer Satisfaction Guidelines); Criterias for Efficiency &amp; Delivery.xlsx (AWP); performance-qualification-matrix_2026-09-29.xlsx</w:t>
      </w:r>
    </w:p>
    <w:p>
      <w:pPr>
        <w:spacing w:after="0"/>
      </w:pPr>
    </w:p>
    <w:p>
      <w:pPr>
        <w:keepNext/>
        <w:spacing w:before="240" w:after="80"/>
      </w:pPr>
      <w:r>
        <w:rPr>
          <w:rFonts w:ascii="Arial" w:hAnsi="Arial" w:cs="Arial"/>
          <w:b/>
          <w:color w:val="1B3A6B"/>
        </w:rPr>
        <w:t>Introduction</w:t>
      </w:r>
    </w:p>
    <w:p>
      <w:pPr>
        <w:spacing w:before="0" w:after="80"/>
        <w:jc w:val="both"/>
      </w:pPr>
      <w:r>
        <w:rPr>
          <w:rFonts w:ascii="Arial" w:hAnsi="Arial" w:cs="Arial"/>
        </w:rPr>
        <w:t xml:space="preserve">This memo fulfills the Concept action (Owner: MTO, due WW41.2) in the SBSI Reward System action register. It defines the overall structure of the program and the common rules that every workstream plugs into. It does not replace the criteria, specifications, budget or mechanisms owned by the other workstream leads; it frames how they fit together.</w:t>
      </w:r>
    </w:p>
    <w:p>
      <w:pPr>
        <w:spacing w:before="0" w:after="80"/>
        <w:jc w:val="both"/>
      </w:pPr>
      <w:r>
        <w:rPr>
          <w:rFonts w:ascii="Arial" w:hAnsi="Arial" w:cs="Arial"/>
        </w:rPr>
        <w:t xml:space="preserve">The concept incorporates the inputs received to date: the Customer Satisfaction Guidelines (JPC-227A) and the Efficiency and Delivery criteria prepared by AWP. Quality (ODT) and Cost (NTC) inputs are pending and are shown as placeholders. Point values and tiers in this memo are proposals for RZM (Reward Criteria and Redemption) to confirm or replace.</w:t>
      </w:r>
    </w:p>
    <w:p>
      <w:pPr>
        <w:keepNext/>
        <w:spacing w:before="240" w:after="80"/>
      </w:pPr>
      <w:r>
        <w:rPr>
          <w:rFonts w:ascii="Arial" w:hAnsi="Arial" w:cs="Arial"/>
          <w:b/>
          <w:color w:val="1B3A6B"/>
        </w:rPr>
        <w:t>1. Purpose and Guiding Principles</w:t>
      </w:r>
    </w:p>
    <w:p>
      <w:pPr>
        <w:spacing w:before="0" w:after="80"/>
        <w:jc w:val="both"/>
      </w:pPr>
      <w:r>
        <w:rPr>
          <w:rFonts w:ascii="Arial" w:hAnsi="Arial" w:cs="Arial"/>
        </w:rPr>
        <w:t xml:space="preserve">The SBSI Reward System will recognize and reward employees whose behavior and results measurably improve quality, efficiency, delivery and customer experience, and will hold performance to a common, fairly applied standard. The program is guided by the following principles:</w:t>
      </w:r>
    </w:p>
    <w:p>
      <w:pPr>
        <w:spacing w:after="40"/>
        <w:ind w:left="360" w:hanging="260"/>
        <w:jc w:val="both"/>
      </w:pPr>
      <w:r>
        <w:rPr>
          <w:rFonts w:ascii="Arial" w:hAnsi="Arial" w:cs="Arial"/>
        </w:rPr>
        <w:t xml:space="preserve">•  </w:t>
      </w:r>
      <w:r>
        <w:rPr>
          <w:rFonts w:ascii="Arial" w:hAnsi="Arial" w:cs="Arial"/>
          <w:b/>
        </w:rPr>
        <w:t xml:space="preserve">Recognize the behavior, validate the result, reward the impact — </w:t>
      </w:r>
      <w:r>
        <w:rPr>
          <w:rFonts w:ascii="Arial" w:hAnsi="Arial" w:cs="Arial"/>
        </w:rPr>
        <w:t xml:space="preserve">adopted program-wide from JPC-227A. Rewards follow validated evidence, not a single number.</w:t>
      </w:r>
    </w:p>
    <w:p>
      <w:pPr>
        <w:spacing w:after="40"/>
        <w:ind w:left="360" w:hanging="260"/>
        <w:jc w:val="both"/>
      </w:pPr>
      <w:r>
        <w:rPr>
          <w:rFonts w:ascii="Arial" w:hAnsi="Arial" w:cs="Arial"/>
        </w:rPr>
        <w:t xml:space="preserve">•  </w:t>
      </w:r>
      <w:r>
        <w:rPr>
          <w:rFonts w:ascii="Arial" w:hAnsi="Arial" w:cs="Arial"/>
          <w:b/>
        </w:rPr>
        <w:t xml:space="preserve">One program, one standard — </w:t>
      </w:r>
      <w:r>
        <w:rPr>
          <w:rFonts w:ascii="Arial" w:hAnsi="Arial" w:cs="Arial"/>
        </w:rPr>
        <w:t xml:space="preserve">all departments use the same tiers, points, eligibility gates and approval path, while each pillar defines its own criteria.</w:t>
      </w:r>
    </w:p>
    <w:p>
      <w:pPr>
        <w:spacing w:after="40"/>
        <w:ind w:left="360" w:hanging="260"/>
        <w:jc w:val="both"/>
      </w:pPr>
      <w:r>
        <w:rPr>
          <w:rFonts w:ascii="Arial" w:hAnsi="Arial" w:cs="Arial"/>
        </w:rPr>
        <w:t xml:space="preserve">•  </w:t>
      </w:r>
      <w:r>
        <w:rPr>
          <w:rFonts w:ascii="Arial" w:hAnsi="Arial" w:cs="Arial"/>
          <w:b/>
        </w:rPr>
        <w:t xml:space="preserve">Fairness — </w:t>
      </w:r>
      <w:r>
        <w:rPr>
          <w:rFonts w:ascii="Arial" w:hAnsi="Arial" w:cs="Arial"/>
        </w:rPr>
        <w:t xml:space="preserve">measures account for role applicability and factors outside the employee's control (system issues, policy limits, upstream delays).</w:t>
      </w:r>
    </w:p>
    <w:p>
      <w:pPr>
        <w:spacing w:after="40"/>
        <w:ind w:left="360" w:hanging="260"/>
        <w:jc w:val="both"/>
      </w:pPr>
      <w:r>
        <w:rPr>
          <w:rFonts w:ascii="Arial" w:hAnsi="Arial" w:cs="Arial"/>
        </w:rPr>
        <w:t xml:space="preserve">•  </w:t>
      </w:r>
      <w:r>
        <w:rPr>
          <w:rFonts w:ascii="Arial" w:hAnsi="Arial" w:cs="Arial"/>
          <w:b/>
        </w:rPr>
        <w:t xml:space="preserve">Integrity — </w:t>
      </w:r>
      <w:r>
        <w:rPr>
          <w:rFonts w:ascii="Arial" w:hAnsi="Arial" w:cs="Arial"/>
        </w:rPr>
        <w:t xml:space="preserve">no soliciting, influencing or gaming of surveys, metrics or nominations.</w:t>
      </w:r>
    </w:p>
    <w:p>
      <w:pPr>
        <w:spacing w:after="40"/>
        <w:ind w:left="360" w:hanging="260"/>
        <w:jc w:val="both"/>
      </w:pPr>
      <w:r>
        <w:rPr>
          <w:rFonts w:ascii="Arial" w:hAnsi="Arial" w:cs="Arial"/>
        </w:rPr>
        <w:t xml:space="preserve">•  </w:t>
      </w:r>
      <w:r>
        <w:rPr>
          <w:rFonts w:ascii="Arial" w:hAnsi="Arial" w:cs="Arial"/>
          <w:b/>
        </w:rPr>
        <w:t xml:space="preserve">Accountability with due process — </w:t>
      </w:r>
      <w:r>
        <w:rPr>
          <w:rFonts w:ascii="Arial" w:hAnsi="Arial" w:cs="Arial"/>
        </w:rPr>
        <w:t xml:space="preserve">performance gaps are addressed consistently, documented, and aimed at competency recovery.</w:t>
      </w:r>
    </w:p>
    <w:p>
      <w:pPr>
        <w:spacing w:after="40"/>
        <w:ind w:left="360" w:hanging="260"/>
        <w:jc w:val="both"/>
      </w:pPr>
      <w:r>
        <w:rPr>
          <w:rFonts w:ascii="Arial" w:hAnsi="Arial" w:cs="Arial"/>
        </w:rPr>
        <w:t xml:space="preserve">•  </w:t>
      </w:r>
      <w:r>
        <w:rPr>
          <w:rFonts w:ascii="Arial" w:hAnsi="Arial" w:cs="Arial"/>
          <w:b/>
        </w:rPr>
        <w:t xml:space="preserve">Visibility — </w:t>
      </w:r>
      <w:r>
        <w:rPr>
          <w:rFonts w:ascii="Arial" w:hAnsi="Arial" w:cs="Arial"/>
        </w:rPr>
        <w:t xml:space="preserve">recognition is timely, communicated, and recorded in a single system of record.</w:t>
      </w:r>
    </w:p>
    <w:p>
      <w:pPr>
        <w:keepNext/>
        <w:spacing w:before="240" w:after="80"/>
      </w:pPr>
      <w:r>
        <w:rPr>
          <w:rFonts w:ascii="Arial" w:hAnsi="Arial" w:cs="Arial"/>
          <w:b/>
          <w:color w:val="1B3A6B"/>
        </w:rPr>
        <w:t>2. Program Architecture</w:t>
      </w:r>
    </w:p>
    <w:p>
      <w:pPr>
        <w:spacing w:before="0" w:after="80"/>
        <w:jc w:val="both"/>
      </w:pPr>
      <w:r>
        <w:rPr>
          <w:rFonts w:ascii="Arial" w:hAnsi="Arial" w:cs="Arial"/>
        </w:rPr>
        <w:t xml:space="preserve">The program has six components. Each is owned by a workstream in the action register.</w:t>
      </w:r>
    </w:p>
    <w:tbl>
      <w:tblPr>
        <w:tblW w:w="9360" w:type="dxa"/>
        <w:tblBorders>
          <w:top w:val="single" w:sz="4" w:space="0" w:color="BBCCE0"/>
          <w:left w:val="single" w:sz="4" w:space="0" w:color="BBCCE0"/>
          <w:bottom w:val="single" w:sz="4" w:space="0" w:color="BBCCE0"/>
          <w:right w:val="single" w:sz="4" w:space="0" w:color="BBCCE0"/>
          <w:insideH w:val="single" w:sz="4" w:space="0" w:color="BBCCE0"/>
          <w:insideV w:val="single" w:sz="4" w:space="0" w:color="BBCCE0"/>
        </w:tblBorders>
        <w:tblLayout w:type="fixed"/>
        <w:tblLook w:val="0000"/>
      </w:tblPr>
      <w:tblGrid>
        <w:gridCol w:w="2700"/>
        <w:gridCol w:w="5160"/>
        <w:gridCol w:w="1500"/>
      </w:tblGrid>
      <w:tr>
        <w:trPr>
          <w:tblHeader/>
          <w:cantSplit/>
        </w:trPr>
        <w:tc>
          <w:tcPr>
            <w:tcW w:w="2700" w:type="dxa"/>
            <w:shd w:val="clear" w:color="auto" w:fill="1B3A6B"/>
            <w:tcMar>
              <w:top w:w="60" w:type="dxa"/>
              <w:left w:w="100" w:type="dxa"/>
              <w:bottom w:w="60" w:type="dxa"/>
              <w:right w:w="100" w:type="dxa"/>
            </w:tcMar>
          </w:tcPr>
          <w:p>
            <w:pPr>
              <w:spacing w:after="0"/>
            </w:pPr>
            <w:r>
              <w:rPr>
                <w:rFonts w:ascii="Arial" w:hAnsi="Arial" w:cs="Arial"/>
                <w:b/>
                <w:sz w:val="17"/>
                <w:szCs w:val="17"/>
                <w:color w:val="FFFFFF"/>
              </w:rPr>
              <w:t xml:space="preserve">Component</w:t>
            </w:r>
          </w:p>
        </w:tc>
        <w:tc>
          <w:tcPr>
            <w:tcW w:w="5160" w:type="dxa"/>
            <w:shd w:val="clear" w:color="auto" w:fill="1B3A6B"/>
            <w:tcMar>
              <w:top w:w="60" w:type="dxa"/>
              <w:left w:w="100" w:type="dxa"/>
              <w:bottom w:w="60" w:type="dxa"/>
              <w:right w:w="100" w:type="dxa"/>
            </w:tcMar>
          </w:tcPr>
          <w:p>
            <w:pPr>
              <w:spacing w:after="0"/>
            </w:pPr>
            <w:r>
              <w:rPr>
                <w:rFonts w:ascii="Arial" w:hAnsi="Arial" w:cs="Arial"/>
                <w:b/>
                <w:sz w:val="17"/>
                <w:szCs w:val="17"/>
                <w:color w:val="FFFFFF"/>
              </w:rPr>
              <w:t xml:space="preserve">What it defines</w:t>
            </w:r>
          </w:p>
        </w:tc>
        <w:tc>
          <w:tcPr>
            <w:tcW w:w="1500" w:type="dxa"/>
            <w:shd w:val="clear" w:color="auto" w:fill="1B3A6B"/>
            <w:tcMar>
              <w:top w:w="60" w:type="dxa"/>
              <w:left w:w="100" w:type="dxa"/>
              <w:bottom w:w="60" w:type="dxa"/>
              <w:right w:w="100" w:type="dxa"/>
            </w:tcMar>
          </w:tcPr>
          <w:p>
            <w:pPr>
              <w:spacing w:after="0"/>
            </w:pPr>
            <w:r>
              <w:rPr>
                <w:rFonts w:ascii="Arial" w:hAnsi="Arial" w:cs="Arial"/>
                <w:b/>
                <w:sz w:val="17"/>
                <w:szCs w:val="17"/>
                <w:color w:val="FFFFFF"/>
              </w:rPr>
              <w:t xml:space="preserve">Owner</w:t>
            </w:r>
          </w:p>
        </w:tc>
      </w:tr>
      <w:tr>
        <w:trPr>
          <w:cantSplit/>
        </w:trPr>
        <w:tc>
          <w:tcPr>
            <w:tcW w:w="2700" w:type="dxa"/>
            <w:shd w:val="clear" w:color="auto" w:fill="EDF2F9"/>
            <w:tcMar>
              <w:top w:w="60" w:type="dxa"/>
              <w:left w:w="100" w:type="dxa"/>
              <w:bottom w:w="60" w:type="dxa"/>
              <w:right w:w="100" w:type="dxa"/>
            </w:tcMar>
          </w:tcPr>
          <w:p>
            <w:pPr>
              <w:spacing w:after="0"/>
            </w:pPr>
            <w:r>
              <w:rPr>
                <w:rFonts w:ascii="Arial" w:hAnsi="Arial" w:cs="Arial"/>
                <w:b/>
                <w:sz w:val="18"/>
                <w:szCs w:val="18"/>
              </w:rPr>
              <w:t xml:space="preserve">Achievement Pillars</w:t>
            </w:r>
          </w:p>
        </w:tc>
        <w:tc>
          <w:tcPr>
            <w:tcW w:w="5160" w:type="dxa"/>
            <w:shd w:val="clear" w:color="auto" w:fill="EDF2F9"/>
            <w:tcMar>
              <w:top w:w="60" w:type="dxa"/>
              <w:left w:w="100" w:type="dxa"/>
              <w:bottom w:w="60" w:type="dxa"/>
              <w:right w:w="100" w:type="dxa"/>
            </w:tcMar>
          </w:tcPr>
          <w:p>
            <w:pPr>
              <w:spacing w:after="0"/>
            </w:pPr>
            <w:r>
              <w:rPr>
                <w:rFonts w:ascii="Arial" w:hAnsi="Arial" w:cs="Arial"/>
                <w:sz w:val="18"/>
                <w:szCs w:val="18"/>
              </w:rPr>
              <w:t xml:space="preserve">What is rewarded: Quality, Efficiency, Delivery / Cycle Time and Customer Satisfaction criteria and measures.</w:t>
            </w:r>
          </w:p>
        </w:tc>
        <w:tc>
          <w:tcPr>
            <w:tcW w:w="1500" w:type="dxa"/>
            <w:shd w:val="clear" w:color="auto" w:fill="EDF2F9"/>
            <w:tcMar>
              <w:top w:w="60" w:type="dxa"/>
              <w:left w:w="100" w:type="dxa"/>
              <w:bottom w:w="60" w:type="dxa"/>
              <w:right w:w="100" w:type="dxa"/>
            </w:tcMar>
          </w:tcPr>
          <w:p>
            <w:pPr>
              <w:spacing w:after="0"/>
            </w:pPr>
            <w:r>
              <w:rPr>
                <w:rFonts w:ascii="Arial" w:hAnsi="Arial" w:cs="Arial"/>
                <w:sz w:val="18"/>
                <w:szCs w:val="18"/>
              </w:rPr>
              <w:t xml:space="preserve">ODT, AWP, LWM, JPC / RDM</w:t>
            </w:r>
          </w:p>
        </w:tc>
      </w:tr>
      <w:tr>
        <w:trPr>
          <w:cantSplit/>
        </w:trPr>
        <w:tc>
          <w:tcPr>
            <w:tcW w:w="2700" w:type="dxa"/>
            <w:shd w:val="clear" w:color="auto" w:fill="FFFFFF"/>
            <w:tcMar>
              <w:top w:w="60" w:type="dxa"/>
              <w:left w:w="100" w:type="dxa"/>
              <w:bottom w:w="60" w:type="dxa"/>
              <w:right w:w="100" w:type="dxa"/>
            </w:tcMar>
          </w:tcPr>
          <w:p>
            <w:pPr>
              <w:spacing w:after="0"/>
            </w:pPr>
            <w:r>
              <w:rPr>
                <w:rFonts w:ascii="Arial" w:hAnsi="Arial" w:cs="Arial"/>
                <w:b/>
                <w:sz w:val="18"/>
                <w:szCs w:val="18"/>
              </w:rPr>
              <w:t xml:space="preserve">Reward Criteria &amp; Tiers</w:t>
            </w:r>
          </w:p>
        </w:tc>
        <w:tc>
          <w:tcPr>
            <w:tcW w:w="5160" w:type="dxa"/>
            <w:shd w:val="clear" w:color="auto" w:fill="FFFFFF"/>
            <w:tcMar>
              <w:top w:w="60" w:type="dxa"/>
              <w:left w:w="100" w:type="dxa"/>
              <w:bottom w:w="60" w:type="dxa"/>
              <w:right w:w="100" w:type="dxa"/>
            </w:tcMar>
          </w:tcPr>
          <w:p>
            <w:pPr>
              <w:spacing w:after="0"/>
            </w:pPr>
            <w:r>
              <w:rPr>
                <w:rFonts w:ascii="Arial" w:hAnsi="Arial" w:cs="Arial"/>
                <w:sz w:val="18"/>
                <w:szCs w:val="18"/>
              </w:rPr>
              <w:t xml:space="preserve">How achievements convert into recognition tiers and reward points.</w:t>
            </w:r>
          </w:p>
        </w:tc>
        <w:tc>
          <w:tcPr>
            <w:tcW w:w="1500" w:type="dxa"/>
            <w:shd w:val="clear" w:color="auto" w:fill="FFFFFF"/>
            <w:tcMar>
              <w:top w:w="60" w:type="dxa"/>
              <w:left w:w="100" w:type="dxa"/>
              <w:bottom w:w="60" w:type="dxa"/>
              <w:right w:w="100" w:type="dxa"/>
            </w:tcMar>
          </w:tcPr>
          <w:p>
            <w:pPr>
              <w:spacing w:after="0"/>
            </w:pPr>
            <w:r>
              <w:rPr>
                <w:rFonts w:ascii="Arial" w:hAnsi="Arial" w:cs="Arial"/>
                <w:sz w:val="18"/>
                <w:szCs w:val="18"/>
              </w:rPr>
              <w:t xml:space="preserve">RZM</w:t>
            </w:r>
          </w:p>
        </w:tc>
      </w:tr>
      <w:tr>
        <w:trPr>
          <w:cantSplit/>
        </w:trPr>
        <w:tc>
          <w:tcPr>
            <w:tcW w:w="2700" w:type="dxa"/>
            <w:shd w:val="clear" w:color="auto" w:fill="EDF2F9"/>
            <w:tcMar>
              <w:top w:w="60" w:type="dxa"/>
              <w:left w:w="100" w:type="dxa"/>
              <w:bottom w:w="60" w:type="dxa"/>
              <w:right w:w="100" w:type="dxa"/>
            </w:tcMar>
          </w:tcPr>
          <w:p>
            <w:pPr>
              <w:spacing w:after="0"/>
            </w:pPr>
            <w:r>
              <w:rPr>
                <w:rFonts w:ascii="Arial" w:hAnsi="Arial" w:cs="Arial"/>
                <w:b/>
                <w:sz w:val="18"/>
                <w:szCs w:val="18"/>
              </w:rPr>
              <w:t xml:space="preserve">Cross-Department Recognition</w:t>
            </w:r>
          </w:p>
        </w:tc>
        <w:tc>
          <w:tcPr>
            <w:tcW w:w="5160" w:type="dxa"/>
            <w:shd w:val="clear" w:color="auto" w:fill="EDF2F9"/>
            <w:tcMar>
              <w:top w:w="60" w:type="dxa"/>
              <w:left w:w="100" w:type="dxa"/>
              <w:bottom w:w="60" w:type="dxa"/>
              <w:right w:w="100" w:type="dxa"/>
            </w:tcMar>
          </w:tcPr>
          <w:p>
            <w:pPr>
              <w:spacing w:after="0"/>
            </w:pPr>
            <w:r>
              <w:rPr>
                <w:rFonts w:ascii="Arial" w:hAnsi="Arial" w:cs="Arial"/>
                <w:sz w:val="18"/>
                <w:szCs w:val="18"/>
              </w:rPr>
              <w:t xml:space="preserve">Rewards for significant support given to another department.</w:t>
            </w:r>
          </w:p>
        </w:tc>
        <w:tc>
          <w:tcPr>
            <w:tcW w:w="1500" w:type="dxa"/>
            <w:shd w:val="clear" w:color="auto" w:fill="EDF2F9"/>
            <w:tcMar>
              <w:top w:w="60" w:type="dxa"/>
              <w:left w:w="100" w:type="dxa"/>
              <w:bottom w:w="60" w:type="dxa"/>
              <w:right w:w="100" w:type="dxa"/>
            </w:tcMar>
          </w:tcPr>
          <w:p>
            <w:pPr>
              <w:spacing w:after="0"/>
            </w:pPr>
            <w:r>
              <w:rPr>
                <w:rFonts w:ascii="Arial" w:hAnsi="Arial" w:cs="Arial"/>
                <w:sz w:val="18"/>
                <w:szCs w:val="18"/>
              </w:rPr>
              <w:t xml:space="preserve">MTO (concept); Division Leads (approval)</w:t>
            </w:r>
          </w:p>
        </w:tc>
      </w:tr>
      <w:tr>
        <w:trPr>
          <w:cantSplit/>
        </w:trPr>
        <w:tc>
          <w:tcPr>
            <w:tcW w:w="2700" w:type="dxa"/>
            <w:shd w:val="clear" w:color="auto" w:fill="FFFFFF"/>
            <w:tcMar>
              <w:top w:w="60" w:type="dxa"/>
              <w:left w:w="100" w:type="dxa"/>
              <w:bottom w:w="60" w:type="dxa"/>
              <w:right w:w="100" w:type="dxa"/>
            </w:tcMar>
          </w:tcPr>
          <w:p>
            <w:pPr>
              <w:spacing w:after="0"/>
            </w:pPr>
            <w:r>
              <w:rPr>
                <w:rFonts w:ascii="Arial" w:hAnsi="Arial" w:cs="Arial"/>
                <w:b/>
                <w:sz w:val="18"/>
                <w:szCs w:val="18"/>
              </w:rPr>
              <w:t xml:space="preserve">Performance Accountability</w:t>
            </w:r>
          </w:p>
        </w:tc>
        <w:tc>
          <w:tcPr>
            <w:tcW w:w="5160" w:type="dxa"/>
            <w:shd w:val="clear" w:color="auto" w:fill="FFFFFF"/>
            <w:tcMar>
              <w:top w:w="60" w:type="dxa"/>
              <w:left w:w="100" w:type="dxa"/>
              <w:bottom w:w="60" w:type="dxa"/>
              <w:right w:w="100" w:type="dxa"/>
            </w:tcMar>
          </w:tcPr>
          <w:p>
            <w:pPr>
              <w:spacing w:after="0"/>
            </w:pPr>
            <w:r>
              <w:rPr>
                <w:rFonts w:ascii="Arial" w:hAnsi="Arial" w:cs="Arial"/>
                <w:sz w:val="18"/>
                <w:szCs w:val="18"/>
              </w:rPr>
              <w:t xml:space="preserve">Corrective action, decertification and the effect on reward eligibility.</w:t>
            </w:r>
          </w:p>
        </w:tc>
        <w:tc>
          <w:tcPr>
            <w:tcW w:w="1500" w:type="dxa"/>
            <w:shd w:val="clear" w:color="auto" w:fill="FFFFFF"/>
            <w:tcMar>
              <w:top w:w="60" w:type="dxa"/>
              <w:left w:w="100" w:type="dxa"/>
              <w:bottom w:w="60" w:type="dxa"/>
              <w:right w:w="100" w:type="dxa"/>
            </w:tcMar>
          </w:tcPr>
          <w:p>
            <w:pPr>
              <w:spacing w:after="0"/>
            </w:pPr>
            <w:r>
              <w:rPr>
                <w:rFonts w:ascii="Arial" w:hAnsi="Arial" w:cs="Arial"/>
                <w:sz w:val="18"/>
                <w:szCs w:val="18"/>
              </w:rPr>
              <w:t xml:space="preserve">To be assigned (see Section 6)</w:t>
            </w:r>
          </w:p>
        </w:tc>
      </w:tr>
      <w:tr>
        <w:trPr>
          <w:cantSplit/>
        </w:trPr>
        <w:tc>
          <w:tcPr>
            <w:tcW w:w="2700" w:type="dxa"/>
            <w:shd w:val="clear" w:color="auto" w:fill="EDF2F9"/>
            <w:tcMar>
              <w:top w:w="60" w:type="dxa"/>
              <w:left w:w="100" w:type="dxa"/>
              <w:bottom w:w="60" w:type="dxa"/>
              <w:right w:w="100" w:type="dxa"/>
            </w:tcMar>
          </w:tcPr>
          <w:p>
            <w:pPr>
              <w:spacing w:after="0"/>
            </w:pPr>
            <w:r>
              <w:rPr>
                <w:rFonts w:ascii="Arial" w:hAnsi="Arial" w:cs="Arial"/>
                <w:b/>
                <w:sz w:val="18"/>
                <w:szCs w:val="18"/>
              </w:rPr>
              <w:t xml:space="preserve">Recording &amp; Redemption</w:t>
            </w:r>
          </w:p>
        </w:tc>
        <w:tc>
          <w:tcPr>
            <w:tcW w:w="5160" w:type="dxa"/>
            <w:shd w:val="clear" w:color="auto" w:fill="EDF2F9"/>
            <w:tcMar>
              <w:top w:w="60" w:type="dxa"/>
              <w:left w:w="100" w:type="dxa"/>
              <w:bottom w:w="60" w:type="dxa"/>
              <w:right w:w="100" w:type="dxa"/>
            </w:tcMar>
          </w:tcPr>
          <w:p>
            <w:pPr>
              <w:spacing w:after="0"/>
            </w:pPr>
            <w:r>
              <w:rPr>
                <w:rFonts w:ascii="Arial" w:hAnsi="Arial" w:cs="Arial"/>
                <w:sz w:val="18"/>
                <w:szCs w:val="18"/>
              </w:rPr>
              <w:t xml:space="preserve">System of record for achievements and points; redemption via Encashment, Coop and Canteen.</w:t>
            </w:r>
          </w:p>
        </w:tc>
        <w:tc>
          <w:tcPr>
            <w:tcW w:w="1500" w:type="dxa"/>
            <w:shd w:val="clear" w:color="auto" w:fill="EDF2F9"/>
            <w:tcMar>
              <w:top w:w="60" w:type="dxa"/>
              <w:left w:w="100" w:type="dxa"/>
              <w:bottom w:w="60" w:type="dxa"/>
              <w:right w:w="100" w:type="dxa"/>
            </w:tcMar>
          </w:tcPr>
          <w:p>
            <w:pPr>
              <w:spacing w:after="0"/>
            </w:pPr>
            <w:r>
              <w:rPr>
                <w:rFonts w:ascii="Arial" w:hAnsi="Arial" w:cs="Arial"/>
                <w:sz w:val="18"/>
                <w:szCs w:val="18"/>
              </w:rPr>
              <w:t xml:space="preserve">KLC; RZM</w:t>
            </w:r>
          </w:p>
        </w:tc>
      </w:tr>
      <w:tr>
        <w:trPr>
          <w:cantSplit/>
        </w:trPr>
        <w:tc>
          <w:tcPr>
            <w:tcW w:w="2700" w:type="dxa"/>
            <w:shd w:val="clear" w:color="auto" w:fill="FFFFFF"/>
            <w:tcMar>
              <w:top w:w="60" w:type="dxa"/>
              <w:left w:w="100" w:type="dxa"/>
              <w:bottom w:w="60" w:type="dxa"/>
              <w:right w:w="100" w:type="dxa"/>
            </w:tcMar>
          </w:tcPr>
          <w:p>
            <w:pPr>
              <w:spacing w:after="0"/>
            </w:pPr>
            <w:r>
              <w:rPr>
                <w:rFonts w:ascii="Arial" w:hAnsi="Arial" w:cs="Arial"/>
                <w:b/>
                <w:sz w:val="18"/>
                <w:szCs w:val="18"/>
              </w:rPr>
              <w:t xml:space="preserve">Enablers</w:t>
            </w:r>
          </w:p>
        </w:tc>
        <w:tc>
          <w:tcPr>
            <w:tcW w:w="5160" w:type="dxa"/>
            <w:shd w:val="clear" w:color="auto" w:fill="FFFFFF"/>
            <w:tcMar>
              <w:top w:w="60" w:type="dxa"/>
              <w:left w:w="100" w:type="dxa"/>
              <w:bottom w:w="60" w:type="dxa"/>
              <w:right w:w="100" w:type="dxa"/>
            </w:tcMar>
          </w:tcPr>
          <w:p>
            <w:pPr>
              <w:spacing w:after="0"/>
            </w:pPr>
            <w:r>
              <w:rPr>
                <w:rFonts w:ascii="Arial" w:hAnsi="Arial" w:cs="Arial"/>
                <w:sz w:val="18"/>
                <w:szCs w:val="18"/>
              </w:rPr>
              <w:t xml:space="preserve">Program specification, budget, and campaign / promotional activities.</w:t>
            </w:r>
          </w:p>
        </w:tc>
        <w:tc>
          <w:tcPr>
            <w:tcW w:w="1500" w:type="dxa"/>
            <w:shd w:val="clear" w:color="auto" w:fill="FFFFFF"/>
            <w:tcMar>
              <w:top w:w="60" w:type="dxa"/>
              <w:left w:w="100" w:type="dxa"/>
              <w:bottom w:w="60" w:type="dxa"/>
              <w:right w:w="100" w:type="dxa"/>
            </w:tcMar>
          </w:tcPr>
          <w:p>
            <w:pPr>
              <w:spacing w:after="0"/>
            </w:pPr>
            <w:r>
              <w:rPr>
                <w:rFonts w:ascii="Arial" w:hAnsi="Arial" w:cs="Arial"/>
                <w:sz w:val="18"/>
                <w:szCs w:val="18"/>
              </w:rPr>
              <w:t xml:space="preserve">MOB; NTC; DGT with Vibes</w:t>
            </w:r>
          </w:p>
        </w:tc>
      </w:tr>
    </w:tbl>
    <w:p>
      <w:pPr>
        <w:spacing w:after="60"/>
      </w:pPr>
    </w:p>
    <w:p>
      <w:pPr>
        <w:keepNext/>
        <w:spacing w:before="240" w:after="80"/>
      </w:pPr>
      <w:r>
        <w:rPr>
          <w:rFonts w:ascii="Arial" w:hAnsi="Arial" w:cs="Arial"/>
          <w:b/>
          <w:color w:val="1B3A6B"/>
        </w:rPr>
        <w:t>3. Achievement Pillars</w:t>
      </w:r>
    </w:p>
    <w:tbl>
      <w:tblPr>
        <w:tblW w:w="9360" w:type="dxa"/>
        <w:tblBorders>
          <w:top w:val="single" w:sz="4" w:space="0" w:color="BBCCE0"/>
          <w:left w:val="single" w:sz="4" w:space="0" w:color="BBCCE0"/>
          <w:bottom w:val="single" w:sz="4" w:space="0" w:color="BBCCE0"/>
          <w:right w:val="single" w:sz="4" w:space="0" w:color="BBCCE0"/>
          <w:insideH w:val="single" w:sz="4" w:space="0" w:color="BBCCE0"/>
          <w:insideV w:val="single" w:sz="4" w:space="0" w:color="BBCCE0"/>
        </w:tblBorders>
        <w:tblLayout w:type="fixed"/>
        <w:tblLook w:val="0000"/>
      </w:tblPr>
      <w:tblGrid>
        <w:gridCol w:w="1700"/>
        <w:gridCol w:w="1500"/>
        <w:gridCol w:w="1500"/>
        <w:gridCol w:w="4660"/>
      </w:tblGrid>
      <w:tr>
        <w:trPr>
          <w:tblHeader/>
          <w:cantSplit/>
        </w:trPr>
        <w:tc>
          <w:tcPr>
            <w:tcW w:w="1700" w:type="dxa"/>
            <w:shd w:val="clear" w:color="auto" w:fill="1B3A6B"/>
            <w:tcMar>
              <w:top w:w="60" w:type="dxa"/>
              <w:left w:w="100" w:type="dxa"/>
              <w:bottom w:w="60" w:type="dxa"/>
              <w:right w:w="100" w:type="dxa"/>
            </w:tcMar>
          </w:tcPr>
          <w:p>
            <w:pPr>
              <w:spacing w:after="0"/>
            </w:pPr>
            <w:r>
              <w:rPr>
                <w:rFonts w:ascii="Arial" w:hAnsi="Arial" w:cs="Arial"/>
                <w:b/>
                <w:sz w:val="17"/>
                <w:szCs w:val="17"/>
                <w:color w:val="FFFFFF"/>
              </w:rPr>
              <w:t xml:space="preserve">Pillar</w:t>
            </w:r>
          </w:p>
        </w:tc>
        <w:tc>
          <w:tcPr>
            <w:tcW w:w="1500" w:type="dxa"/>
            <w:shd w:val="clear" w:color="auto" w:fill="1B3A6B"/>
            <w:tcMar>
              <w:top w:w="60" w:type="dxa"/>
              <w:left w:w="100" w:type="dxa"/>
              <w:bottom w:w="60" w:type="dxa"/>
              <w:right w:w="100" w:type="dxa"/>
            </w:tcMar>
          </w:tcPr>
          <w:p>
            <w:pPr>
              <w:spacing w:after="0"/>
            </w:pPr>
            <w:r>
              <w:rPr>
                <w:rFonts w:ascii="Arial" w:hAnsi="Arial" w:cs="Arial"/>
                <w:b/>
                <w:sz w:val="17"/>
                <w:szCs w:val="17"/>
                <w:color w:val="FFFFFF"/>
              </w:rPr>
              <w:t xml:space="preserve">Owner</w:t>
            </w:r>
          </w:p>
        </w:tc>
        <w:tc>
          <w:tcPr>
            <w:tcW w:w="1500" w:type="dxa"/>
            <w:shd w:val="clear" w:color="auto" w:fill="1B3A6B"/>
            <w:tcMar>
              <w:top w:w="60" w:type="dxa"/>
              <w:left w:w="100" w:type="dxa"/>
              <w:bottom w:w="60" w:type="dxa"/>
              <w:right w:w="100" w:type="dxa"/>
            </w:tcMar>
          </w:tcPr>
          <w:p>
            <w:pPr>
              <w:spacing w:after="0"/>
            </w:pPr>
            <w:r>
              <w:rPr>
                <w:rFonts w:ascii="Arial" w:hAnsi="Arial" w:cs="Arial"/>
                <w:b/>
                <w:sz w:val="17"/>
                <w:szCs w:val="17"/>
                <w:color w:val="FFFFFF"/>
              </w:rPr>
              <w:t xml:space="preserve">Status</w:t>
            </w:r>
          </w:p>
        </w:tc>
        <w:tc>
          <w:tcPr>
            <w:tcW w:w="4660" w:type="dxa"/>
            <w:shd w:val="clear" w:color="auto" w:fill="1B3A6B"/>
            <w:tcMar>
              <w:top w:w="60" w:type="dxa"/>
              <w:left w:w="100" w:type="dxa"/>
              <w:bottom w:w="60" w:type="dxa"/>
              <w:right w:w="100" w:type="dxa"/>
            </w:tcMar>
          </w:tcPr>
          <w:p>
            <w:pPr>
              <w:spacing w:after="0"/>
            </w:pPr>
            <w:r>
              <w:rPr>
                <w:rFonts w:ascii="Arial" w:hAnsi="Arial" w:cs="Arial"/>
                <w:b/>
                <w:sz w:val="17"/>
                <w:szCs w:val="17"/>
                <w:color w:val="FFFFFF"/>
              </w:rPr>
              <w:t xml:space="preserve">Key measures (summary)</w:t>
            </w:r>
          </w:p>
        </w:tc>
      </w:tr>
      <w:tr>
        <w:trPr>
          <w:cantSplit/>
        </w:trPr>
        <w:tc>
          <w:tcPr>
            <w:tcW w:w="1700" w:type="dxa"/>
            <w:shd w:val="clear" w:color="auto" w:fill="EDF2F9"/>
            <w:tcMar>
              <w:top w:w="60" w:type="dxa"/>
              <w:left w:w="100" w:type="dxa"/>
              <w:bottom w:w="60" w:type="dxa"/>
              <w:right w:w="100" w:type="dxa"/>
            </w:tcMar>
          </w:tcPr>
          <w:p>
            <w:pPr>
              <w:spacing w:after="0"/>
            </w:pPr>
            <w:r>
              <w:rPr>
                <w:rFonts w:ascii="Arial" w:hAnsi="Arial" w:cs="Arial"/>
                <w:b/>
                <w:sz w:val="18"/>
                <w:szCs w:val="18"/>
              </w:rPr>
              <w:t xml:space="preserve">Quality</w:t>
            </w:r>
          </w:p>
        </w:tc>
        <w:tc>
          <w:tcPr>
            <w:tcW w:w="1500" w:type="dxa"/>
            <w:shd w:val="clear" w:color="auto" w:fill="EDF2F9"/>
            <w:tcMar>
              <w:top w:w="60" w:type="dxa"/>
              <w:left w:w="100" w:type="dxa"/>
              <w:bottom w:w="60" w:type="dxa"/>
              <w:right w:w="100" w:type="dxa"/>
            </w:tcMar>
          </w:tcPr>
          <w:p>
            <w:pPr>
              <w:spacing w:after="0"/>
            </w:pPr>
            <w:r>
              <w:rPr>
                <w:rFonts w:ascii="Arial" w:hAnsi="Arial" w:cs="Arial"/>
                <w:sz w:val="18"/>
                <w:szCs w:val="18"/>
              </w:rPr>
              <w:t xml:space="preserve">ODT</w:t>
            </w:r>
          </w:p>
        </w:tc>
        <w:tc>
          <w:tcPr>
            <w:tcW w:w="1500" w:type="dxa"/>
            <w:shd w:val="clear" w:color="auto" w:fill="EDF2F9"/>
            <w:tcMar>
              <w:top w:w="60" w:type="dxa"/>
              <w:left w:w="100" w:type="dxa"/>
              <w:bottom w:w="60" w:type="dxa"/>
              <w:right w:w="100" w:type="dxa"/>
            </w:tcMar>
          </w:tcPr>
          <w:p>
            <w:pPr>
              <w:spacing w:after="0"/>
            </w:pPr>
            <w:r>
              <w:rPr>
                <w:rFonts w:ascii="Arial" w:hAnsi="Arial" w:cs="Arial"/>
                <w:sz w:val="18"/>
                <w:szCs w:val="18"/>
              </w:rPr>
              <w:t xml:space="preserve">Pending (WW40.2)</w:t>
            </w:r>
          </w:p>
        </w:tc>
        <w:tc>
          <w:tcPr>
            <w:tcW w:w="4660" w:type="dxa"/>
            <w:shd w:val="clear" w:color="auto" w:fill="EDF2F9"/>
            <w:tcMar>
              <w:top w:w="60" w:type="dxa"/>
              <w:left w:w="100" w:type="dxa"/>
              <w:bottom w:w="60" w:type="dxa"/>
              <w:right w:w="100" w:type="dxa"/>
            </w:tcMar>
          </w:tcPr>
          <w:p>
            <w:pPr>
              <w:spacing w:after="0"/>
            </w:pPr>
            <w:r>
              <w:rPr>
                <w:rFonts w:ascii="Arial" w:hAnsi="Arial" w:cs="Arial"/>
                <w:sz w:val="18"/>
                <w:szCs w:val="18"/>
              </w:rPr>
              <w:t xml:space="preserve">To be defined by ODT. Suggested inputs: First Pass Yield, Cost of Quality, process certification status (Performance Qualification Matrix).</w:t>
            </w:r>
          </w:p>
        </w:tc>
      </w:tr>
      <w:tr>
        <w:trPr>
          <w:cantSplit/>
        </w:trPr>
        <w:tc>
          <w:tcPr>
            <w:tcW w:w="1700" w:type="dxa"/>
            <w:shd w:val="clear" w:color="auto" w:fill="FFFFFF"/>
            <w:tcMar>
              <w:top w:w="60" w:type="dxa"/>
              <w:left w:w="100" w:type="dxa"/>
              <w:bottom w:w="60" w:type="dxa"/>
              <w:right w:w="100" w:type="dxa"/>
            </w:tcMar>
          </w:tcPr>
          <w:p>
            <w:pPr>
              <w:spacing w:after="0"/>
            </w:pPr>
            <w:r>
              <w:rPr>
                <w:rFonts w:ascii="Arial" w:hAnsi="Arial" w:cs="Arial"/>
                <w:b/>
                <w:sz w:val="18"/>
                <w:szCs w:val="18"/>
              </w:rPr>
              <w:t xml:space="preserve">Efficiency</w:t>
            </w:r>
          </w:p>
        </w:tc>
        <w:tc>
          <w:tcPr>
            <w:tcW w:w="1500" w:type="dxa"/>
            <w:shd w:val="clear" w:color="auto" w:fill="FFFFFF"/>
            <w:tcMar>
              <w:top w:w="60" w:type="dxa"/>
              <w:left w:w="100" w:type="dxa"/>
              <w:bottom w:w="60" w:type="dxa"/>
              <w:right w:w="100" w:type="dxa"/>
            </w:tcMar>
          </w:tcPr>
          <w:p>
            <w:pPr>
              <w:spacing w:after="0"/>
            </w:pPr>
            <w:r>
              <w:rPr>
                <w:rFonts w:ascii="Arial" w:hAnsi="Arial" w:cs="Arial"/>
                <w:sz w:val="18"/>
                <w:szCs w:val="18"/>
              </w:rPr>
              <w:t xml:space="preserve">AWP</w:t>
            </w:r>
          </w:p>
        </w:tc>
        <w:tc>
          <w:tcPr>
            <w:tcW w:w="1500" w:type="dxa"/>
            <w:shd w:val="clear" w:color="auto" w:fill="FFFFFF"/>
            <w:tcMar>
              <w:top w:w="60" w:type="dxa"/>
              <w:left w:w="100" w:type="dxa"/>
              <w:bottom w:w="60" w:type="dxa"/>
              <w:right w:w="100" w:type="dxa"/>
            </w:tcMar>
          </w:tcPr>
          <w:p>
            <w:pPr>
              <w:spacing w:after="0"/>
            </w:pPr>
            <w:r>
              <w:rPr>
                <w:rFonts w:ascii="Arial" w:hAnsi="Arial" w:cs="Arial"/>
                <w:sz w:val="18"/>
                <w:szCs w:val="18"/>
              </w:rPr>
              <w:t xml:space="preserve">Draft received</w:t>
            </w:r>
          </w:p>
        </w:tc>
        <w:tc>
          <w:tcPr>
            <w:tcW w:w="4660" w:type="dxa"/>
            <w:shd w:val="clear" w:color="auto" w:fill="FFFFFF"/>
            <w:tcMar>
              <w:top w:w="60" w:type="dxa"/>
              <w:left w:w="100" w:type="dxa"/>
              <w:bottom w:w="60" w:type="dxa"/>
              <w:right w:w="100" w:type="dxa"/>
            </w:tcMar>
          </w:tcPr>
          <w:p>
            <w:pPr>
              <w:spacing w:after="0"/>
            </w:pPr>
            <w:r>
              <w:rPr>
                <w:rFonts w:ascii="Arial" w:hAnsi="Arial" w:cs="Arial"/>
                <w:sz w:val="18"/>
                <w:szCs w:val="18"/>
              </w:rPr>
              <w:t xml:space="preserve">Attendance and punctuality; automation deployment; Peer / Pre-QA FPY; HO information zero-defect; SLA adherence ≥98%; process improvement and takt-time reduction vs baseline; AHT and FCR vs individual benchmark; training and certification; spec sunset reviews on time; zero-delinquent goals; utilization rate.</w:t>
            </w:r>
          </w:p>
        </w:tc>
      </w:tr>
      <w:tr>
        <w:trPr>
          <w:cantSplit/>
        </w:trPr>
        <w:tc>
          <w:tcPr>
            <w:tcW w:w="1700" w:type="dxa"/>
            <w:shd w:val="clear" w:color="auto" w:fill="EDF2F9"/>
            <w:tcMar>
              <w:top w:w="60" w:type="dxa"/>
              <w:left w:w="100" w:type="dxa"/>
              <w:bottom w:w="60" w:type="dxa"/>
              <w:right w:w="100" w:type="dxa"/>
            </w:tcMar>
          </w:tcPr>
          <w:p>
            <w:pPr>
              <w:spacing w:after="0"/>
            </w:pPr>
            <w:r>
              <w:rPr>
                <w:rFonts w:ascii="Arial" w:hAnsi="Arial" w:cs="Arial"/>
                <w:b/>
                <w:sz w:val="18"/>
                <w:szCs w:val="18"/>
              </w:rPr>
              <w:t xml:space="preserve">Delivery / Cycle Time</w:t>
            </w:r>
          </w:p>
        </w:tc>
        <w:tc>
          <w:tcPr>
            <w:tcW w:w="1500" w:type="dxa"/>
            <w:shd w:val="clear" w:color="auto" w:fill="EDF2F9"/>
            <w:tcMar>
              <w:top w:w="60" w:type="dxa"/>
              <w:left w:w="100" w:type="dxa"/>
              <w:bottom w:w="60" w:type="dxa"/>
              <w:right w:w="100" w:type="dxa"/>
            </w:tcMar>
          </w:tcPr>
          <w:p>
            <w:pPr>
              <w:spacing w:after="0"/>
            </w:pPr>
            <w:r>
              <w:rPr>
                <w:rFonts w:ascii="Arial" w:hAnsi="Arial" w:cs="Arial"/>
                <w:sz w:val="18"/>
                <w:szCs w:val="18"/>
              </w:rPr>
              <w:t xml:space="preserve">LWM (draft by AWP)</w:t>
            </w:r>
          </w:p>
        </w:tc>
        <w:tc>
          <w:tcPr>
            <w:tcW w:w="1500" w:type="dxa"/>
            <w:shd w:val="clear" w:color="auto" w:fill="EDF2F9"/>
            <w:tcMar>
              <w:top w:w="60" w:type="dxa"/>
              <w:left w:w="100" w:type="dxa"/>
              <w:bottom w:w="60" w:type="dxa"/>
              <w:right w:w="100" w:type="dxa"/>
            </w:tcMar>
          </w:tcPr>
          <w:p>
            <w:pPr>
              <w:spacing w:after="0"/>
            </w:pPr>
            <w:r>
              <w:rPr>
                <w:rFonts w:ascii="Arial" w:hAnsi="Arial" w:cs="Arial"/>
                <w:sz w:val="18"/>
                <w:szCs w:val="18"/>
              </w:rPr>
              <w:t xml:space="preserve">Draft received</w:t>
            </w:r>
          </w:p>
        </w:tc>
        <w:tc>
          <w:tcPr>
            <w:tcW w:w="4660" w:type="dxa"/>
            <w:shd w:val="clear" w:color="auto" w:fill="EDF2F9"/>
            <w:tcMar>
              <w:top w:w="60" w:type="dxa"/>
              <w:left w:w="100" w:type="dxa"/>
              <w:bottom w:w="60" w:type="dxa"/>
              <w:right w:w="100" w:type="dxa"/>
            </w:tcMar>
          </w:tcPr>
          <w:p>
            <w:pPr>
              <w:spacing w:after="0"/>
            </w:pPr>
            <w:r>
              <w:rPr>
                <w:rFonts w:ascii="Arial" w:hAnsi="Arial" w:cs="Arial"/>
                <w:sz w:val="18"/>
                <w:szCs w:val="18"/>
              </w:rPr>
              <w:t xml:space="preserve">P90 cycle-time reduction vs baseline (document processing / reviews / submissions, customer inquiries, IT issue resolution, case closure); P90 backlog-aging reduction. Candidates without measures yet: resubmittal cycle time, utility PTO actual vs expected, reduction-case cycle time.</w:t>
            </w:r>
          </w:p>
        </w:tc>
      </w:tr>
      <w:tr>
        <w:trPr>
          <w:cantSplit/>
        </w:trPr>
        <w:tc>
          <w:tcPr>
            <w:tcW w:w="1700" w:type="dxa"/>
            <w:shd w:val="clear" w:color="auto" w:fill="FFFFFF"/>
            <w:tcMar>
              <w:top w:w="60" w:type="dxa"/>
              <w:left w:w="100" w:type="dxa"/>
              <w:bottom w:w="60" w:type="dxa"/>
              <w:right w:w="100" w:type="dxa"/>
            </w:tcMar>
          </w:tcPr>
          <w:p>
            <w:pPr>
              <w:spacing w:after="0"/>
            </w:pPr>
            <w:r>
              <w:rPr>
                <w:rFonts w:ascii="Arial" w:hAnsi="Arial" w:cs="Arial"/>
                <w:b/>
                <w:sz w:val="18"/>
                <w:szCs w:val="18"/>
              </w:rPr>
              <w:t xml:space="preserve">Customer Satisfaction</w:t>
            </w:r>
          </w:p>
        </w:tc>
        <w:tc>
          <w:tcPr>
            <w:tcW w:w="1500" w:type="dxa"/>
            <w:shd w:val="clear" w:color="auto" w:fill="FFFFFF"/>
            <w:tcMar>
              <w:top w:w="60" w:type="dxa"/>
              <w:left w:w="100" w:type="dxa"/>
              <w:bottom w:w="60" w:type="dxa"/>
              <w:right w:w="100" w:type="dxa"/>
            </w:tcMar>
          </w:tcPr>
          <w:p>
            <w:pPr>
              <w:spacing w:after="0"/>
            </w:pPr>
            <w:r>
              <w:rPr>
                <w:rFonts w:ascii="Arial" w:hAnsi="Arial" w:cs="Arial"/>
                <w:sz w:val="18"/>
                <w:szCs w:val="18"/>
              </w:rPr>
              <w:t xml:space="preserve">JPC / RDM</w:t>
            </w:r>
          </w:p>
        </w:tc>
        <w:tc>
          <w:tcPr>
            <w:tcW w:w="1500" w:type="dxa"/>
            <w:shd w:val="clear" w:color="auto" w:fill="FFFFFF"/>
            <w:tcMar>
              <w:top w:w="60" w:type="dxa"/>
              <w:left w:w="100" w:type="dxa"/>
              <w:bottom w:w="60" w:type="dxa"/>
              <w:right w:w="100" w:type="dxa"/>
            </w:tcMar>
          </w:tcPr>
          <w:p>
            <w:pPr>
              <w:spacing w:after="0"/>
            </w:pPr>
            <w:r>
              <w:rPr>
                <w:rFonts w:ascii="Arial" w:hAnsi="Arial" w:cs="Arial"/>
                <w:sz w:val="18"/>
                <w:szCs w:val="18"/>
              </w:rPr>
              <w:t xml:space="preserve">Guidelines issued (JPC-227A)</w:t>
            </w:r>
          </w:p>
        </w:tc>
        <w:tc>
          <w:tcPr>
            <w:tcW w:w="4660" w:type="dxa"/>
            <w:shd w:val="clear" w:color="auto" w:fill="FFFFFF"/>
            <w:tcMar>
              <w:top w:w="60" w:type="dxa"/>
              <w:left w:w="100" w:type="dxa"/>
              <w:bottom w:w="60" w:type="dxa"/>
              <w:right w:w="100" w:type="dxa"/>
            </w:tcMar>
          </w:tcPr>
          <w:p>
            <w:pPr>
              <w:spacing w:after="0"/>
            </w:pPr>
            <w:r>
              <w:rPr>
                <w:rFonts w:ascii="Arial" w:hAnsi="Arial" w:cs="Arial"/>
                <w:sz w:val="18"/>
                <w:szCs w:val="18"/>
              </w:rPr>
              <w:t xml:space="preserve">Weighted score: CSAT 40%, Customer Feedback 25%, Quality / Process Adherence 20%, Ownership &amp; Resolution 10%, CX / Team Contribution 5%; minimum 10 surveys where volume permits; four recognition levels.</w:t>
            </w:r>
          </w:p>
        </w:tc>
      </w:tr>
    </w:tbl>
    <w:p>
      <w:pPr>
        <w:spacing w:after="60"/>
      </w:pPr>
    </w:p>
    <w:p>
      <w:pPr>
        <w:spacing w:before="0" w:after="80"/>
        <w:jc w:val="both"/>
      </w:pPr>
      <w:r>
        <w:rPr>
          <w:rFonts w:ascii="Arial" w:hAnsi="Arial" w:cs="Arial"/>
        </w:rPr>
        <w:t xml:space="preserve">Cost (NTC) is treated as the program's funding and budget workstream rather than an achievement pillar. If leadership also wants cost-savings achievements recognized, a measure owner should be assigned. Full detail of the received criteria is reproduced in Appendices A and B for traceability.</w:t>
      </w:r>
    </w:p>
    <w:p>
      <w:pPr>
        <w:keepNext/>
        <w:spacing w:before="240" w:after="80"/>
      </w:pPr>
      <w:r>
        <w:rPr>
          <w:rFonts w:ascii="Arial" w:hAnsi="Arial" w:cs="Arial"/>
          <w:b/>
          <w:color w:val="1B3A6B"/>
        </w:rPr>
        <w:t>4. Common Program Rules</w:t>
      </w:r>
    </w:p>
    <w:p>
      <w:pPr>
        <w:spacing w:before="0" w:after="80"/>
        <w:jc w:val="both"/>
      </w:pPr>
      <w:r>
        <w:rPr>
          <w:rFonts w:ascii="Arial" w:hAnsi="Arial" w:cs="Arial"/>
        </w:rPr>
        <w:t xml:space="preserve">These rules apply to every pillar so that recognition is consistent across departments and redeemable from a single points balance.</w:t>
      </w:r>
    </w:p>
    <w:p>
      <w:pPr>
        <w:keepNext/>
        <w:spacing w:before="120" w:after="40"/>
      </w:pPr>
      <w:r>
        <w:rPr>
          <w:rFonts w:ascii="Arial" w:hAnsi="Arial" w:cs="Arial"/>
          <w:b/>
          <w:i/>
        </w:rPr>
        <w:t>4.1 Recognition tiers (adapted from JPC-227A)</w:t>
      </w:r>
    </w:p>
    <w:tbl>
      <w:tblPr>
        <w:tblW w:w="9360" w:type="dxa"/>
        <w:tblBorders>
          <w:top w:val="single" w:sz="4" w:space="0" w:color="BBCCE0"/>
          <w:left w:val="single" w:sz="4" w:space="0" w:color="BBCCE0"/>
          <w:bottom w:val="single" w:sz="4" w:space="0" w:color="BBCCE0"/>
          <w:right w:val="single" w:sz="4" w:space="0" w:color="BBCCE0"/>
          <w:insideH w:val="single" w:sz="4" w:space="0" w:color="BBCCE0"/>
          <w:insideV w:val="single" w:sz="4" w:space="0" w:color="BBCCE0"/>
        </w:tblBorders>
        <w:tblLayout w:type="fixed"/>
        <w:tblLook w:val="0000"/>
      </w:tblPr>
      <w:tblGrid>
        <w:gridCol w:w="2300"/>
        <w:gridCol w:w="4060"/>
        <w:gridCol w:w="1600"/>
        <w:gridCol w:w="1400"/>
      </w:tblGrid>
      <w:tr>
        <w:trPr>
          <w:tblHeader/>
          <w:cantSplit/>
        </w:trPr>
        <w:tc>
          <w:tcPr>
            <w:tcW w:w="2300" w:type="dxa"/>
            <w:shd w:val="clear" w:color="auto" w:fill="1B3A6B"/>
            <w:tcMar>
              <w:top w:w="60" w:type="dxa"/>
              <w:left w:w="100" w:type="dxa"/>
              <w:bottom w:w="60" w:type="dxa"/>
              <w:right w:w="100" w:type="dxa"/>
            </w:tcMar>
          </w:tcPr>
          <w:p>
            <w:pPr>
              <w:spacing w:after="0"/>
            </w:pPr>
            <w:r>
              <w:rPr>
                <w:rFonts w:ascii="Arial" w:hAnsi="Arial" w:cs="Arial"/>
                <w:b/>
                <w:sz w:val="17"/>
                <w:szCs w:val="17"/>
                <w:color w:val="FFFFFF"/>
              </w:rPr>
              <w:t xml:space="preserve">Tier</w:t>
            </w:r>
          </w:p>
        </w:tc>
        <w:tc>
          <w:tcPr>
            <w:tcW w:w="4060" w:type="dxa"/>
            <w:shd w:val="clear" w:color="auto" w:fill="1B3A6B"/>
            <w:tcMar>
              <w:top w:w="60" w:type="dxa"/>
              <w:left w:w="100" w:type="dxa"/>
              <w:bottom w:w="60" w:type="dxa"/>
              <w:right w:w="100" w:type="dxa"/>
            </w:tcMar>
          </w:tcPr>
          <w:p>
            <w:pPr>
              <w:spacing w:after="0"/>
            </w:pPr>
            <w:r>
              <w:rPr>
                <w:rFonts w:ascii="Arial" w:hAnsi="Arial" w:cs="Arial"/>
                <w:b/>
                <w:sz w:val="17"/>
                <w:szCs w:val="17"/>
                <w:color w:val="FFFFFF"/>
              </w:rPr>
              <w:t xml:space="preserve">Basis</w:t>
            </w:r>
          </w:p>
        </w:tc>
        <w:tc>
          <w:tcPr>
            <w:tcW w:w="1600" w:type="dxa"/>
            <w:shd w:val="clear" w:color="auto" w:fill="1B3A6B"/>
            <w:tcMar>
              <w:top w:w="60" w:type="dxa"/>
              <w:left w:w="100" w:type="dxa"/>
              <w:bottom w:w="60" w:type="dxa"/>
              <w:right w:w="100" w:type="dxa"/>
            </w:tcMar>
          </w:tcPr>
          <w:p>
            <w:pPr>
              <w:spacing w:after="0"/>
            </w:pPr>
            <w:r>
              <w:rPr>
                <w:rFonts w:ascii="Arial" w:hAnsi="Arial" w:cs="Arial"/>
                <w:b/>
                <w:sz w:val="17"/>
                <w:szCs w:val="17"/>
                <w:color w:val="FFFFFF"/>
              </w:rPr>
              <w:t xml:space="preserve">Cadence</w:t>
            </w:r>
          </w:p>
        </w:tc>
        <w:tc>
          <w:tcPr>
            <w:tcW w:w="1400" w:type="dxa"/>
            <w:shd w:val="clear" w:color="auto" w:fill="1B3A6B"/>
            <w:tcMar>
              <w:top w:w="60" w:type="dxa"/>
              <w:left w:w="100" w:type="dxa"/>
              <w:bottom w:w="60" w:type="dxa"/>
              <w:right w:w="100" w:type="dxa"/>
            </w:tcMar>
          </w:tcPr>
          <w:p>
            <w:pPr>
              <w:jc w:val="center"/>
              <w:spacing w:after="0"/>
            </w:pPr>
            <w:r>
              <w:rPr>
                <w:rFonts w:ascii="Arial" w:hAnsi="Arial" w:cs="Arial"/>
                <w:b/>
                <w:sz w:val="17"/>
                <w:szCs w:val="17"/>
                <w:color w:val="FFFFFF"/>
              </w:rPr>
              <w:t xml:space="preserve">Proposed Points</w:t>
            </w:r>
          </w:p>
        </w:tc>
      </w:tr>
      <w:tr>
        <w:trPr>
          <w:cantSplit/>
        </w:trPr>
        <w:tc>
          <w:tcPr>
            <w:tcW w:w="2300" w:type="dxa"/>
            <w:shd w:val="clear" w:color="auto" w:fill="EDF2F9"/>
            <w:tcMar>
              <w:top w:w="60" w:type="dxa"/>
              <w:left w:w="100" w:type="dxa"/>
              <w:bottom w:w="60" w:type="dxa"/>
              <w:right w:w="100" w:type="dxa"/>
            </w:tcMar>
          </w:tcPr>
          <w:p>
            <w:pPr>
              <w:spacing w:after="0"/>
            </w:pPr>
            <w:r>
              <w:rPr>
                <w:rFonts w:ascii="Arial" w:hAnsi="Arial" w:cs="Arial"/>
                <w:b/>
                <w:sz w:val="18"/>
                <w:szCs w:val="18"/>
              </w:rPr>
              <w:t xml:space="preserve">Spotlight</w:t>
            </w:r>
          </w:p>
        </w:tc>
        <w:tc>
          <w:tcPr>
            <w:tcW w:w="4060" w:type="dxa"/>
            <w:shd w:val="clear" w:color="auto" w:fill="EDF2F9"/>
            <w:tcMar>
              <w:top w:w="60" w:type="dxa"/>
              <w:left w:w="100" w:type="dxa"/>
              <w:bottom w:w="60" w:type="dxa"/>
              <w:right w:w="100" w:type="dxa"/>
            </w:tcMar>
          </w:tcPr>
          <w:p>
            <w:pPr>
              <w:spacing w:after="0"/>
            </w:pPr>
            <w:r>
              <w:rPr>
                <w:rFonts w:ascii="Arial" w:hAnsi="Arial" w:cs="Arial"/>
                <w:sz w:val="18"/>
                <w:szCs w:val="18"/>
              </w:rPr>
              <w:t xml:space="preserve">A single exceptional act or interaction, including when no metric or survey is available.</w:t>
            </w:r>
          </w:p>
        </w:tc>
        <w:tc>
          <w:tcPr>
            <w:tcW w:w="1600" w:type="dxa"/>
            <w:shd w:val="clear" w:color="auto" w:fill="EDF2F9"/>
            <w:tcMar>
              <w:top w:w="60" w:type="dxa"/>
              <w:left w:w="100" w:type="dxa"/>
              <w:bottom w:w="60" w:type="dxa"/>
              <w:right w:w="100" w:type="dxa"/>
            </w:tcMar>
          </w:tcPr>
          <w:p>
            <w:pPr>
              <w:spacing w:after="0"/>
            </w:pPr>
            <w:r>
              <w:rPr>
                <w:rFonts w:ascii="Arial" w:hAnsi="Arial" w:cs="Arial"/>
                <w:sz w:val="18"/>
                <w:szCs w:val="18"/>
              </w:rPr>
              <w:t xml:space="preserve">Ad hoc</w:t>
            </w:r>
          </w:p>
        </w:tc>
        <w:tc>
          <w:tcPr>
            <w:tcW w:w="1400" w:type="dxa"/>
            <w:shd w:val="clear" w:color="auto" w:fill="EDF2F9"/>
            <w:tcMar>
              <w:top w:w="60" w:type="dxa"/>
              <w:left w:w="100" w:type="dxa"/>
              <w:bottom w:w="60" w:type="dxa"/>
              <w:right w:w="100" w:type="dxa"/>
            </w:tcMar>
          </w:tcPr>
          <w:p>
            <w:pPr>
              <w:jc w:val="center"/>
              <w:spacing w:after="0"/>
            </w:pPr>
            <w:r>
              <w:rPr>
                <w:rFonts w:ascii="Arial" w:hAnsi="Arial" w:cs="Arial"/>
                <w:sz w:val="18"/>
                <w:szCs w:val="18"/>
              </w:rPr>
              <w:t xml:space="preserve">10</w:t>
            </w:r>
          </w:p>
        </w:tc>
      </w:tr>
      <w:tr>
        <w:trPr>
          <w:cantSplit/>
        </w:trPr>
        <w:tc>
          <w:tcPr>
            <w:tcW w:w="2300" w:type="dxa"/>
            <w:shd w:val="clear" w:color="auto" w:fill="FFFFFF"/>
            <w:tcMar>
              <w:top w:w="60" w:type="dxa"/>
              <w:left w:w="100" w:type="dxa"/>
              <w:bottom w:w="60" w:type="dxa"/>
              <w:right w:w="100" w:type="dxa"/>
            </w:tcMar>
          </w:tcPr>
          <w:p>
            <w:pPr>
              <w:spacing w:after="0"/>
            </w:pPr>
            <w:r>
              <w:rPr>
                <w:rFonts w:ascii="Arial" w:hAnsi="Arial" w:cs="Arial"/>
                <w:b/>
                <w:sz w:val="18"/>
                <w:szCs w:val="18"/>
              </w:rPr>
              <w:t xml:space="preserve">Recognition</w:t>
            </w:r>
          </w:p>
        </w:tc>
        <w:tc>
          <w:tcPr>
            <w:tcW w:w="4060" w:type="dxa"/>
            <w:shd w:val="clear" w:color="auto" w:fill="FFFFFF"/>
            <w:tcMar>
              <w:top w:w="60" w:type="dxa"/>
              <w:left w:w="100" w:type="dxa"/>
              <w:bottom w:w="60" w:type="dxa"/>
              <w:right w:w="100" w:type="dxa"/>
            </w:tcMar>
          </w:tcPr>
          <w:p>
            <w:pPr>
              <w:spacing w:after="0"/>
            </w:pPr>
            <w:r>
              <w:rPr>
                <w:rFonts w:ascii="Arial" w:hAnsi="Arial" w:cs="Arial"/>
                <w:sz w:val="18"/>
                <w:szCs w:val="18"/>
              </w:rPr>
              <w:t xml:space="preserve">Consistent positive performance on pillar measures for the period.</w:t>
            </w:r>
          </w:p>
        </w:tc>
        <w:tc>
          <w:tcPr>
            <w:tcW w:w="1600" w:type="dxa"/>
            <w:shd w:val="clear" w:color="auto" w:fill="FFFFFF"/>
            <w:tcMar>
              <w:top w:w="60" w:type="dxa"/>
              <w:left w:w="100" w:type="dxa"/>
              <w:bottom w:w="60" w:type="dxa"/>
              <w:right w:w="100" w:type="dxa"/>
            </w:tcMar>
          </w:tcPr>
          <w:p>
            <w:pPr>
              <w:spacing w:after="0"/>
            </w:pPr>
            <w:r>
              <w:rPr>
                <w:rFonts w:ascii="Arial" w:hAnsi="Arial" w:cs="Arial"/>
                <w:sz w:val="18"/>
                <w:szCs w:val="18"/>
              </w:rPr>
              <w:t xml:space="preserve">Monthly</w:t>
            </w:r>
          </w:p>
        </w:tc>
        <w:tc>
          <w:tcPr>
            <w:tcW w:w="1400" w:type="dxa"/>
            <w:shd w:val="clear" w:color="auto" w:fill="FFFFFF"/>
            <w:tcMar>
              <w:top w:w="60" w:type="dxa"/>
              <w:left w:w="100" w:type="dxa"/>
              <w:bottom w:w="60" w:type="dxa"/>
              <w:right w:w="100" w:type="dxa"/>
            </w:tcMar>
          </w:tcPr>
          <w:p>
            <w:pPr>
              <w:jc w:val="center"/>
              <w:spacing w:after="0"/>
            </w:pPr>
            <w:r>
              <w:rPr>
                <w:rFonts w:ascii="Arial" w:hAnsi="Arial" w:cs="Arial"/>
                <w:sz w:val="18"/>
                <w:szCs w:val="18"/>
              </w:rPr>
              <w:t xml:space="preserve">20</w:t>
            </w:r>
          </w:p>
        </w:tc>
      </w:tr>
      <w:tr>
        <w:trPr>
          <w:cantSplit/>
        </w:trPr>
        <w:tc>
          <w:tcPr>
            <w:tcW w:w="2300" w:type="dxa"/>
            <w:shd w:val="clear" w:color="auto" w:fill="EDF2F9"/>
            <w:tcMar>
              <w:top w:w="60" w:type="dxa"/>
              <w:left w:w="100" w:type="dxa"/>
              <w:bottom w:w="60" w:type="dxa"/>
              <w:right w:w="100" w:type="dxa"/>
            </w:tcMar>
          </w:tcPr>
          <w:p>
            <w:pPr>
              <w:spacing w:after="0"/>
            </w:pPr>
            <w:r>
              <w:rPr>
                <w:rFonts w:ascii="Arial" w:hAnsi="Arial" w:cs="Arial"/>
                <w:b/>
                <w:sz w:val="18"/>
                <w:szCs w:val="18"/>
              </w:rPr>
              <w:t xml:space="preserve">Champion</w:t>
            </w:r>
          </w:p>
        </w:tc>
        <w:tc>
          <w:tcPr>
            <w:tcW w:w="4060" w:type="dxa"/>
            <w:shd w:val="clear" w:color="auto" w:fill="EDF2F9"/>
            <w:tcMar>
              <w:top w:w="60" w:type="dxa"/>
              <w:left w:w="100" w:type="dxa"/>
              <w:bottom w:w="60" w:type="dxa"/>
              <w:right w:w="100" w:type="dxa"/>
            </w:tcMar>
          </w:tcPr>
          <w:p>
            <w:pPr>
              <w:spacing w:after="0"/>
            </w:pPr>
            <w:r>
              <w:rPr>
                <w:rFonts w:ascii="Arial" w:hAnsi="Arial" w:cs="Arial"/>
                <w:sz w:val="18"/>
                <w:szCs w:val="18"/>
              </w:rPr>
              <w:t xml:space="preserve">Sustained strong performance across multiple periods or measures.</w:t>
            </w:r>
          </w:p>
        </w:tc>
        <w:tc>
          <w:tcPr>
            <w:tcW w:w="1600" w:type="dxa"/>
            <w:shd w:val="clear" w:color="auto" w:fill="EDF2F9"/>
            <w:tcMar>
              <w:top w:w="60" w:type="dxa"/>
              <w:left w:w="100" w:type="dxa"/>
              <w:bottom w:w="60" w:type="dxa"/>
              <w:right w:w="100" w:type="dxa"/>
            </w:tcMar>
          </w:tcPr>
          <w:p>
            <w:pPr>
              <w:spacing w:after="0"/>
            </w:pPr>
            <w:r>
              <w:rPr>
                <w:rFonts w:ascii="Arial" w:hAnsi="Arial" w:cs="Arial"/>
                <w:sz w:val="18"/>
                <w:szCs w:val="18"/>
              </w:rPr>
              <w:t xml:space="preserve">Quarterly</w:t>
            </w:r>
          </w:p>
        </w:tc>
        <w:tc>
          <w:tcPr>
            <w:tcW w:w="1400" w:type="dxa"/>
            <w:shd w:val="clear" w:color="auto" w:fill="EDF2F9"/>
            <w:tcMar>
              <w:top w:w="60" w:type="dxa"/>
              <w:left w:w="100" w:type="dxa"/>
              <w:bottom w:w="60" w:type="dxa"/>
              <w:right w:w="100" w:type="dxa"/>
            </w:tcMar>
          </w:tcPr>
          <w:p>
            <w:pPr>
              <w:jc w:val="center"/>
              <w:spacing w:after="0"/>
            </w:pPr>
            <w:r>
              <w:rPr>
                <w:rFonts w:ascii="Arial" w:hAnsi="Arial" w:cs="Arial"/>
                <w:sz w:val="18"/>
                <w:szCs w:val="18"/>
              </w:rPr>
              <w:t xml:space="preserve">40</w:t>
            </w:r>
          </w:p>
        </w:tc>
      </w:tr>
      <w:tr>
        <w:trPr>
          <w:cantSplit/>
        </w:trPr>
        <w:tc>
          <w:tcPr>
            <w:tcW w:w="2300" w:type="dxa"/>
            <w:shd w:val="clear" w:color="auto" w:fill="FFFFFF"/>
            <w:tcMar>
              <w:top w:w="60" w:type="dxa"/>
              <w:left w:w="100" w:type="dxa"/>
              <w:bottom w:w="60" w:type="dxa"/>
              <w:right w:w="100" w:type="dxa"/>
            </w:tcMar>
          </w:tcPr>
          <w:p>
            <w:pPr>
              <w:spacing w:after="0"/>
            </w:pPr>
            <w:r>
              <w:rPr>
                <w:rFonts w:ascii="Arial" w:hAnsi="Arial" w:cs="Arial"/>
                <w:b/>
                <w:sz w:val="18"/>
                <w:szCs w:val="18"/>
              </w:rPr>
              <w:t xml:space="preserve">Excellence</w:t>
            </w:r>
          </w:p>
        </w:tc>
        <w:tc>
          <w:tcPr>
            <w:tcW w:w="4060" w:type="dxa"/>
            <w:shd w:val="clear" w:color="auto" w:fill="FFFFFF"/>
            <w:tcMar>
              <w:top w:w="60" w:type="dxa"/>
              <w:left w:w="100" w:type="dxa"/>
              <w:bottom w:w="60" w:type="dxa"/>
              <w:right w:w="100" w:type="dxa"/>
            </w:tcMar>
          </w:tcPr>
          <w:p>
            <w:pPr>
              <w:spacing w:after="0"/>
            </w:pPr>
            <w:r>
              <w:rPr>
                <w:rFonts w:ascii="Arial" w:hAnsi="Arial" w:cs="Arial"/>
                <w:sz w:val="18"/>
                <w:szCs w:val="18"/>
              </w:rPr>
              <w:t xml:space="preserve">Exceptional or sustained impact on the business or customer.</w:t>
            </w:r>
          </w:p>
        </w:tc>
        <w:tc>
          <w:tcPr>
            <w:tcW w:w="1600" w:type="dxa"/>
            <w:shd w:val="clear" w:color="auto" w:fill="FFFFFF"/>
            <w:tcMar>
              <w:top w:w="60" w:type="dxa"/>
              <w:left w:w="100" w:type="dxa"/>
              <w:bottom w:w="60" w:type="dxa"/>
              <w:right w:w="100" w:type="dxa"/>
            </w:tcMar>
          </w:tcPr>
          <w:p>
            <w:pPr>
              <w:spacing w:after="0"/>
            </w:pPr>
            <w:r>
              <w:rPr>
                <w:rFonts w:ascii="Arial" w:hAnsi="Arial" w:cs="Arial"/>
                <w:sz w:val="18"/>
                <w:szCs w:val="18"/>
              </w:rPr>
              <w:t xml:space="preserve">Quarterly / Annual</w:t>
            </w:r>
          </w:p>
        </w:tc>
        <w:tc>
          <w:tcPr>
            <w:tcW w:w="1400" w:type="dxa"/>
            <w:shd w:val="clear" w:color="auto" w:fill="FFFFFF"/>
            <w:tcMar>
              <w:top w:w="60" w:type="dxa"/>
              <w:left w:w="100" w:type="dxa"/>
              <w:bottom w:w="60" w:type="dxa"/>
              <w:right w:w="100" w:type="dxa"/>
            </w:tcMar>
          </w:tcPr>
          <w:p>
            <w:pPr>
              <w:jc w:val="center"/>
              <w:spacing w:after="0"/>
            </w:pPr>
            <w:r>
              <w:rPr>
                <w:rFonts w:ascii="Arial" w:hAnsi="Arial" w:cs="Arial"/>
                <w:sz w:val="18"/>
                <w:szCs w:val="18"/>
              </w:rPr>
              <w:t xml:space="preserve">80</w:t>
            </w:r>
          </w:p>
        </w:tc>
      </w:tr>
    </w:tbl>
    <w:p>
      <w:pPr>
        <w:spacing w:after="60"/>
      </w:pPr>
    </w:p>
    <w:p>
      <w:pPr>
        <w:spacing w:before="0" w:after="80"/>
        <w:jc w:val="both"/>
      </w:pPr>
      <w:r>
        <w:rPr>
          <w:rFonts w:ascii="Arial" w:hAnsi="Arial" w:cs="Arial"/>
        </w:rPr>
        <w:t xml:space="preserve">Each pillar owner maps its criteria to these tiers (for example, JPC-227A's Customer Experience Recognition, Customer Champion, Customer Experience Excellence and Spotlight map directly). Point values are a strawman for RZM.</w:t>
      </w:r>
    </w:p>
    <w:p>
      <w:pPr>
        <w:keepNext/>
        <w:spacing w:before="120" w:after="40"/>
      </w:pPr>
      <w:r>
        <w:rPr>
          <w:rFonts w:ascii="Arial" w:hAnsi="Arial" w:cs="Arial"/>
          <w:b/>
          <w:i/>
        </w:rPr>
        <w:t>4.2 Common points currency and redemption</w:t>
      </w:r>
    </w:p>
    <w:p>
      <w:pPr>
        <w:spacing w:after="40"/>
        <w:ind w:left="360" w:hanging="260"/>
        <w:jc w:val="both"/>
      </w:pPr>
      <w:r>
        <w:rPr>
          <w:rFonts w:ascii="Arial" w:hAnsi="Arial" w:cs="Arial"/>
        </w:rPr>
        <w:t xml:space="preserve">•  </w:t>
      </w:r>
      <w:r>
        <w:rPr>
          <w:rFonts w:ascii="Arial" w:hAnsi="Arial" w:cs="Arial"/>
        </w:rPr>
        <w:t xml:space="preserve">All pillars award SBSI Reward Points; points are the only currency redeemed.</w:t>
      </w:r>
    </w:p>
    <w:p>
      <w:pPr>
        <w:spacing w:after="40"/>
        <w:ind w:left="360" w:hanging="260"/>
        <w:jc w:val="both"/>
      </w:pPr>
      <w:r>
        <w:rPr>
          <w:rFonts w:ascii="Arial" w:hAnsi="Arial" w:cs="Arial"/>
        </w:rPr>
        <w:t xml:space="preserve">•  </w:t>
      </w:r>
      <w:r>
        <w:rPr>
          <w:rFonts w:ascii="Arial" w:hAnsi="Arial" w:cs="Arial"/>
        </w:rPr>
        <w:t xml:space="preserve">Redemption options — Encashment, Coop and Canteen — and the peso value per point are defined by RZM, within the budget set by NTC.</w:t>
      </w:r>
    </w:p>
    <w:p>
      <w:pPr>
        <w:spacing w:after="40"/>
        <w:ind w:left="360" w:hanging="260"/>
        <w:jc w:val="both"/>
      </w:pPr>
      <w:r>
        <w:rPr>
          <w:rFonts w:ascii="Arial" w:hAnsi="Arial" w:cs="Arial"/>
        </w:rPr>
        <w:t xml:space="preserve">•  </w:t>
      </w:r>
      <w:r>
        <w:rPr>
          <w:rFonts w:ascii="Arial" w:hAnsi="Arial" w:cs="Arial"/>
        </w:rPr>
        <w:t xml:space="preserve">A per-employee quarterly cap and a points expiry period are recommended to keep cost predictable.</w:t>
      </w:r>
    </w:p>
    <w:p>
      <w:pPr>
        <w:spacing w:after="40"/>
        <w:ind w:left="360" w:hanging="260"/>
        <w:jc w:val="both"/>
      </w:pPr>
      <w:r>
        <w:rPr>
          <w:rFonts w:ascii="Arial" w:hAnsi="Arial" w:cs="Arial"/>
        </w:rPr>
        <w:t xml:space="preserve">•  </w:t>
      </w:r>
      <w:r>
        <w:rPr>
          <w:rFonts w:ascii="Arial" w:hAnsi="Arial" w:cs="Arial"/>
        </w:rPr>
        <w:t xml:space="preserve">Points credit only after validation and approval, and are recorded in the system of record (KLC).</w:t>
      </w:r>
    </w:p>
    <w:p>
      <w:pPr>
        <w:keepNext/>
        <w:spacing w:before="120" w:after="40"/>
      </w:pPr>
      <w:r>
        <w:rPr>
          <w:rFonts w:ascii="Arial" w:hAnsi="Arial" w:cs="Arial"/>
          <w:b/>
          <w:i/>
        </w:rPr>
        <w:t>4.3 Universal eligibility gates</w:t>
      </w:r>
    </w:p>
    <w:p>
      <w:pPr>
        <w:spacing w:after="40"/>
        <w:ind w:left="360" w:hanging="260"/>
        <w:jc w:val="both"/>
      </w:pPr>
      <w:r>
        <w:rPr>
          <w:rFonts w:ascii="Arial" w:hAnsi="Arial" w:cs="Arial"/>
        </w:rPr>
        <w:t xml:space="preserve">•  </w:t>
      </w:r>
      <w:r>
        <w:rPr>
          <w:rFonts w:ascii="Arial" w:hAnsi="Arial" w:cs="Arial"/>
        </w:rPr>
        <w:t xml:space="preserve">The achievement is attributable to the employee (or team, for team measures).</w:t>
      </w:r>
    </w:p>
    <w:p>
      <w:pPr>
        <w:spacing w:after="40"/>
        <w:ind w:left="360" w:hanging="260"/>
        <w:jc w:val="both"/>
      </w:pPr>
      <w:r>
        <w:rPr>
          <w:rFonts w:ascii="Arial" w:hAnsi="Arial" w:cs="Arial"/>
        </w:rPr>
        <w:t xml:space="preserve">•  </w:t>
      </w:r>
      <w:r>
        <w:rPr>
          <w:rFonts w:ascii="Arial" w:hAnsi="Arial" w:cs="Arial"/>
        </w:rPr>
        <w:t xml:space="preserve">Minimum data applies (e.g., at least 10 CSAT surveys; an established baseline for cycle-time and benchmark measures).</w:t>
      </w:r>
    </w:p>
    <w:p>
      <w:pPr>
        <w:spacing w:after="40"/>
        <w:ind w:left="360" w:hanging="260"/>
        <w:jc w:val="both"/>
      </w:pPr>
      <w:r>
        <w:rPr>
          <w:rFonts w:ascii="Arial" w:hAnsi="Arial" w:cs="Arial"/>
        </w:rPr>
        <w:t xml:space="preserve">•  </w:t>
      </w:r>
      <w:r>
        <w:rPr>
          <w:rFonts w:ascii="Arial" w:hAnsi="Arial" w:cs="Arial"/>
        </w:rPr>
        <w:t xml:space="preserve">No significant quality, compliance or conduct issue is associated with the achievement, and the employee has no Critical incident or active Final Written Warning in the period.</w:t>
      </w:r>
    </w:p>
    <w:p>
      <w:pPr>
        <w:spacing w:after="40"/>
        <w:ind w:left="360" w:hanging="260"/>
        <w:jc w:val="both"/>
      </w:pPr>
      <w:r>
        <w:rPr>
          <w:rFonts w:ascii="Arial" w:hAnsi="Arial" w:cs="Arial"/>
        </w:rPr>
        <w:t xml:space="preserve">•  </w:t>
      </w:r>
      <w:r>
        <w:rPr>
          <w:rFonts w:ascii="Arial" w:hAnsi="Arial" w:cs="Arial"/>
        </w:rPr>
        <w:t xml:space="preserve">No soliciting, coaching or influencing of customers, surveys or metrics.</w:t>
      </w:r>
    </w:p>
    <w:p>
      <w:pPr>
        <w:spacing w:after="40"/>
        <w:ind w:left="360" w:hanging="260"/>
        <w:jc w:val="both"/>
      </w:pPr>
      <w:r>
        <w:rPr>
          <w:rFonts w:ascii="Arial" w:hAnsi="Arial" w:cs="Arial"/>
        </w:rPr>
        <w:t xml:space="preserve">•  </w:t>
      </w:r>
      <w:r>
        <w:rPr>
          <w:rFonts w:ascii="Arial" w:hAnsi="Arial" w:cs="Arial"/>
        </w:rPr>
        <w:t xml:space="preserve">The measure applies to the employee's role (see 4.4).</w:t>
      </w:r>
    </w:p>
    <w:p>
      <w:pPr>
        <w:keepNext/>
        <w:spacing w:before="120" w:after="40"/>
      </w:pPr>
      <w:r>
        <w:rPr>
          <w:rFonts w:ascii="Arial" w:hAnsi="Arial" w:cs="Arial"/>
          <w:b/>
          <w:i/>
        </w:rPr>
        <w:t>4.4 Measurement rules</w:t>
      </w:r>
    </w:p>
    <w:p>
      <w:pPr>
        <w:spacing w:after="40"/>
        <w:ind w:left="360" w:hanging="260"/>
        <w:jc w:val="both"/>
      </w:pPr>
      <w:r>
        <w:rPr>
          <w:rFonts w:ascii="Arial" w:hAnsi="Arial" w:cs="Arial"/>
        </w:rPr>
        <w:t xml:space="preserve">•  </w:t>
      </w:r>
      <w:r>
        <w:rPr>
          <w:rFonts w:ascii="Arial" w:hAnsi="Arial" w:cs="Arial"/>
          <w:b/>
        </w:rPr>
        <w:t xml:space="preserve">Baseline period: </w:t>
      </w:r>
      <w:r>
        <w:rPr>
          <w:rFonts w:ascii="Arial" w:hAnsi="Arial" w:cs="Arial"/>
        </w:rPr>
        <w:t xml:space="preserve">measures stated as 'baseline vs attainment' (P90 cycle time, backlog aging, takt time, AHT, FCR) use the first full quarter to set baselines before rewards are issued.</w:t>
      </w:r>
    </w:p>
    <w:p>
      <w:pPr>
        <w:spacing w:after="40"/>
        <w:ind w:left="360" w:hanging="260"/>
        <w:jc w:val="both"/>
      </w:pPr>
      <w:r>
        <w:rPr>
          <w:rFonts w:ascii="Arial" w:hAnsi="Arial" w:cs="Arial"/>
        </w:rPr>
        <w:t xml:space="preserve">•  </w:t>
      </w:r>
      <w:r>
        <w:rPr>
          <w:rFonts w:ascii="Arial" w:hAnsi="Arial" w:cs="Arial"/>
          <w:b/>
        </w:rPr>
        <w:t xml:space="preserve">Individual vs team: </w:t>
      </w:r>
      <w:r>
        <w:rPr>
          <w:rFonts w:ascii="Arial" w:hAnsi="Arial" w:cs="Arial"/>
        </w:rPr>
        <w:t xml:space="preserve">team-level results (SLA adherence, cycle time, backlog aging) earn team recognition; individual measures earn individual recognition.</w:t>
      </w:r>
    </w:p>
    <w:p>
      <w:pPr>
        <w:spacing w:after="40"/>
        <w:ind w:left="360" w:hanging="260"/>
        <w:jc w:val="both"/>
      </w:pPr>
      <w:r>
        <w:rPr>
          <w:rFonts w:ascii="Arial" w:hAnsi="Arial" w:cs="Arial"/>
        </w:rPr>
        <w:t xml:space="preserve">•  </w:t>
      </w:r>
      <w:r>
        <w:rPr>
          <w:rFonts w:ascii="Arial" w:hAnsi="Arial" w:cs="Arial"/>
          <w:b/>
        </w:rPr>
        <w:t xml:space="preserve">One owner per measure: </w:t>
      </w:r>
      <w:r>
        <w:rPr>
          <w:rFonts w:ascii="Arial" w:hAnsi="Arial" w:cs="Arial"/>
        </w:rPr>
        <w:t xml:space="preserve">to avoid double rewards, each measure is scored in one pillar only. Proposed: Peer / Pre-QA FPY and training &amp; certification under Quality; FCR under Customer Satisfaction — for agreement between ODT, AWP and JPC.</w:t>
      </w:r>
    </w:p>
    <w:p>
      <w:pPr>
        <w:spacing w:after="40"/>
        <w:ind w:left="360" w:hanging="260"/>
        <w:jc w:val="both"/>
      </w:pPr>
      <w:r>
        <w:rPr>
          <w:rFonts w:ascii="Arial" w:hAnsi="Arial" w:cs="Arial"/>
        </w:rPr>
        <w:t xml:space="preserve">•  </w:t>
      </w:r>
      <w:r>
        <w:rPr>
          <w:rFonts w:ascii="Arial" w:hAnsi="Arial" w:cs="Arial"/>
          <w:b/>
        </w:rPr>
        <w:t xml:space="preserve">Role applicability: </w:t>
      </w:r>
      <w:r>
        <w:rPr>
          <w:rFonts w:ascii="Arial" w:hAnsi="Arial" w:cs="Arial"/>
        </w:rPr>
        <w:t xml:space="preserve">each department publishes which measures apply to which roles (e.g., AHT and FCR for customer care agents; HO information and PTO for interconnection).</w:t>
      </w:r>
    </w:p>
    <w:p>
      <w:pPr>
        <w:keepNext/>
        <w:spacing w:before="120" w:after="40"/>
      </w:pPr>
      <w:r>
        <w:rPr>
          <w:rFonts w:ascii="Arial" w:hAnsi="Arial" w:cs="Arial"/>
          <w:b/>
          <w:i/>
        </w:rPr>
        <w:t>4.5 Nomination, validation and cadence</w:t>
      </w:r>
    </w:p>
    <w:p>
      <w:pPr>
        <w:spacing w:before="0" w:after="80"/>
        <w:jc w:val="both"/>
      </w:pPr>
      <w:r>
        <w:rPr>
          <w:rFonts w:ascii="Arial" w:hAnsi="Arial" w:cs="Arial"/>
        </w:rPr>
        <w:t xml:space="preserve">Nominations may come from leadership, Team Leads, SMEs, QA / Audit, customer feedback or system reports. Every nomination records: employee, pillar and measure, date or period, result versus target, evidence reference (case, call, report), and validator. The pillar owner or QA validates before approval. Cadence follows JPC-227A program-wide: weekly identification of candidates, monthly review, quarterly awards, and ad hoc Spotlight recognition.</w:t>
      </w:r>
    </w:p>
    <w:p>
      <w:pPr>
        <w:keepNext/>
        <w:spacing w:before="240" w:after="80"/>
      </w:pPr>
      <w:r>
        <w:rPr>
          <w:rFonts w:ascii="Arial" w:hAnsi="Arial" w:cs="Arial"/>
          <w:b/>
          <w:color w:val="1B3A6B"/>
        </w:rPr>
        <w:t>5. Cross-Department Recognition</w:t>
      </w:r>
    </w:p>
    <w:p>
      <w:pPr>
        <w:spacing w:before="0" w:after="80"/>
        <w:jc w:val="both"/>
      </w:pPr>
      <w:r>
        <w:rPr>
          <w:rFonts w:ascii="Arial" w:hAnsi="Arial" w:cs="Arial"/>
        </w:rPr>
        <w:t xml:space="preserve">Rewards may be given across departments when an employee provides significant assistance, support or contribution that helps another team or department achieve its goals or successfully complete an activity or project. Such rewards are subject to review and approval by the respective Division Lead.</w:t>
      </w:r>
    </w:p>
    <w:p>
      <w:pPr>
        <w:spacing w:after="40"/>
        <w:ind w:left="360" w:hanging="260"/>
        <w:jc w:val="both"/>
      </w:pPr>
      <w:r>
        <w:rPr>
          <w:rFonts w:ascii="Arial" w:hAnsi="Arial" w:cs="Arial"/>
        </w:rPr>
        <w:t xml:space="preserve">1. </w:t>
      </w:r>
      <w:r>
        <w:rPr>
          <w:rFonts w:ascii="Arial" w:hAnsi="Arial" w:cs="Arial"/>
          <w:b/>
        </w:rPr>
        <w:t xml:space="preserve">Nomination — </w:t>
      </w:r>
      <w:r>
        <w:rPr>
          <w:rFonts w:ascii="Arial" w:hAnsi="Arial" w:cs="Arial"/>
        </w:rPr>
        <w:t xml:space="preserve">submitted by the benefiting department, describing the support, the goal or project, and the measurable outcome.</w:t>
      </w:r>
    </w:p>
    <w:p>
      <w:pPr>
        <w:spacing w:after="40"/>
        <w:ind w:left="360" w:hanging="260"/>
        <w:jc w:val="both"/>
      </w:pPr>
      <w:r>
        <w:rPr>
          <w:rFonts w:ascii="Arial" w:hAnsi="Arial" w:cs="Arial"/>
        </w:rPr>
        <w:t xml:space="preserve">2. </w:t>
      </w:r>
      <w:r>
        <w:rPr>
          <w:rFonts w:ascii="Arial" w:hAnsi="Arial" w:cs="Arial"/>
          <w:b/>
        </w:rPr>
        <w:t xml:space="preserve">Validation — </w:t>
      </w:r>
      <w:r>
        <w:rPr>
          <w:rFonts w:ascii="Arial" w:hAnsi="Arial" w:cs="Arial"/>
        </w:rPr>
        <w:t xml:space="preserve">the Division Lead of the benefiting department confirms the contribution and impact.</w:t>
      </w:r>
    </w:p>
    <w:p>
      <w:pPr>
        <w:spacing w:after="40"/>
        <w:ind w:left="360" w:hanging="260"/>
        <w:jc w:val="both"/>
      </w:pPr>
      <w:r>
        <w:rPr>
          <w:rFonts w:ascii="Arial" w:hAnsi="Arial" w:cs="Arial"/>
        </w:rPr>
        <w:t xml:space="preserve">3. </w:t>
      </w:r>
      <w:r>
        <w:rPr>
          <w:rFonts w:ascii="Arial" w:hAnsi="Arial" w:cs="Arial"/>
          <w:b/>
        </w:rPr>
        <w:t xml:space="preserve">Approval — </w:t>
      </w:r>
      <w:r>
        <w:rPr>
          <w:rFonts w:ascii="Arial" w:hAnsi="Arial" w:cs="Arial"/>
        </w:rPr>
        <w:t xml:space="preserve">the Division Lead approves the tier; points credit only on approval.</w:t>
      </w:r>
    </w:p>
    <w:p>
      <w:pPr>
        <w:spacing w:after="40"/>
        <w:ind w:left="360" w:hanging="260"/>
        <w:jc w:val="both"/>
      </w:pPr>
      <w:r>
        <w:rPr>
          <w:rFonts w:ascii="Arial" w:hAnsi="Arial" w:cs="Arial"/>
        </w:rPr>
        <w:t xml:space="preserve">4. </w:t>
      </w:r>
      <w:r>
        <w:rPr>
          <w:rFonts w:ascii="Arial" w:hAnsi="Arial" w:cs="Arial"/>
          <w:b/>
        </w:rPr>
        <w:t xml:space="preserve">Recognition — </w:t>
      </w:r>
      <w:r>
        <w:rPr>
          <w:rFonts w:ascii="Arial" w:hAnsi="Arial" w:cs="Arial"/>
        </w:rPr>
        <w:t xml:space="preserve">the award is recorded and communicated to both departments.</w:t>
      </w:r>
    </w:p>
    <w:p>
      <w:pPr>
        <w:keepNext/>
        <w:spacing w:before="240" w:after="80"/>
      </w:pPr>
      <w:r>
        <w:rPr>
          <w:rFonts w:ascii="Arial" w:hAnsi="Arial" w:cs="Arial"/>
          <w:b/>
          <w:color w:val="1B3A6B"/>
        </w:rPr>
        <w:t>6. Performance Accountability</w:t>
      </w:r>
    </w:p>
    <w:p>
      <w:pPr>
        <w:spacing w:before="0" w:after="80"/>
        <w:jc w:val="both"/>
      </w:pPr>
      <w:r>
        <w:rPr>
          <w:rFonts w:ascii="Arial" w:hAnsi="Arial" w:cs="Arial"/>
        </w:rPr>
        <w:t xml:space="preserve">The reward system is balanced by a consistent accountability framework, so that recognition reflects sustained, compliant performance. Process Trainers log quality events with Cost of Quality and severity; severity determines the recommended action.</w:t>
      </w:r>
    </w:p>
    <w:tbl>
      <w:tblPr>
        <w:tblW w:w="9360" w:type="dxa"/>
        <w:tblBorders>
          <w:top w:val="single" w:sz="4" w:space="0" w:color="BBCCE0"/>
          <w:left w:val="single" w:sz="4" w:space="0" w:color="BBCCE0"/>
          <w:bottom w:val="single" w:sz="4" w:space="0" w:color="BBCCE0"/>
          <w:right w:val="single" w:sz="4" w:space="0" w:color="BBCCE0"/>
          <w:insideH w:val="single" w:sz="4" w:space="0" w:color="BBCCE0"/>
          <w:insideV w:val="single" w:sz="4" w:space="0" w:color="BBCCE0"/>
        </w:tblBorders>
        <w:tblLayout w:type="fixed"/>
        <w:tblLook w:val="0000"/>
      </w:tblPr>
      <w:tblGrid>
        <w:gridCol w:w="1400"/>
        <w:gridCol w:w="5360"/>
        <w:gridCol w:w="2600"/>
      </w:tblGrid>
      <w:tr>
        <w:trPr>
          <w:tblHeader/>
          <w:cantSplit/>
        </w:trPr>
        <w:tc>
          <w:tcPr>
            <w:tcW w:w="1400" w:type="dxa"/>
            <w:shd w:val="clear" w:color="auto" w:fill="1B3A6B"/>
            <w:tcMar>
              <w:top w:w="60" w:type="dxa"/>
              <w:left w:w="100" w:type="dxa"/>
              <w:bottom w:w="60" w:type="dxa"/>
              <w:right w:w="100" w:type="dxa"/>
            </w:tcMar>
          </w:tcPr>
          <w:p>
            <w:pPr>
              <w:spacing w:after="0"/>
            </w:pPr>
            <w:r>
              <w:rPr>
                <w:rFonts w:ascii="Arial" w:hAnsi="Arial" w:cs="Arial"/>
                <w:b/>
                <w:sz w:val="17"/>
                <w:szCs w:val="17"/>
                <w:color w:val="FFFFFF"/>
              </w:rPr>
              <w:t xml:space="preserve">Severity</w:t>
            </w:r>
          </w:p>
        </w:tc>
        <w:tc>
          <w:tcPr>
            <w:tcW w:w="5360" w:type="dxa"/>
            <w:shd w:val="clear" w:color="auto" w:fill="1B3A6B"/>
            <w:tcMar>
              <w:top w:w="60" w:type="dxa"/>
              <w:left w:w="100" w:type="dxa"/>
              <w:bottom w:w="60" w:type="dxa"/>
              <w:right w:w="100" w:type="dxa"/>
            </w:tcMar>
          </w:tcPr>
          <w:p>
            <w:pPr>
              <w:spacing w:after="0"/>
            </w:pPr>
            <w:r>
              <w:rPr>
                <w:rFonts w:ascii="Arial" w:hAnsi="Arial" w:cs="Arial"/>
                <w:b/>
                <w:sz w:val="17"/>
                <w:szCs w:val="17"/>
                <w:color w:val="FFFFFF"/>
              </w:rPr>
              <w:t xml:space="preserve">Definition</w:t>
            </w:r>
          </w:p>
        </w:tc>
        <w:tc>
          <w:tcPr>
            <w:tcW w:w="2600" w:type="dxa"/>
            <w:shd w:val="clear" w:color="auto" w:fill="1B3A6B"/>
            <w:tcMar>
              <w:top w:w="60" w:type="dxa"/>
              <w:left w:w="100" w:type="dxa"/>
              <w:bottom w:w="60" w:type="dxa"/>
              <w:right w:w="100" w:type="dxa"/>
            </w:tcMar>
          </w:tcPr>
          <w:p>
            <w:pPr>
              <w:spacing w:after="0"/>
            </w:pPr>
            <w:r>
              <w:rPr>
                <w:rFonts w:ascii="Arial" w:hAnsi="Arial" w:cs="Arial"/>
                <w:b/>
                <w:sz w:val="17"/>
                <w:szCs w:val="17"/>
                <w:color w:val="FFFFFF"/>
              </w:rPr>
              <w:t xml:space="preserve">Recommended Action</w:t>
            </w:r>
          </w:p>
        </w:tc>
      </w:tr>
      <w:tr>
        <w:trPr>
          <w:cantSplit/>
        </w:trPr>
        <w:tc>
          <w:tcPr>
            <w:tcW w:w="1400" w:type="dxa"/>
            <w:shd w:val="clear" w:color="auto" w:fill="EDF2F9"/>
            <w:tcMar>
              <w:top w:w="60" w:type="dxa"/>
              <w:left w:w="100" w:type="dxa"/>
              <w:bottom w:w="60" w:type="dxa"/>
              <w:right w:w="100" w:type="dxa"/>
            </w:tcMar>
          </w:tcPr>
          <w:p>
            <w:pPr>
              <w:spacing w:after="0"/>
            </w:pPr>
            <w:r>
              <w:rPr>
                <w:rFonts w:ascii="Arial" w:hAnsi="Arial" w:cs="Arial"/>
                <w:b/>
                <w:sz w:val="18"/>
                <w:szCs w:val="18"/>
              </w:rPr>
              <w:t xml:space="preserve">Minor</w:t>
            </w:r>
          </w:p>
        </w:tc>
        <w:tc>
          <w:tcPr>
            <w:tcW w:w="5360" w:type="dxa"/>
            <w:shd w:val="clear" w:color="auto" w:fill="EDF2F9"/>
            <w:tcMar>
              <w:top w:w="60" w:type="dxa"/>
              <w:left w:w="100" w:type="dxa"/>
              <w:bottom w:w="60" w:type="dxa"/>
              <w:right w:w="100" w:type="dxa"/>
            </w:tcMar>
          </w:tcPr>
          <w:p>
            <w:pPr>
              <w:spacing w:after="0"/>
            </w:pPr>
            <w:r>
              <w:rPr>
                <w:rFonts w:ascii="Arial" w:hAnsi="Arial" w:cs="Arial"/>
                <w:sz w:val="18"/>
                <w:szCs w:val="18"/>
              </w:rPr>
              <w:t xml:space="preserve">Defect caught internally; no customer, AHJ or utility impact.</w:t>
            </w:r>
          </w:p>
        </w:tc>
        <w:tc>
          <w:tcPr>
            <w:tcW w:w="2600" w:type="dxa"/>
            <w:shd w:val="clear" w:color="auto" w:fill="EDF2F9"/>
            <w:tcMar>
              <w:top w:w="60" w:type="dxa"/>
              <w:left w:w="100" w:type="dxa"/>
              <w:bottom w:w="60" w:type="dxa"/>
              <w:right w:w="100" w:type="dxa"/>
            </w:tcMar>
          </w:tcPr>
          <w:p>
            <w:pPr>
              <w:spacing w:after="0"/>
            </w:pPr>
            <w:r>
              <w:rPr>
                <w:rFonts w:ascii="Arial" w:hAnsi="Arial" w:cs="Arial"/>
                <w:sz w:val="18"/>
                <w:szCs w:val="18"/>
              </w:rPr>
              <w:t xml:space="preserve">Coaching Session</w:t>
            </w:r>
          </w:p>
        </w:tc>
      </w:tr>
      <w:tr>
        <w:trPr>
          <w:cantSplit/>
        </w:trPr>
        <w:tc>
          <w:tcPr>
            <w:tcW w:w="1400" w:type="dxa"/>
            <w:shd w:val="clear" w:color="auto" w:fill="FFFFFF"/>
            <w:tcMar>
              <w:top w:w="60" w:type="dxa"/>
              <w:left w:w="100" w:type="dxa"/>
              <w:bottom w:w="60" w:type="dxa"/>
              <w:right w:w="100" w:type="dxa"/>
            </w:tcMar>
          </w:tcPr>
          <w:p>
            <w:pPr>
              <w:spacing w:after="0"/>
            </w:pPr>
            <w:r>
              <w:rPr>
                <w:rFonts w:ascii="Arial" w:hAnsi="Arial" w:cs="Arial"/>
                <w:b/>
                <w:sz w:val="18"/>
                <w:szCs w:val="18"/>
              </w:rPr>
              <w:t xml:space="preserve">Major</w:t>
            </w:r>
          </w:p>
        </w:tc>
        <w:tc>
          <w:tcPr>
            <w:tcW w:w="5360" w:type="dxa"/>
            <w:shd w:val="clear" w:color="auto" w:fill="FFFFFF"/>
            <w:tcMar>
              <w:top w:w="60" w:type="dxa"/>
              <w:left w:w="100" w:type="dxa"/>
              <w:bottom w:w="60" w:type="dxa"/>
              <w:right w:w="100" w:type="dxa"/>
            </w:tcMar>
          </w:tcPr>
          <w:p>
            <w:pPr>
              <w:spacing w:after="0"/>
            </w:pPr>
            <w:r>
              <w:rPr>
                <w:rFonts w:ascii="Arial" w:hAnsi="Arial" w:cs="Arial"/>
                <w:sz w:val="18"/>
                <w:szCs w:val="18"/>
              </w:rPr>
              <w:t xml:space="preserve">Defect reached AHJ, utility or customer, or required formal rework.</w:t>
            </w:r>
          </w:p>
        </w:tc>
        <w:tc>
          <w:tcPr>
            <w:tcW w:w="2600" w:type="dxa"/>
            <w:shd w:val="clear" w:color="auto" w:fill="FFFFFF"/>
            <w:tcMar>
              <w:top w:w="60" w:type="dxa"/>
              <w:left w:w="100" w:type="dxa"/>
              <w:bottom w:w="60" w:type="dxa"/>
              <w:right w:w="100" w:type="dxa"/>
            </w:tcMar>
          </w:tcPr>
          <w:p>
            <w:pPr>
              <w:spacing w:after="0"/>
            </w:pPr>
            <w:r>
              <w:rPr>
                <w:rFonts w:ascii="Arial" w:hAnsi="Arial" w:cs="Arial"/>
                <w:sz w:val="18"/>
                <w:szCs w:val="18"/>
              </w:rPr>
              <w:t xml:space="preserve">Written Warning + Retraining</w:t>
            </w:r>
          </w:p>
        </w:tc>
      </w:tr>
      <w:tr>
        <w:trPr>
          <w:cantSplit/>
        </w:trPr>
        <w:tc>
          <w:tcPr>
            <w:tcW w:w="1400" w:type="dxa"/>
            <w:shd w:val="clear" w:color="auto" w:fill="EDF2F9"/>
            <w:tcMar>
              <w:top w:w="60" w:type="dxa"/>
              <w:left w:w="100" w:type="dxa"/>
              <w:bottom w:w="60" w:type="dxa"/>
              <w:right w:w="100" w:type="dxa"/>
            </w:tcMar>
          </w:tcPr>
          <w:p>
            <w:pPr>
              <w:spacing w:after="0"/>
            </w:pPr>
            <w:r>
              <w:rPr>
                <w:rFonts w:ascii="Arial" w:hAnsi="Arial" w:cs="Arial"/>
                <w:b/>
                <w:sz w:val="18"/>
                <w:szCs w:val="18"/>
              </w:rPr>
              <w:t xml:space="preserve">Critical</w:t>
            </w:r>
          </w:p>
        </w:tc>
        <w:tc>
          <w:tcPr>
            <w:tcW w:w="5360" w:type="dxa"/>
            <w:shd w:val="clear" w:color="auto" w:fill="EDF2F9"/>
            <w:tcMar>
              <w:top w:w="60" w:type="dxa"/>
              <w:left w:w="100" w:type="dxa"/>
              <w:bottom w:w="60" w:type="dxa"/>
              <w:right w:w="100" w:type="dxa"/>
            </w:tcMar>
          </w:tcPr>
          <w:p>
            <w:pPr>
              <w:spacing w:after="0"/>
            </w:pPr>
            <w:r>
              <w:rPr>
                <w:rFonts w:ascii="Arial" w:hAnsi="Arial" w:cs="Arial"/>
                <w:sz w:val="18"/>
                <w:szCs w:val="18"/>
              </w:rPr>
              <w:t xml:space="preserve">Safety, code or compliance risk, field rework, or repeat Major within 90 days.</w:t>
            </w:r>
          </w:p>
        </w:tc>
        <w:tc>
          <w:tcPr>
            <w:tcW w:w="2600" w:type="dxa"/>
            <w:shd w:val="clear" w:color="auto" w:fill="EDF2F9"/>
            <w:tcMar>
              <w:top w:w="60" w:type="dxa"/>
              <w:left w:w="100" w:type="dxa"/>
              <w:bottom w:w="60" w:type="dxa"/>
              <w:right w:w="100" w:type="dxa"/>
            </w:tcMar>
          </w:tcPr>
          <w:p>
            <w:pPr>
              <w:spacing w:after="0"/>
            </w:pPr>
            <w:r>
              <w:rPr>
                <w:rFonts w:ascii="Arial" w:hAnsi="Arial" w:cs="Arial"/>
                <w:sz w:val="18"/>
                <w:szCs w:val="18"/>
              </w:rPr>
              <w:t xml:space="preserve">Decertification Review / Final Written Warning</w:t>
            </w:r>
          </w:p>
        </w:tc>
      </w:tr>
    </w:tbl>
    <w:p>
      <w:pPr>
        <w:spacing w:after="60"/>
      </w:pPr>
    </w:p>
    <w:tbl>
      <w:tblPr>
        <w:tblW w:w="9360" w:type="dxa"/>
        <w:tblBorders>
          <w:top w:val="single" w:sz="4" w:space="0" w:color="BBCCE0"/>
          <w:left w:val="single" w:sz="4" w:space="0" w:color="BBCCE0"/>
          <w:bottom w:val="single" w:sz="4" w:space="0" w:color="BBCCE0"/>
          <w:right w:val="single" w:sz="4" w:space="0" w:color="BBCCE0"/>
          <w:insideH w:val="single" w:sz="4" w:space="0" w:color="BBCCE0"/>
          <w:insideV w:val="single" w:sz="4" w:space="0" w:color="BBCCE0"/>
        </w:tblBorders>
        <w:tblLayout w:type="fixed"/>
        <w:tblLook w:val="0000"/>
      </w:tblPr>
      <w:tblGrid>
        <w:gridCol w:w="3000"/>
        <w:gridCol w:w="5160"/>
        <w:gridCol w:w="1200"/>
      </w:tblGrid>
      <w:tr>
        <w:trPr>
          <w:tblHeader/>
          <w:cantSplit/>
        </w:trPr>
        <w:tc>
          <w:tcPr>
            <w:tcW w:w="3000" w:type="dxa"/>
            <w:shd w:val="clear" w:color="auto" w:fill="1B3A6B"/>
            <w:tcMar>
              <w:top w:w="60" w:type="dxa"/>
              <w:left w:w="100" w:type="dxa"/>
              <w:bottom w:w="60" w:type="dxa"/>
              <w:right w:w="100" w:type="dxa"/>
            </w:tcMar>
          </w:tcPr>
          <w:p>
            <w:pPr>
              <w:spacing w:after="0"/>
            </w:pPr>
            <w:r>
              <w:rPr>
                <w:rFonts w:ascii="Arial" w:hAnsi="Arial" w:cs="Arial"/>
                <w:b/>
                <w:sz w:val="17"/>
                <w:szCs w:val="17"/>
                <w:color w:val="FFFFFF"/>
              </w:rPr>
              <w:t xml:space="preserve">Corrective Action</w:t>
            </w:r>
          </w:p>
        </w:tc>
        <w:tc>
          <w:tcPr>
            <w:tcW w:w="5160" w:type="dxa"/>
            <w:shd w:val="clear" w:color="auto" w:fill="1B3A6B"/>
            <w:tcMar>
              <w:top w:w="60" w:type="dxa"/>
              <w:left w:w="100" w:type="dxa"/>
              <w:bottom w:w="60" w:type="dxa"/>
              <w:right w:w="100" w:type="dxa"/>
            </w:tcMar>
          </w:tcPr>
          <w:p>
            <w:pPr>
              <w:spacing w:after="0"/>
            </w:pPr>
            <w:r>
              <w:rPr>
                <w:rFonts w:ascii="Arial" w:hAnsi="Arial" w:cs="Arial"/>
                <w:b/>
                <w:sz w:val="17"/>
                <w:szCs w:val="17"/>
                <w:color w:val="FFFFFF"/>
              </w:rPr>
              <w:t xml:space="preserve">Description</w:t>
            </w:r>
          </w:p>
        </w:tc>
        <w:tc>
          <w:tcPr>
            <w:tcW w:w="1200" w:type="dxa"/>
            <w:shd w:val="clear" w:color="auto" w:fill="1B3A6B"/>
            <w:tcMar>
              <w:top w:w="60" w:type="dxa"/>
              <w:left w:w="100" w:type="dxa"/>
              <w:bottom w:w="60" w:type="dxa"/>
              <w:right w:w="100" w:type="dxa"/>
            </w:tcMar>
          </w:tcPr>
          <w:p>
            <w:pPr>
              <w:jc w:val="center"/>
              <w:spacing w:after="0"/>
            </w:pPr>
            <w:r>
              <w:rPr>
                <w:rFonts w:ascii="Arial" w:hAnsi="Arial" w:cs="Arial"/>
                <w:b/>
                <w:sz w:val="17"/>
                <w:szCs w:val="17"/>
                <w:color w:val="FFFFFF"/>
              </w:rPr>
              <w:t xml:space="preserve">Demerit Points</w:t>
            </w:r>
          </w:p>
        </w:tc>
      </w:tr>
      <w:tr>
        <w:trPr>
          <w:cantSplit/>
        </w:trPr>
        <w:tc>
          <w:tcPr>
            <w:tcW w:w="3000" w:type="dxa"/>
            <w:shd w:val="clear" w:color="auto" w:fill="EDF2F9"/>
            <w:tcMar>
              <w:top w:w="60" w:type="dxa"/>
              <w:left w:w="100" w:type="dxa"/>
              <w:bottom w:w="60" w:type="dxa"/>
              <w:right w:w="100" w:type="dxa"/>
            </w:tcMar>
          </w:tcPr>
          <w:p>
            <w:pPr>
              <w:spacing w:after="0"/>
            </w:pPr>
            <w:r>
              <w:rPr>
                <w:rFonts w:ascii="Arial" w:hAnsi="Arial" w:cs="Arial"/>
                <w:b/>
                <w:sz w:val="18"/>
                <w:szCs w:val="18"/>
              </w:rPr>
              <w:t xml:space="preserve">Coaching Session</w:t>
            </w:r>
          </w:p>
        </w:tc>
        <w:tc>
          <w:tcPr>
            <w:tcW w:w="5160" w:type="dxa"/>
            <w:shd w:val="clear" w:color="auto" w:fill="EDF2F9"/>
            <w:tcMar>
              <w:top w:w="60" w:type="dxa"/>
              <w:left w:w="100" w:type="dxa"/>
              <w:bottom w:w="60" w:type="dxa"/>
              <w:right w:w="100" w:type="dxa"/>
            </w:tcMar>
          </w:tcPr>
          <w:p>
            <w:pPr>
              <w:spacing w:after="0"/>
            </w:pPr>
            <w:r>
              <w:rPr>
                <w:rFonts w:ascii="Arial" w:hAnsi="Arial" w:cs="Arial"/>
                <w:sz w:val="18"/>
                <w:szCs w:val="18"/>
              </w:rPr>
              <w:t xml:space="preserve">Documented one-on-one coaching; non-disciplinary.</w:t>
            </w:r>
          </w:p>
        </w:tc>
        <w:tc>
          <w:tcPr>
            <w:tcW w:w="1200" w:type="dxa"/>
            <w:shd w:val="clear" w:color="auto" w:fill="EDF2F9"/>
            <w:tcMar>
              <w:top w:w="60" w:type="dxa"/>
              <w:left w:w="100" w:type="dxa"/>
              <w:bottom w:w="60" w:type="dxa"/>
              <w:right w:w="100" w:type="dxa"/>
            </w:tcMar>
          </w:tcPr>
          <w:p>
            <w:pPr>
              <w:jc w:val="center"/>
              <w:spacing w:after="0"/>
            </w:pPr>
            <w:r>
              <w:rPr>
                <w:rFonts w:ascii="Arial" w:hAnsi="Arial" w:cs="Arial"/>
                <w:sz w:val="18"/>
                <w:szCs w:val="18"/>
              </w:rPr>
              <w:t xml:space="preserve">0</w:t>
            </w:r>
          </w:p>
        </w:tc>
      </w:tr>
      <w:tr>
        <w:trPr>
          <w:cantSplit/>
        </w:trPr>
        <w:tc>
          <w:tcPr>
            <w:tcW w:w="3000" w:type="dxa"/>
            <w:shd w:val="clear" w:color="auto" w:fill="FFFFFF"/>
            <w:tcMar>
              <w:top w:w="60" w:type="dxa"/>
              <w:left w:w="100" w:type="dxa"/>
              <w:bottom w:w="60" w:type="dxa"/>
              <w:right w:w="100" w:type="dxa"/>
            </w:tcMar>
          </w:tcPr>
          <w:p>
            <w:pPr>
              <w:spacing w:after="0"/>
            </w:pPr>
            <w:r>
              <w:rPr>
                <w:rFonts w:ascii="Arial" w:hAnsi="Arial" w:cs="Arial"/>
                <w:b/>
                <w:sz w:val="18"/>
                <w:szCs w:val="18"/>
              </w:rPr>
              <w:t xml:space="preserve">Verbal Warning</w:t>
            </w:r>
          </w:p>
        </w:tc>
        <w:tc>
          <w:tcPr>
            <w:tcW w:w="5160" w:type="dxa"/>
            <w:shd w:val="clear" w:color="auto" w:fill="FFFFFF"/>
            <w:tcMar>
              <w:top w:w="60" w:type="dxa"/>
              <w:left w:w="100" w:type="dxa"/>
              <w:bottom w:w="60" w:type="dxa"/>
              <w:right w:w="100" w:type="dxa"/>
            </w:tcMar>
          </w:tcPr>
          <w:p>
            <w:pPr>
              <w:spacing w:after="0"/>
            </w:pPr>
            <w:r>
              <w:rPr>
                <w:rFonts w:ascii="Arial" w:hAnsi="Arial" w:cs="Arial"/>
                <w:sz w:val="18"/>
                <w:szCs w:val="18"/>
              </w:rPr>
              <w:t xml:space="preserve">Documented verbal warning.</w:t>
            </w:r>
          </w:p>
        </w:tc>
        <w:tc>
          <w:tcPr>
            <w:tcW w:w="1200" w:type="dxa"/>
            <w:shd w:val="clear" w:color="auto" w:fill="FFFFFF"/>
            <w:tcMar>
              <w:top w:w="60" w:type="dxa"/>
              <w:left w:w="100" w:type="dxa"/>
              <w:bottom w:w="60" w:type="dxa"/>
              <w:right w:w="100" w:type="dxa"/>
            </w:tcMar>
          </w:tcPr>
          <w:p>
            <w:pPr>
              <w:jc w:val="center"/>
              <w:spacing w:after="0"/>
            </w:pPr>
            <w:r>
              <w:rPr>
                <w:rFonts w:ascii="Arial" w:hAnsi="Arial" w:cs="Arial"/>
                <w:sz w:val="18"/>
                <w:szCs w:val="18"/>
              </w:rPr>
              <w:t xml:space="preserve">5</w:t>
            </w:r>
          </w:p>
        </w:tc>
      </w:tr>
      <w:tr>
        <w:trPr>
          <w:cantSplit/>
        </w:trPr>
        <w:tc>
          <w:tcPr>
            <w:tcW w:w="3000" w:type="dxa"/>
            <w:shd w:val="clear" w:color="auto" w:fill="EDF2F9"/>
            <w:tcMar>
              <w:top w:w="60" w:type="dxa"/>
              <w:left w:w="100" w:type="dxa"/>
              <w:bottom w:w="60" w:type="dxa"/>
              <w:right w:w="100" w:type="dxa"/>
            </w:tcMar>
          </w:tcPr>
          <w:p>
            <w:pPr>
              <w:spacing w:after="0"/>
            </w:pPr>
            <w:r>
              <w:rPr>
                <w:rFonts w:ascii="Arial" w:hAnsi="Arial" w:cs="Arial"/>
                <w:b/>
                <w:sz w:val="18"/>
                <w:szCs w:val="18"/>
              </w:rPr>
              <w:t xml:space="preserve">Written Warning</w:t>
            </w:r>
          </w:p>
        </w:tc>
        <w:tc>
          <w:tcPr>
            <w:tcW w:w="5160" w:type="dxa"/>
            <w:shd w:val="clear" w:color="auto" w:fill="EDF2F9"/>
            <w:tcMar>
              <w:top w:w="60" w:type="dxa"/>
              <w:left w:w="100" w:type="dxa"/>
              <w:bottom w:w="60" w:type="dxa"/>
              <w:right w:w="100" w:type="dxa"/>
            </w:tcMar>
          </w:tcPr>
          <w:p>
            <w:pPr>
              <w:spacing w:after="0"/>
            </w:pPr>
            <w:r>
              <w:rPr>
                <w:rFonts w:ascii="Arial" w:hAnsi="Arial" w:cs="Arial"/>
                <w:sz w:val="18"/>
                <w:szCs w:val="18"/>
              </w:rPr>
              <w:t xml:space="preserve">Formal written warning after due process.</w:t>
            </w:r>
          </w:p>
        </w:tc>
        <w:tc>
          <w:tcPr>
            <w:tcW w:w="1200" w:type="dxa"/>
            <w:shd w:val="clear" w:color="auto" w:fill="EDF2F9"/>
            <w:tcMar>
              <w:top w:w="60" w:type="dxa"/>
              <w:left w:w="100" w:type="dxa"/>
              <w:bottom w:w="60" w:type="dxa"/>
              <w:right w:w="100" w:type="dxa"/>
            </w:tcMar>
          </w:tcPr>
          <w:p>
            <w:pPr>
              <w:jc w:val="center"/>
              <w:spacing w:after="0"/>
            </w:pPr>
            <w:r>
              <w:rPr>
                <w:rFonts w:ascii="Arial" w:hAnsi="Arial" w:cs="Arial"/>
                <w:sz w:val="18"/>
                <w:szCs w:val="18"/>
              </w:rPr>
              <w:t xml:space="preserve">15</w:t>
            </w:r>
          </w:p>
        </w:tc>
      </w:tr>
      <w:tr>
        <w:trPr>
          <w:cantSplit/>
        </w:trPr>
        <w:tc>
          <w:tcPr>
            <w:tcW w:w="3000" w:type="dxa"/>
            <w:shd w:val="clear" w:color="auto" w:fill="FFFFFF"/>
            <w:tcMar>
              <w:top w:w="60" w:type="dxa"/>
              <w:left w:w="100" w:type="dxa"/>
              <w:bottom w:w="60" w:type="dxa"/>
              <w:right w:w="100" w:type="dxa"/>
            </w:tcMar>
          </w:tcPr>
          <w:p>
            <w:pPr>
              <w:spacing w:after="0"/>
            </w:pPr>
            <w:r>
              <w:rPr>
                <w:rFonts w:ascii="Arial" w:hAnsi="Arial" w:cs="Arial"/>
                <w:b/>
                <w:sz w:val="18"/>
                <w:szCs w:val="18"/>
              </w:rPr>
              <w:t xml:space="preserve">Performance Improvement Plan</w:t>
            </w:r>
          </w:p>
        </w:tc>
        <w:tc>
          <w:tcPr>
            <w:tcW w:w="5160" w:type="dxa"/>
            <w:shd w:val="clear" w:color="auto" w:fill="FFFFFF"/>
            <w:tcMar>
              <w:top w:w="60" w:type="dxa"/>
              <w:left w:w="100" w:type="dxa"/>
              <w:bottom w:w="60" w:type="dxa"/>
              <w:right w:w="100" w:type="dxa"/>
            </w:tcMar>
          </w:tcPr>
          <w:p>
            <w:pPr>
              <w:spacing w:after="0"/>
            </w:pPr>
            <w:r>
              <w:rPr>
                <w:rFonts w:ascii="Arial" w:hAnsi="Arial" w:cs="Arial"/>
                <w:sz w:val="18"/>
                <w:szCs w:val="18"/>
              </w:rPr>
              <w:t xml:space="preserve">Structured plan with defined targets and timeline.</w:t>
            </w:r>
          </w:p>
        </w:tc>
        <w:tc>
          <w:tcPr>
            <w:tcW w:w="1200" w:type="dxa"/>
            <w:shd w:val="clear" w:color="auto" w:fill="FFFFFF"/>
            <w:tcMar>
              <w:top w:w="60" w:type="dxa"/>
              <w:left w:w="100" w:type="dxa"/>
              <w:bottom w:w="60" w:type="dxa"/>
              <w:right w:w="100" w:type="dxa"/>
            </w:tcMar>
          </w:tcPr>
          <w:p>
            <w:pPr>
              <w:jc w:val="center"/>
              <w:spacing w:after="0"/>
            </w:pPr>
            <w:r>
              <w:rPr>
                <w:rFonts w:ascii="Arial" w:hAnsi="Arial" w:cs="Arial"/>
                <w:sz w:val="18"/>
                <w:szCs w:val="18"/>
              </w:rPr>
              <w:t xml:space="preserve">20</w:t>
            </w:r>
          </w:p>
        </w:tc>
      </w:tr>
      <w:tr>
        <w:trPr>
          <w:cantSplit/>
        </w:trPr>
        <w:tc>
          <w:tcPr>
            <w:tcW w:w="3000" w:type="dxa"/>
            <w:shd w:val="clear" w:color="auto" w:fill="EDF2F9"/>
            <w:tcMar>
              <w:top w:w="60" w:type="dxa"/>
              <w:left w:w="100" w:type="dxa"/>
              <w:bottom w:w="60" w:type="dxa"/>
              <w:right w:w="100" w:type="dxa"/>
            </w:tcMar>
          </w:tcPr>
          <w:p>
            <w:pPr>
              <w:spacing w:after="0"/>
            </w:pPr>
            <w:r>
              <w:rPr>
                <w:rFonts w:ascii="Arial" w:hAnsi="Arial" w:cs="Arial"/>
                <w:b/>
                <w:sz w:val="18"/>
                <w:szCs w:val="18"/>
              </w:rPr>
              <w:t xml:space="preserve">Final Written Warning</w:t>
            </w:r>
          </w:p>
        </w:tc>
        <w:tc>
          <w:tcPr>
            <w:tcW w:w="5160" w:type="dxa"/>
            <w:shd w:val="clear" w:color="auto" w:fill="EDF2F9"/>
            <w:tcMar>
              <w:top w:w="60" w:type="dxa"/>
              <w:left w:w="100" w:type="dxa"/>
              <w:bottom w:w="60" w:type="dxa"/>
              <w:right w:w="100" w:type="dxa"/>
            </w:tcMar>
          </w:tcPr>
          <w:p>
            <w:pPr>
              <w:spacing w:after="0"/>
            </w:pPr>
            <w:r>
              <w:rPr>
                <w:rFonts w:ascii="Arial" w:hAnsi="Arial" w:cs="Arial"/>
                <w:sz w:val="18"/>
                <w:szCs w:val="18"/>
              </w:rPr>
              <w:t xml:space="preserve">Last formal warning before escalation to HR.</w:t>
            </w:r>
          </w:p>
        </w:tc>
        <w:tc>
          <w:tcPr>
            <w:tcW w:w="1200" w:type="dxa"/>
            <w:shd w:val="clear" w:color="auto" w:fill="EDF2F9"/>
            <w:tcMar>
              <w:top w:w="60" w:type="dxa"/>
              <w:left w:w="100" w:type="dxa"/>
              <w:bottom w:w="60" w:type="dxa"/>
              <w:right w:w="100" w:type="dxa"/>
            </w:tcMar>
          </w:tcPr>
          <w:p>
            <w:pPr>
              <w:jc w:val="center"/>
              <w:spacing w:after="0"/>
            </w:pPr>
            <w:r>
              <w:rPr>
                <w:rFonts w:ascii="Arial" w:hAnsi="Arial" w:cs="Arial"/>
                <w:sz w:val="18"/>
                <w:szCs w:val="18"/>
              </w:rPr>
              <w:t xml:space="preserve">30</w:t>
            </w:r>
          </w:p>
        </w:tc>
      </w:tr>
      <w:tr>
        <w:trPr>
          <w:cantSplit/>
        </w:trPr>
        <w:tc>
          <w:tcPr>
            <w:tcW w:w="3000" w:type="dxa"/>
            <w:shd w:val="clear" w:color="auto" w:fill="FFFFFF"/>
            <w:tcMar>
              <w:top w:w="60" w:type="dxa"/>
              <w:left w:w="100" w:type="dxa"/>
              <w:bottom w:w="60" w:type="dxa"/>
              <w:right w:w="100" w:type="dxa"/>
            </w:tcMar>
          </w:tcPr>
          <w:p>
            <w:pPr>
              <w:spacing w:after="0"/>
            </w:pPr>
            <w:r>
              <w:rPr>
                <w:rFonts w:ascii="Arial" w:hAnsi="Arial" w:cs="Arial"/>
                <w:b/>
                <w:sz w:val="18"/>
                <w:szCs w:val="18"/>
              </w:rPr>
              <w:t xml:space="preserve">Decertification</w:t>
            </w:r>
          </w:p>
        </w:tc>
        <w:tc>
          <w:tcPr>
            <w:tcW w:w="5160" w:type="dxa"/>
            <w:shd w:val="clear" w:color="auto" w:fill="FFFFFF"/>
            <w:tcMar>
              <w:top w:w="60" w:type="dxa"/>
              <w:left w:w="100" w:type="dxa"/>
              <w:bottom w:w="60" w:type="dxa"/>
              <w:right w:w="100" w:type="dxa"/>
            </w:tcMar>
          </w:tcPr>
          <w:p>
            <w:pPr>
              <w:spacing w:after="0"/>
            </w:pPr>
            <w:r>
              <w:rPr>
                <w:rFonts w:ascii="Arial" w:hAnsi="Arial" w:cs="Arial"/>
                <w:sz w:val="18"/>
                <w:szCs w:val="18"/>
              </w:rPr>
              <w:t xml:space="preserve">Removal of process certification; retraining and reassessment within 30 days.</w:t>
            </w:r>
          </w:p>
        </w:tc>
        <w:tc>
          <w:tcPr>
            <w:tcW w:w="1200" w:type="dxa"/>
            <w:shd w:val="clear" w:color="auto" w:fill="FFFFFF"/>
            <w:tcMar>
              <w:top w:w="60" w:type="dxa"/>
              <w:left w:w="100" w:type="dxa"/>
              <w:bottom w:w="60" w:type="dxa"/>
              <w:right w:w="100" w:type="dxa"/>
            </w:tcMar>
          </w:tcPr>
          <w:p>
            <w:pPr>
              <w:jc w:val="center"/>
              <w:spacing w:after="0"/>
            </w:pPr>
            <w:r>
              <w:rPr>
                <w:rFonts w:ascii="Arial" w:hAnsi="Arial" w:cs="Arial"/>
                <w:sz w:val="18"/>
                <w:szCs w:val="18"/>
              </w:rPr>
              <w:t xml:space="preserve">30</w:t>
            </w:r>
          </w:p>
        </w:tc>
      </w:tr>
      <w:tr>
        <w:trPr>
          <w:cantSplit/>
        </w:trPr>
        <w:tc>
          <w:tcPr>
            <w:tcW w:w="3000" w:type="dxa"/>
            <w:shd w:val="clear" w:color="auto" w:fill="EDF2F9"/>
            <w:tcMar>
              <w:top w:w="60" w:type="dxa"/>
              <w:left w:w="100" w:type="dxa"/>
              <w:bottom w:w="60" w:type="dxa"/>
              <w:right w:w="100" w:type="dxa"/>
            </w:tcMar>
          </w:tcPr>
          <w:p>
            <w:pPr>
              <w:spacing w:after="0"/>
            </w:pPr>
            <w:r>
              <w:rPr>
                <w:rFonts w:ascii="Arial" w:hAnsi="Arial" w:cs="Arial"/>
                <w:b/>
                <w:sz w:val="18"/>
                <w:szCs w:val="18"/>
              </w:rPr>
              <w:t xml:space="preserve">Suspension (HR Determination)</w:t>
            </w:r>
          </w:p>
        </w:tc>
        <w:tc>
          <w:tcPr>
            <w:tcW w:w="5160" w:type="dxa"/>
            <w:shd w:val="clear" w:color="auto" w:fill="EDF2F9"/>
            <w:tcMar>
              <w:top w:w="60" w:type="dxa"/>
              <w:left w:w="100" w:type="dxa"/>
              <w:bottom w:w="60" w:type="dxa"/>
              <w:right w:w="100" w:type="dxa"/>
            </w:tcMar>
          </w:tcPr>
          <w:p>
            <w:pPr>
              <w:spacing w:after="0"/>
            </w:pPr>
            <w:r>
              <w:rPr>
                <w:rFonts w:ascii="Arial" w:hAnsi="Arial" w:cs="Arial"/>
                <w:sz w:val="18"/>
                <w:szCs w:val="18"/>
              </w:rPr>
              <w:t xml:space="preserve">HR-determined sanction following due process.</w:t>
            </w:r>
          </w:p>
        </w:tc>
        <w:tc>
          <w:tcPr>
            <w:tcW w:w="1200" w:type="dxa"/>
            <w:shd w:val="clear" w:color="auto" w:fill="EDF2F9"/>
            <w:tcMar>
              <w:top w:w="60" w:type="dxa"/>
              <w:left w:w="100" w:type="dxa"/>
              <w:bottom w:w="60" w:type="dxa"/>
              <w:right w:w="100" w:type="dxa"/>
            </w:tcMar>
          </w:tcPr>
          <w:p>
            <w:pPr>
              <w:jc w:val="center"/>
              <w:spacing w:after="0"/>
            </w:pPr>
            <w:r>
              <w:rPr>
                <w:rFonts w:ascii="Arial" w:hAnsi="Arial" w:cs="Arial"/>
                <w:sz w:val="18"/>
                <w:szCs w:val="18"/>
              </w:rPr>
              <w:t xml:space="preserve">50</w:t>
            </w:r>
          </w:p>
        </w:tc>
      </w:tr>
    </w:tbl>
    <w:p>
      <w:pPr>
        <w:spacing w:after="60"/>
      </w:pPr>
    </w:p>
    <w:p>
      <w:pPr>
        <w:spacing w:after="40"/>
        <w:ind w:left="360" w:hanging="260"/>
        <w:jc w:val="both"/>
      </w:pPr>
      <w:r>
        <w:rPr>
          <w:rFonts w:ascii="Arial" w:hAnsi="Arial" w:cs="Arial"/>
        </w:rPr>
        <w:t xml:space="preserve">•  </w:t>
      </w:r>
      <w:r>
        <w:rPr>
          <w:rFonts w:ascii="Arial" w:hAnsi="Arial" w:cs="Arial"/>
        </w:rPr>
        <w:t xml:space="preserve">Due process: Notice to Explain, Employee Response and Decision, with HR review for Written Warning and above. No demerit takes effect before a decision.</w:t>
      </w:r>
    </w:p>
    <w:p>
      <w:pPr>
        <w:spacing w:after="40"/>
        <w:ind w:left="360" w:hanging="260"/>
        <w:jc w:val="both"/>
      </w:pPr>
      <w:r>
        <w:rPr>
          <w:rFonts w:ascii="Arial" w:hAnsi="Arial" w:cs="Arial"/>
        </w:rPr>
        <w:t xml:space="preserve">•  </w:t>
      </w:r>
      <w:r>
        <w:rPr>
          <w:rFonts w:ascii="Arial" w:hAnsi="Arial" w:cs="Arial"/>
        </w:rPr>
        <w:t xml:space="preserve">Effect on rewards: a Critical incident, decertification, or demerits at or above the threshold in the period make the employee ineligible for rewards in that period. Reward points are not deducted; eligibility is suspended.</w:t>
      </w:r>
    </w:p>
    <w:p>
      <w:pPr>
        <w:spacing w:after="40"/>
        <w:ind w:left="360" w:hanging="260"/>
        <w:jc w:val="both"/>
      </w:pPr>
      <w:r>
        <w:rPr>
          <w:rFonts w:ascii="Arial" w:hAnsi="Arial" w:cs="Arial"/>
        </w:rPr>
        <w:t xml:space="preserve">•  </w:t>
      </w:r>
      <w:r>
        <w:rPr>
          <w:rFonts w:ascii="Arial" w:hAnsi="Arial" w:cs="Arial"/>
        </w:rPr>
        <w:t xml:space="preserve">Owner: this component has no owner in the current action register. An owner (with HR) should be assigned.</w:t>
      </w:r>
    </w:p>
    <w:p>
      <w:pPr>
        <w:keepNext/>
        <w:spacing w:before="240" w:after="80"/>
      </w:pPr>
      <w:r>
        <w:rPr>
          <w:rFonts w:ascii="Arial" w:hAnsi="Arial" w:cs="Arial"/>
          <w:b/>
          <w:color w:val="1B3A6B"/>
        </w:rPr>
        <w:t>7. Supporting Workstreams</w:t>
      </w:r>
    </w:p>
    <w:tbl>
      <w:tblPr>
        <w:tblW w:w="9360" w:type="dxa"/>
        <w:tblBorders>
          <w:top w:val="single" w:sz="4" w:space="0" w:color="BBCCE0"/>
          <w:left w:val="single" w:sz="4" w:space="0" w:color="BBCCE0"/>
          <w:bottom w:val="single" w:sz="4" w:space="0" w:color="BBCCE0"/>
          <w:right w:val="single" w:sz="4" w:space="0" w:color="BBCCE0"/>
          <w:insideH w:val="single" w:sz="4" w:space="0" w:color="BBCCE0"/>
          <w:insideV w:val="single" w:sz="4" w:space="0" w:color="BBCCE0"/>
        </w:tblBorders>
        <w:tblLayout w:type="fixed"/>
        <w:tblLook w:val="0000"/>
      </w:tblPr>
      <w:tblGrid>
        <w:gridCol w:w="2300"/>
        <w:gridCol w:w="1500"/>
        <w:gridCol w:w="900"/>
        <w:gridCol w:w="4660"/>
      </w:tblGrid>
      <w:tr>
        <w:trPr>
          <w:tblHeader/>
          <w:cantSplit/>
        </w:trPr>
        <w:tc>
          <w:tcPr>
            <w:tcW w:w="2300" w:type="dxa"/>
            <w:shd w:val="clear" w:color="auto" w:fill="1B3A6B"/>
            <w:tcMar>
              <w:top w:w="60" w:type="dxa"/>
              <w:left w:w="100" w:type="dxa"/>
              <w:bottom w:w="60" w:type="dxa"/>
              <w:right w:w="100" w:type="dxa"/>
            </w:tcMar>
          </w:tcPr>
          <w:p>
            <w:pPr>
              <w:spacing w:after="0"/>
            </w:pPr>
            <w:r>
              <w:rPr>
                <w:rFonts w:ascii="Arial" w:hAnsi="Arial" w:cs="Arial"/>
                <w:b/>
                <w:sz w:val="17"/>
                <w:szCs w:val="17"/>
                <w:color w:val="FFFFFF"/>
              </w:rPr>
              <w:t xml:space="preserve">Workstream</w:t>
            </w:r>
          </w:p>
        </w:tc>
        <w:tc>
          <w:tcPr>
            <w:tcW w:w="1500" w:type="dxa"/>
            <w:shd w:val="clear" w:color="auto" w:fill="1B3A6B"/>
            <w:tcMar>
              <w:top w:w="60" w:type="dxa"/>
              <w:left w:w="100" w:type="dxa"/>
              <w:bottom w:w="60" w:type="dxa"/>
              <w:right w:w="100" w:type="dxa"/>
            </w:tcMar>
          </w:tcPr>
          <w:p>
            <w:pPr>
              <w:spacing w:after="0"/>
            </w:pPr>
            <w:r>
              <w:rPr>
                <w:rFonts w:ascii="Arial" w:hAnsi="Arial" w:cs="Arial"/>
                <w:b/>
                <w:sz w:val="17"/>
                <w:szCs w:val="17"/>
                <w:color w:val="FFFFFF"/>
              </w:rPr>
              <w:t xml:space="preserve">Owner</w:t>
            </w:r>
          </w:p>
        </w:tc>
        <w:tc>
          <w:tcPr>
            <w:tcW w:w="900" w:type="dxa"/>
            <w:shd w:val="clear" w:color="auto" w:fill="1B3A6B"/>
            <w:tcMar>
              <w:top w:w="60" w:type="dxa"/>
              <w:left w:w="100" w:type="dxa"/>
              <w:bottom w:w="60" w:type="dxa"/>
              <w:right w:w="100" w:type="dxa"/>
            </w:tcMar>
          </w:tcPr>
          <w:p>
            <w:pPr>
              <w:spacing w:after="0"/>
            </w:pPr>
            <w:r>
              <w:rPr>
                <w:rFonts w:ascii="Arial" w:hAnsi="Arial" w:cs="Arial"/>
                <w:b/>
                <w:sz w:val="17"/>
                <w:szCs w:val="17"/>
                <w:color w:val="FFFFFF"/>
              </w:rPr>
              <w:t xml:space="preserve">Due</w:t>
            </w:r>
          </w:p>
        </w:tc>
        <w:tc>
          <w:tcPr>
            <w:tcW w:w="4660" w:type="dxa"/>
            <w:shd w:val="clear" w:color="auto" w:fill="1B3A6B"/>
            <w:tcMar>
              <w:top w:w="60" w:type="dxa"/>
              <w:left w:w="100" w:type="dxa"/>
              <w:bottom w:w="60" w:type="dxa"/>
              <w:right w:w="100" w:type="dxa"/>
            </w:tcMar>
          </w:tcPr>
          <w:p>
            <w:pPr>
              <w:spacing w:after="0"/>
            </w:pPr>
            <w:r>
              <w:rPr>
                <w:rFonts w:ascii="Arial" w:hAnsi="Arial" w:cs="Arial"/>
                <w:b/>
                <w:sz w:val="17"/>
                <w:szCs w:val="17"/>
                <w:color w:val="FFFFFF"/>
              </w:rPr>
              <w:t xml:space="preserve">Interface with this concept</w:t>
            </w:r>
          </w:p>
        </w:tc>
      </w:tr>
      <w:tr>
        <w:trPr>
          <w:cantSplit/>
        </w:trPr>
        <w:tc>
          <w:tcPr>
            <w:tcW w:w="2300" w:type="dxa"/>
            <w:shd w:val="clear" w:color="auto" w:fill="EDF2F9"/>
            <w:tcMar>
              <w:top w:w="60" w:type="dxa"/>
              <w:left w:w="100" w:type="dxa"/>
              <w:bottom w:w="60" w:type="dxa"/>
              <w:right w:w="100" w:type="dxa"/>
            </w:tcMar>
          </w:tcPr>
          <w:p>
            <w:pPr>
              <w:spacing w:after="0"/>
            </w:pPr>
            <w:r>
              <w:rPr>
                <w:rFonts w:ascii="Arial" w:hAnsi="Arial" w:cs="Arial"/>
                <w:b/>
                <w:sz w:val="18"/>
                <w:szCs w:val="18"/>
              </w:rPr>
              <w:t xml:space="preserve">SPECS</w:t>
            </w:r>
          </w:p>
        </w:tc>
        <w:tc>
          <w:tcPr>
            <w:tcW w:w="1500" w:type="dxa"/>
            <w:shd w:val="clear" w:color="auto" w:fill="EDF2F9"/>
            <w:tcMar>
              <w:top w:w="60" w:type="dxa"/>
              <w:left w:w="100" w:type="dxa"/>
              <w:bottom w:w="60" w:type="dxa"/>
              <w:right w:w="100" w:type="dxa"/>
            </w:tcMar>
          </w:tcPr>
          <w:p>
            <w:pPr>
              <w:spacing w:after="0"/>
            </w:pPr>
            <w:r>
              <w:rPr>
                <w:rFonts w:ascii="Arial" w:hAnsi="Arial" w:cs="Arial"/>
                <w:sz w:val="18"/>
                <w:szCs w:val="18"/>
              </w:rPr>
              <w:t xml:space="preserve">MOB</w:t>
            </w:r>
          </w:p>
        </w:tc>
        <w:tc>
          <w:tcPr>
            <w:tcW w:w="900" w:type="dxa"/>
            <w:shd w:val="clear" w:color="auto" w:fill="EDF2F9"/>
            <w:tcMar>
              <w:top w:w="60" w:type="dxa"/>
              <w:left w:w="100" w:type="dxa"/>
              <w:bottom w:w="60" w:type="dxa"/>
              <w:right w:w="100" w:type="dxa"/>
            </w:tcMar>
          </w:tcPr>
          <w:p>
            <w:pPr>
              <w:spacing w:after="0"/>
            </w:pPr>
            <w:r>
              <w:rPr>
                <w:rFonts w:ascii="Arial" w:hAnsi="Arial" w:cs="Arial"/>
                <w:sz w:val="18"/>
                <w:szCs w:val="18"/>
              </w:rPr>
              <w:t xml:space="preserve">WW41.4</w:t>
            </w:r>
          </w:p>
        </w:tc>
        <w:tc>
          <w:tcPr>
            <w:tcW w:w="4660" w:type="dxa"/>
            <w:shd w:val="clear" w:color="auto" w:fill="EDF2F9"/>
            <w:tcMar>
              <w:top w:w="60" w:type="dxa"/>
              <w:left w:w="100" w:type="dxa"/>
              <w:bottom w:w="60" w:type="dxa"/>
              <w:right w:w="100" w:type="dxa"/>
            </w:tcMar>
          </w:tcPr>
          <w:p>
            <w:pPr>
              <w:spacing w:after="0"/>
            </w:pPr>
            <w:r>
              <w:rPr>
                <w:rFonts w:ascii="Arial" w:hAnsi="Arial" w:cs="Arial"/>
                <w:sz w:val="18"/>
                <w:szCs w:val="18"/>
              </w:rPr>
              <w:t xml:space="preserve">Formalize this concept and the common rules into the program specification.</w:t>
            </w:r>
          </w:p>
        </w:tc>
      </w:tr>
      <w:tr>
        <w:trPr>
          <w:cantSplit/>
        </w:trPr>
        <w:tc>
          <w:tcPr>
            <w:tcW w:w="2300" w:type="dxa"/>
            <w:shd w:val="clear" w:color="auto" w:fill="FFFFFF"/>
            <w:tcMar>
              <w:top w:w="60" w:type="dxa"/>
              <w:left w:w="100" w:type="dxa"/>
              <w:bottom w:w="60" w:type="dxa"/>
              <w:right w:w="100" w:type="dxa"/>
            </w:tcMar>
          </w:tcPr>
          <w:p>
            <w:pPr>
              <w:spacing w:after="0"/>
            </w:pPr>
            <w:r>
              <w:rPr>
                <w:rFonts w:ascii="Arial" w:hAnsi="Arial" w:cs="Arial"/>
                <w:b/>
                <w:sz w:val="18"/>
                <w:szCs w:val="18"/>
              </w:rPr>
              <w:t xml:space="preserve">Reward Criteria</w:t>
            </w:r>
          </w:p>
        </w:tc>
        <w:tc>
          <w:tcPr>
            <w:tcW w:w="1500" w:type="dxa"/>
            <w:shd w:val="clear" w:color="auto" w:fill="FFFFFF"/>
            <w:tcMar>
              <w:top w:w="60" w:type="dxa"/>
              <w:left w:w="100" w:type="dxa"/>
              <w:bottom w:w="60" w:type="dxa"/>
              <w:right w:w="100" w:type="dxa"/>
            </w:tcMar>
          </w:tcPr>
          <w:p>
            <w:pPr>
              <w:spacing w:after="0"/>
            </w:pPr>
            <w:r>
              <w:rPr>
                <w:rFonts w:ascii="Arial" w:hAnsi="Arial" w:cs="Arial"/>
                <w:sz w:val="18"/>
                <w:szCs w:val="18"/>
              </w:rPr>
              <w:t xml:space="preserve">RZM</w:t>
            </w:r>
          </w:p>
        </w:tc>
        <w:tc>
          <w:tcPr>
            <w:tcW w:w="900" w:type="dxa"/>
            <w:shd w:val="clear" w:color="auto" w:fill="FFFFFF"/>
            <w:tcMar>
              <w:top w:w="60" w:type="dxa"/>
              <w:left w:w="100" w:type="dxa"/>
              <w:bottom w:w="60" w:type="dxa"/>
              <w:right w:w="100" w:type="dxa"/>
            </w:tcMar>
          </w:tcPr>
          <w:p>
            <w:pPr>
              <w:spacing w:after="0"/>
            </w:pPr>
            <w:r>
              <w:rPr>
                <w:rFonts w:ascii="Arial" w:hAnsi="Arial" w:cs="Arial"/>
                <w:sz w:val="18"/>
                <w:szCs w:val="18"/>
              </w:rPr>
              <w:t xml:space="preserve">WW41.4</w:t>
            </w:r>
          </w:p>
        </w:tc>
        <w:tc>
          <w:tcPr>
            <w:tcW w:w="4660" w:type="dxa"/>
            <w:shd w:val="clear" w:color="auto" w:fill="FFFFFF"/>
            <w:tcMar>
              <w:top w:w="60" w:type="dxa"/>
              <w:left w:w="100" w:type="dxa"/>
              <w:bottom w:w="60" w:type="dxa"/>
              <w:right w:w="100" w:type="dxa"/>
            </w:tcMar>
          </w:tcPr>
          <w:p>
            <w:pPr>
              <w:spacing w:after="0"/>
            </w:pPr>
            <w:r>
              <w:rPr>
                <w:rFonts w:ascii="Arial" w:hAnsi="Arial" w:cs="Arial"/>
                <w:sz w:val="18"/>
                <w:szCs w:val="18"/>
              </w:rPr>
              <w:t xml:space="preserve">Confirm tiers and points (4.1) and consolidate pillar criteria into one reward table.</w:t>
            </w:r>
          </w:p>
        </w:tc>
      </w:tr>
      <w:tr>
        <w:trPr>
          <w:cantSplit/>
        </w:trPr>
        <w:tc>
          <w:tcPr>
            <w:tcW w:w="2300" w:type="dxa"/>
            <w:shd w:val="clear" w:color="auto" w:fill="EDF2F9"/>
            <w:tcMar>
              <w:top w:w="60" w:type="dxa"/>
              <w:left w:w="100" w:type="dxa"/>
              <w:bottom w:w="60" w:type="dxa"/>
              <w:right w:w="100" w:type="dxa"/>
            </w:tcMar>
          </w:tcPr>
          <w:p>
            <w:pPr>
              <w:spacing w:after="0"/>
            </w:pPr>
            <w:r>
              <w:rPr>
                <w:rFonts w:ascii="Arial" w:hAnsi="Arial" w:cs="Arial"/>
                <w:b/>
                <w:sz w:val="18"/>
                <w:szCs w:val="18"/>
              </w:rPr>
              <w:t xml:space="preserve">Recording</w:t>
            </w:r>
          </w:p>
        </w:tc>
        <w:tc>
          <w:tcPr>
            <w:tcW w:w="1500" w:type="dxa"/>
            <w:shd w:val="clear" w:color="auto" w:fill="EDF2F9"/>
            <w:tcMar>
              <w:top w:w="60" w:type="dxa"/>
              <w:left w:w="100" w:type="dxa"/>
              <w:bottom w:w="60" w:type="dxa"/>
              <w:right w:w="100" w:type="dxa"/>
            </w:tcMar>
          </w:tcPr>
          <w:p>
            <w:pPr>
              <w:spacing w:after="0"/>
            </w:pPr>
            <w:r>
              <w:rPr>
                <w:rFonts w:ascii="Arial" w:hAnsi="Arial" w:cs="Arial"/>
                <w:sz w:val="18"/>
                <w:szCs w:val="18"/>
              </w:rPr>
              <w:t xml:space="preserve">KLC</w:t>
            </w:r>
          </w:p>
        </w:tc>
        <w:tc>
          <w:tcPr>
            <w:tcW w:w="900" w:type="dxa"/>
            <w:shd w:val="clear" w:color="auto" w:fill="EDF2F9"/>
            <w:tcMar>
              <w:top w:w="60" w:type="dxa"/>
              <w:left w:w="100" w:type="dxa"/>
              <w:bottom w:w="60" w:type="dxa"/>
              <w:right w:w="100" w:type="dxa"/>
            </w:tcMar>
          </w:tcPr>
          <w:p>
            <w:pPr>
              <w:spacing w:after="0"/>
            </w:pPr>
            <w:r>
              <w:rPr>
                <w:rFonts w:ascii="Arial" w:hAnsi="Arial" w:cs="Arial"/>
                <w:sz w:val="18"/>
                <w:szCs w:val="18"/>
              </w:rPr>
              <w:t xml:space="preserve">WW41.4</w:t>
            </w:r>
          </w:p>
        </w:tc>
        <w:tc>
          <w:tcPr>
            <w:tcW w:w="4660" w:type="dxa"/>
            <w:shd w:val="clear" w:color="auto" w:fill="EDF2F9"/>
            <w:tcMar>
              <w:top w:w="60" w:type="dxa"/>
              <w:left w:w="100" w:type="dxa"/>
              <w:bottom w:w="60" w:type="dxa"/>
              <w:right w:w="100" w:type="dxa"/>
            </w:tcMar>
          </w:tcPr>
          <w:p>
            <w:pPr>
              <w:spacing w:after="0"/>
            </w:pPr>
            <w:r>
              <w:rPr>
                <w:rFonts w:ascii="Arial" w:hAnsi="Arial" w:cs="Arial"/>
                <w:sz w:val="18"/>
                <w:szCs w:val="18"/>
              </w:rPr>
              <w:t xml:space="preserve">Single system of record for nominations, validations, points and accountability. The Performance Qualification Matrix workbook is offered as a starting prototype.</w:t>
            </w:r>
          </w:p>
        </w:tc>
      </w:tr>
      <w:tr>
        <w:trPr>
          <w:cantSplit/>
        </w:trPr>
        <w:tc>
          <w:tcPr>
            <w:tcW w:w="2300" w:type="dxa"/>
            <w:shd w:val="clear" w:color="auto" w:fill="FFFFFF"/>
            <w:tcMar>
              <w:top w:w="60" w:type="dxa"/>
              <w:left w:w="100" w:type="dxa"/>
              <w:bottom w:w="60" w:type="dxa"/>
              <w:right w:w="100" w:type="dxa"/>
            </w:tcMar>
          </w:tcPr>
          <w:p>
            <w:pPr>
              <w:spacing w:after="0"/>
            </w:pPr>
            <w:r>
              <w:rPr>
                <w:rFonts w:ascii="Arial" w:hAnsi="Arial" w:cs="Arial"/>
                <w:b/>
                <w:sz w:val="18"/>
                <w:szCs w:val="18"/>
              </w:rPr>
              <w:t xml:space="preserve">Redemption</w:t>
            </w:r>
          </w:p>
        </w:tc>
        <w:tc>
          <w:tcPr>
            <w:tcW w:w="1500" w:type="dxa"/>
            <w:shd w:val="clear" w:color="auto" w:fill="FFFFFF"/>
            <w:tcMar>
              <w:top w:w="60" w:type="dxa"/>
              <w:left w:w="100" w:type="dxa"/>
              <w:bottom w:w="60" w:type="dxa"/>
              <w:right w:w="100" w:type="dxa"/>
            </w:tcMar>
          </w:tcPr>
          <w:p>
            <w:pPr>
              <w:spacing w:after="0"/>
            </w:pPr>
            <w:r>
              <w:rPr>
                <w:rFonts w:ascii="Arial" w:hAnsi="Arial" w:cs="Arial"/>
                <w:sz w:val="18"/>
                <w:szCs w:val="18"/>
              </w:rPr>
              <w:t xml:space="preserve">RZM</w:t>
            </w:r>
          </w:p>
        </w:tc>
        <w:tc>
          <w:tcPr>
            <w:tcW w:w="900" w:type="dxa"/>
            <w:shd w:val="clear" w:color="auto" w:fill="FFFFFF"/>
            <w:tcMar>
              <w:top w:w="60" w:type="dxa"/>
              <w:left w:w="100" w:type="dxa"/>
              <w:bottom w:w="60" w:type="dxa"/>
              <w:right w:w="100" w:type="dxa"/>
            </w:tcMar>
          </w:tcPr>
          <w:p>
            <w:pPr>
              <w:spacing w:after="0"/>
            </w:pPr>
            <w:r>
              <w:rPr>
                <w:rFonts w:ascii="Arial" w:hAnsi="Arial" w:cs="Arial"/>
                <w:sz w:val="18"/>
                <w:szCs w:val="18"/>
              </w:rPr>
              <w:t xml:space="preserve">WW41.4</w:t>
            </w:r>
          </w:p>
        </w:tc>
        <w:tc>
          <w:tcPr>
            <w:tcW w:w="4660" w:type="dxa"/>
            <w:shd w:val="clear" w:color="auto" w:fill="FFFFFF"/>
            <w:tcMar>
              <w:top w:w="60" w:type="dxa"/>
              <w:left w:w="100" w:type="dxa"/>
              <w:bottom w:w="60" w:type="dxa"/>
              <w:right w:w="100" w:type="dxa"/>
            </w:tcMar>
          </w:tcPr>
          <w:p>
            <w:pPr>
              <w:spacing w:after="0"/>
            </w:pPr>
            <w:r>
              <w:rPr>
                <w:rFonts w:ascii="Arial" w:hAnsi="Arial" w:cs="Arial"/>
                <w:sz w:val="18"/>
                <w:szCs w:val="18"/>
              </w:rPr>
              <w:t xml:space="preserve">Point value and options: Encashment, Coop, Canteen; caps and expiry.</w:t>
            </w:r>
          </w:p>
        </w:tc>
      </w:tr>
      <w:tr>
        <w:trPr>
          <w:cantSplit/>
        </w:trPr>
        <w:tc>
          <w:tcPr>
            <w:tcW w:w="2300" w:type="dxa"/>
            <w:shd w:val="clear" w:color="auto" w:fill="EDF2F9"/>
            <w:tcMar>
              <w:top w:w="60" w:type="dxa"/>
              <w:left w:w="100" w:type="dxa"/>
              <w:bottom w:w="60" w:type="dxa"/>
              <w:right w:w="100" w:type="dxa"/>
            </w:tcMar>
          </w:tcPr>
          <w:p>
            <w:pPr>
              <w:spacing w:after="0"/>
            </w:pPr>
            <w:r>
              <w:rPr>
                <w:rFonts w:ascii="Arial" w:hAnsi="Arial" w:cs="Arial"/>
                <w:b/>
                <w:sz w:val="18"/>
                <w:szCs w:val="18"/>
              </w:rPr>
              <w:t xml:space="preserve">Cost</w:t>
            </w:r>
          </w:p>
        </w:tc>
        <w:tc>
          <w:tcPr>
            <w:tcW w:w="1500" w:type="dxa"/>
            <w:shd w:val="clear" w:color="auto" w:fill="EDF2F9"/>
            <w:tcMar>
              <w:top w:w="60" w:type="dxa"/>
              <w:left w:w="100" w:type="dxa"/>
              <w:bottom w:w="60" w:type="dxa"/>
              <w:right w:w="100" w:type="dxa"/>
            </w:tcMar>
          </w:tcPr>
          <w:p>
            <w:pPr>
              <w:spacing w:after="0"/>
            </w:pPr>
            <w:r>
              <w:rPr>
                <w:rFonts w:ascii="Arial" w:hAnsi="Arial" w:cs="Arial"/>
                <w:sz w:val="18"/>
                <w:szCs w:val="18"/>
              </w:rPr>
              <w:t xml:space="preserve">NTC</w:t>
            </w:r>
          </w:p>
        </w:tc>
        <w:tc>
          <w:tcPr>
            <w:tcW w:w="900" w:type="dxa"/>
            <w:shd w:val="clear" w:color="auto" w:fill="EDF2F9"/>
            <w:tcMar>
              <w:top w:w="60" w:type="dxa"/>
              <w:left w:w="100" w:type="dxa"/>
              <w:bottom w:w="60" w:type="dxa"/>
              <w:right w:w="100" w:type="dxa"/>
            </w:tcMar>
          </w:tcPr>
          <w:p>
            <w:pPr>
              <w:spacing w:after="0"/>
            </w:pPr>
            <w:r>
              <w:rPr>
                <w:rFonts w:ascii="Arial" w:hAnsi="Arial" w:cs="Arial"/>
                <w:sz w:val="18"/>
                <w:szCs w:val="18"/>
              </w:rPr>
              <w:t xml:space="preserve">WW40.2</w:t>
            </w:r>
          </w:p>
        </w:tc>
        <w:tc>
          <w:tcPr>
            <w:tcW w:w="4660" w:type="dxa"/>
            <w:shd w:val="clear" w:color="auto" w:fill="EDF2F9"/>
            <w:tcMar>
              <w:top w:w="60" w:type="dxa"/>
              <w:left w:w="100" w:type="dxa"/>
              <w:bottom w:w="60" w:type="dxa"/>
              <w:right w:w="100" w:type="dxa"/>
            </w:tcMar>
          </w:tcPr>
          <w:p>
            <w:pPr>
              <w:spacing w:after="0"/>
            </w:pPr>
            <w:r>
              <w:rPr>
                <w:rFonts w:ascii="Arial" w:hAnsi="Arial" w:cs="Arial"/>
                <w:sz w:val="18"/>
                <w:szCs w:val="18"/>
              </w:rPr>
              <w:t xml:space="preserve">Program budget; funds redemption value and campaign activities.</w:t>
            </w:r>
          </w:p>
        </w:tc>
      </w:tr>
      <w:tr>
        <w:trPr>
          <w:cantSplit/>
        </w:trPr>
        <w:tc>
          <w:tcPr>
            <w:tcW w:w="2300" w:type="dxa"/>
            <w:shd w:val="clear" w:color="auto" w:fill="FFFFFF"/>
            <w:tcMar>
              <w:top w:w="60" w:type="dxa"/>
              <w:left w:w="100" w:type="dxa"/>
              <w:bottom w:w="60" w:type="dxa"/>
              <w:right w:w="100" w:type="dxa"/>
            </w:tcMar>
          </w:tcPr>
          <w:p>
            <w:pPr>
              <w:spacing w:after="0"/>
            </w:pPr>
            <w:r>
              <w:rPr>
                <w:rFonts w:ascii="Arial" w:hAnsi="Arial" w:cs="Arial"/>
                <w:b/>
                <w:sz w:val="18"/>
                <w:szCs w:val="18"/>
              </w:rPr>
              <w:t xml:space="preserve">Campaign / Promotional</w:t>
            </w:r>
          </w:p>
        </w:tc>
        <w:tc>
          <w:tcPr>
            <w:tcW w:w="1500" w:type="dxa"/>
            <w:shd w:val="clear" w:color="auto" w:fill="FFFFFF"/>
            <w:tcMar>
              <w:top w:w="60" w:type="dxa"/>
              <w:left w:w="100" w:type="dxa"/>
              <w:bottom w:w="60" w:type="dxa"/>
              <w:right w:w="100" w:type="dxa"/>
            </w:tcMar>
          </w:tcPr>
          <w:p>
            <w:pPr>
              <w:spacing w:after="0"/>
            </w:pPr>
            <w:r>
              <w:rPr>
                <w:rFonts w:ascii="Arial" w:hAnsi="Arial" w:cs="Arial"/>
                <w:sz w:val="18"/>
                <w:szCs w:val="18"/>
              </w:rPr>
              <w:t xml:space="preserve">DGT with Vibes</w:t>
            </w:r>
          </w:p>
        </w:tc>
        <w:tc>
          <w:tcPr>
            <w:tcW w:w="900" w:type="dxa"/>
            <w:shd w:val="clear" w:color="auto" w:fill="FFFFFF"/>
            <w:tcMar>
              <w:top w:w="60" w:type="dxa"/>
              <w:left w:w="100" w:type="dxa"/>
              <w:bottom w:w="60" w:type="dxa"/>
              <w:right w:w="100" w:type="dxa"/>
            </w:tcMar>
          </w:tcPr>
          <w:p>
            <w:pPr>
              <w:spacing w:after="0"/>
            </w:pPr>
            <w:r>
              <w:rPr>
                <w:rFonts w:ascii="Arial" w:hAnsi="Arial" w:cs="Arial"/>
                <w:sz w:val="18"/>
                <w:szCs w:val="18"/>
              </w:rPr>
              <w:t xml:space="preserve">WW41.4</w:t>
            </w:r>
          </w:p>
        </w:tc>
        <w:tc>
          <w:tcPr>
            <w:tcW w:w="4660" w:type="dxa"/>
            <w:shd w:val="clear" w:color="auto" w:fill="FFFFFF"/>
            <w:tcMar>
              <w:top w:w="60" w:type="dxa"/>
              <w:left w:w="100" w:type="dxa"/>
              <w:bottom w:w="60" w:type="dxa"/>
              <w:right w:w="100" w:type="dxa"/>
            </w:tcMar>
          </w:tcPr>
          <w:p>
            <w:pPr>
              <w:spacing w:after="0"/>
            </w:pPr>
            <w:r>
              <w:rPr>
                <w:rFonts w:ascii="Arial" w:hAnsi="Arial" w:cs="Arial"/>
                <w:sz w:val="18"/>
                <w:szCs w:val="18"/>
              </w:rPr>
              <w:t xml:space="preserve">Launch, recognition boards, spotlight features and engagement activities to drive awareness and participation.</w:t>
            </w:r>
          </w:p>
        </w:tc>
      </w:tr>
    </w:tbl>
    <w:p>
      <w:pPr>
        <w:spacing w:after="60"/>
      </w:pPr>
    </w:p>
    <w:p>
      <w:pPr>
        <w:keepNext/>
        <w:spacing w:before="240" w:after="80"/>
      </w:pPr>
      <w:r>
        <w:rPr>
          <w:rFonts w:ascii="Arial" w:hAnsi="Arial" w:cs="Arial"/>
          <w:b/>
          <w:color w:val="1B3A6B"/>
        </w:rPr>
        <w:t>8. Governance and Roles</w:t>
      </w:r>
    </w:p>
    <w:tbl>
      <w:tblPr>
        <w:tblW w:w="9360" w:type="dxa"/>
        <w:tblBorders>
          <w:top w:val="single" w:sz="4" w:space="0" w:color="BBCCE0"/>
          <w:left w:val="single" w:sz="4" w:space="0" w:color="BBCCE0"/>
          <w:bottom w:val="single" w:sz="4" w:space="0" w:color="BBCCE0"/>
          <w:right w:val="single" w:sz="4" w:space="0" w:color="BBCCE0"/>
          <w:insideH w:val="single" w:sz="4" w:space="0" w:color="BBCCE0"/>
          <w:insideV w:val="single" w:sz="4" w:space="0" w:color="BBCCE0"/>
        </w:tblBorders>
        <w:tblLayout w:type="fixed"/>
        <w:tblLook w:val="0000"/>
      </w:tblPr>
      <w:tblGrid>
        <w:gridCol w:w="2400"/>
        <w:gridCol w:w="6960"/>
      </w:tblGrid>
      <w:tr>
        <w:trPr>
          <w:tblHeader/>
          <w:cantSplit/>
        </w:trPr>
        <w:tc>
          <w:tcPr>
            <w:tcW w:w="2400" w:type="dxa"/>
            <w:shd w:val="clear" w:color="auto" w:fill="1B3A6B"/>
            <w:tcMar>
              <w:top w:w="60" w:type="dxa"/>
              <w:left w:w="100" w:type="dxa"/>
              <w:bottom w:w="60" w:type="dxa"/>
              <w:right w:w="100" w:type="dxa"/>
            </w:tcMar>
          </w:tcPr>
          <w:p>
            <w:pPr>
              <w:spacing w:after="0"/>
            </w:pPr>
            <w:r>
              <w:rPr>
                <w:rFonts w:ascii="Arial" w:hAnsi="Arial" w:cs="Arial"/>
                <w:b/>
                <w:sz w:val="17"/>
                <w:szCs w:val="17"/>
                <w:color w:val="FFFFFF"/>
              </w:rPr>
              <w:t xml:space="preserve">Role</w:t>
            </w:r>
          </w:p>
        </w:tc>
        <w:tc>
          <w:tcPr>
            <w:tcW w:w="6960" w:type="dxa"/>
            <w:shd w:val="clear" w:color="auto" w:fill="1B3A6B"/>
            <w:tcMar>
              <w:top w:w="60" w:type="dxa"/>
              <w:left w:w="100" w:type="dxa"/>
              <w:bottom w:w="60" w:type="dxa"/>
              <w:right w:w="100" w:type="dxa"/>
            </w:tcMar>
          </w:tcPr>
          <w:p>
            <w:pPr>
              <w:spacing w:after="0"/>
            </w:pPr>
            <w:r>
              <w:rPr>
                <w:rFonts w:ascii="Arial" w:hAnsi="Arial" w:cs="Arial"/>
                <w:b/>
                <w:sz w:val="17"/>
                <w:szCs w:val="17"/>
                <w:color w:val="FFFFFF"/>
              </w:rPr>
              <w:t xml:space="preserve">Responsibility</w:t>
            </w:r>
          </w:p>
        </w:tc>
      </w:tr>
      <w:tr>
        <w:trPr>
          <w:cantSplit/>
        </w:trPr>
        <w:tc>
          <w:tcPr>
            <w:tcW w:w="2400" w:type="dxa"/>
            <w:shd w:val="clear" w:color="auto" w:fill="EDF2F9"/>
            <w:tcMar>
              <w:top w:w="60" w:type="dxa"/>
              <w:left w:w="100" w:type="dxa"/>
              <w:bottom w:w="60" w:type="dxa"/>
              <w:right w:w="100" w:type="dxa"/>
            </w:tcMar>
          </w:tcPr>
          <w:p>
            <w:pPr>
              <w:spacing w:after="0"/>
            </w:pPr>
            <w:r>
              <w:rPr>
                <w:rFonts w:ascii="Arial" w:hAnsi="Arial" w:cs="Arial"/>
                <w:b/>
                <w:sz w:val="18"/>
                <w:szCs w:val="18"/>
              </w:rPr>
              <w:t xml:space="preserve">PTC</w:t>
            </w:r>
          </w:p>
        </w:tc>
        <w:tc>
          <w:tcPr>
            <w:tcW w:w="6960" w:type="dxa"/>
            <w:shd w:val="clear" w:color="auto" w:fill="EDF2F9"/>
            <w:tcMar>
              <w:top w:w="60" w:type="dxa"/>
              <w:left w:w="100" w:type="dxa"/>
              <w:bottom w:w="60" w:type="dxa"/>
              <w:right w:w="100" w:type="dxa"/>
            </w:tcMar>
          </w:tcPr>
          <w:p>
            <w:pPr>
              <w:spacing w:after="0"/>
            </w:pPr>
            <w:r>
              <w:rPr>
                <w:rFonts w:ascii="Arial" w:hAnsi="Arial" w:cs="Arial"/>
                <w:sz w:val="18"/>
                <w:szCs w:val="18"/>
              </w:rPr>
              <w:t xml:space="preserve">Program sponsor; endorses the concept, specification and budget.</w:t>
            </w:r>
          </w:p>
        </w:tc>
      </w:tr>
      <w:tr>
        <w:trPr>
          <w:cantSplit/>
        </w:trPr>
        <w:tc>
          <w:tcPr>
            <w:tcW w:w="2400" w:type="dxa"/>
            <w:shd w:val="clear" w:color="auto" w:fill="FFFFFF"/>
            <w:tcMar>
              <w:top w:w="60" w:type="dxa"/>
              <w:left w:w="100" w:type="dxa"/>
              <w:bottom w:w="60" w:type="dxa"/>
              <w:right w:w="100" w:type="dxa"/>
            </w:tcMar>
          </w:tcPr>
          <w:p>
            <w:pPr>
              <w:spacing w:after="0"/>
            </w:pPr>
            <w:r>
              <w:rPr>
                <w:rFonts w:ascii="Arial" w:hAnsi="Arial" w:cs="Arial"/>
                <w:b/>
                <w:sz w:val="18"/>
                <w:szCs w:val="18"/>
              </w:rPr>
              <w:t xml:space="preserve">Pillar Owners</w:t>
            </w:r>
          </w:p>
        </w:tc>
        <w:tc>
          <w:tcPr>
            <w:tcW w:w="6960" w:type="dxa"/>
            <w:shd w:val="clear" w:color="auto" w:fill="FFFFFF"/>
            <w:tcMar>
              <w:top w:w="60" w:type="dxa"/>
              <w:left w:w="100" w:type="dxa"/>
              <w:bottom w:w="60" w:type="dxa"/>
              <w:right w:w="100" w:type="dxa"/>
            </w:tcMar>
          </w:tcPr>
          <w:p>
            <w:pPr>
              <w:spacing w:after="0"/>
            </w:pPr>
            <w:r>
              <w:rPr>
                <w:rFonts w:ascii="Arial" w:hAnsi="Arial" w:cs="Arial"/>
                <w:sz w:val="18"/>
                <w:szCs w:val="18"/>
              </w:rPr>
              <w:t xml:space="preserve">Maintain criteria and measures; validate achievements in their pillar.</w:t>
            </w:r>
          </w:p>
        </w:tc>
      </w:tr>
      <w:tr>
        <w:trPr>
          <w:cantSplit/>
        </w:trPr>
        <w:tc>
          <w:tcPr>
            <w:tcW w:w="2400" w:type="dxa"/>
            <w:shd w:val="clear" w:color="auto" w:fill="EDF2F9"/>
            <w:tcMar>
              <w:top w:w="60" w:type="dxa"/>
              <w:left w:w="100" w:type="dxa"/>
              <w:bottom w:w="60" w:type="dxa"/>
              <w:right w:w="100" w:type="dxa"/>
            </w:tcMar>
          </w:tcPr>
          <w:p>
            <w:pPr>
              <w:spacing w:after="0"/>
            </w:pPr>
            <w:r>
              <w:rPr>
                <w:rFonts w:ascii="Arial" w:hAnsi="Arial" w:cs="Arial"/>
                <w:b/>
                <w:sz w:val="18"/>
                <w:szCs w:val="18"/>
              </w:rPr>
              <w:t xml:space="preserve">Division Leads</w:t>
            </w:r>
          </w:p>
        </w:tc>
        <w:tc>
          <w:tcPr>
            <w:tcW w:w="6960" w:type="dxa"/>
            <w:shd w:val="clear" w:color="auto" w:fill="EDF2F9"/>
            <w:tcMar>
              <w:top w:w="60" w:type="dxa"/>
              <w:left w:w="100" w:type="dxa"/>
              <w:bottom w:w="60" w:type="dxa"/>
              <w:right w:w="100" w:type="dxa"/>
            </w:tcMar>
          </w:tcPr>
          <w:p>
            <w:pPr>
              <w:spacing w:after="0"/>
            </w:pPr>
            <w:r>
              <w:rPr>
                <w:rFonts w:ascii="Arial" w:hAnsi="Arial" w:cs="Arial"/>
                <w:sz w:val="18"/>
                <w:szCs w:val="18"/>
              </w:rPr>
              <w:t xml:space="preserve">Approve recognitions, including Cross-Department; approve Written Warning and above; quarterly calibration.</w:t>
            </w:r>
          </w:p>
        </w:tc>
      </w:tr>
      <w:tr>
        <w:trPr>
          <w:cantSplit/>
        </w:trPr>
        <w:tc>
          <w:tcPr>
            <w:tcW w:w="2400" w:type="dxa"/>
            <w:shd w:val="clear" w:color="auto" w:fill="FFFFFF"/>
            <w:tcMar>
              <w:top w:w="60" w:type="dxa"/>
              <w:left w:w="100" w:type="dxa"/>
              <w:bottom w:w="60" w:type="dxa"/>
              <w:right w:w="100" w:type="dxa"/>
            </w:tcMar>
          </w:tcPr>
          <w:p>
            <w:pPr>
              <w:spacing w:after="0"/>
            </w:pPr>
            <w:r>
              <w:rPr>
                <w:rFonts w:ascii="Arial" w:hAnsi="Arial" w:cs="Arial"/>
                <w:b/>
                <w:sz w:val="18"/>
                <w:szCs w:val="18"/>
              </w:rPr>
              <w:t xml:space="preserve">Team Leads / Process Trainers</w:t>
            </w:r>
          </w:p>
        </w:tc>
        <w:tc>
          <w:tcPr>
            <w:tcW w:w="6960" w:type="dxa"/>
            <w:shd w:val="clear" w:color="auto" w:fill="FFFFFF"/>
            <w:tcMar>
              <w:top w:w="60" w:type="dxa"/>
              <w:left w:w="100" w:type="dxa"/>
              <w:bottom w:w="60" w:type="dxa"/>
              <w:right w:w="100" w:type="dxa"/>
            </w:tcMar>
          </w:tcPr>
          <w:p>
            <w:pPr>
              <w:spacing w:after="0"/>
            </w:pPr>
            <w:r>
              <w:rPr>
                <w:rFonts w:ascii="Arial" w:hAnsi="Arial" w:cs="Arial"/>
                <w:sz w:val="18"/>
                <w:szCs w:val="18"/>
              </w:rPr>
              <w:t xml:space="preserve">Nominate; log performance and quality events; issue coaching.</w:t>
            </w:r>
          </w:p>
        </w:tc>
      </w:tr>
      <w:tr>
        <w:trPr>
          <w:cantSplit/>
        </w:trPr>
        <w:tc>
          <w:tcPr>
            <w:tcW w:w="2400" w:type="dxa"/>
            <w:shd w:val="clear" w:color="auto" w:fill="EDF2F9"/>
            <w:tcMar>
              <w:top w:w="60" w:type="dxa"/>
              <w:left w:w="100" w:type="dxa"/>
              <w:bottom w:w="60" w:type="dxa"/>
              <w:right w:w="100" w:type="dxa"/>
            </w:tcMar>
          </w:tcPr>
          <w:p>
            <w:pPr>
              <w:spacing w:after="0"/>
            </w:pPr>
            <w:r>
              <w:rPr>
                <w:rFonts w:ascii="Arial" w:hAnsi="Arial" w:cs="Arial"/>
                <w:b/>
                <w:sz w:val="18"/>
                <w:szCs w:val="18"/>
              </w:rPr>
              <w:t xml:space="preserve">HR</w:t>
            </w:r>
          </w:p>
        </w:tc>
        <w:tc>
          <w:tcPr>
            <w:tcW w:w="6960" w:type="dxa"/>
            <w:shd w:val="clear" w:color="auto" w:fill="EDF2F9"/>
            <w:tcMar>
              <w:top w:w="60" w:type="dxa"/>
              <w:left w:w="100" w:type="dxa"/>
              <w:bottom w:w="60" w:type="dxa"/>
              <w:right w:w="100" w:type="dxa"/>
            </w:tcMar>
          </w:tcPr>
          <w:p>
            <w:pPr>
              <w:spacing w:after="0"/>
            </w:pPr>
            <w:r>
              <w:rPr>
                <w:rFonts w:ascii="Arial" w:hAnsi="Arial" w:cs="Arial"/>
                <w:sz w:val="18"/>
                <w:szCs w:val="18"/>
              </w:rPr>
              <w:t xml:space="preserve">Due process, policy and labor-law alignment; official records; suspensions.</w:t>
            </w:r>
          </w:p>
        </w:tc>
      </w:tr>
      <w:tr>
        <w:trPr>
          <w:cantSplit/>
        </w:trPr>
        <w:tc>
          <w:tcPr>
            <w:tcW w:w="2400" w:type="dxa"/>
            <w:shd w:val="clear" w:color="auto" w:fill="FFFFFF"/>
            <w:tcMar>
              <w:top w:w="60" w:type="dxa"/>
              <w:left w:w="100" w:type="dxa"/>
              <w:bottom w:w="60" w:type="dxa"/>
              <w:right w:w="100" w:type="dxa"/>
            </w:tcMar>
          </w:tcPr>
          <w:p>
            <w:pPr>
              <w:spacing w:after="0"/>
            </w:pPr>
            <w:r>
              <w:rPr>
                <w:rFonts w:ascii="Arial" w:hAnsi="Arial" w:cs="Arial"/>
                <w:b/>
                <w:sz w:val="18"/>
                <w:szCs w:val="18"/>
              </w:rPr>
              <w:t xml:space="preserve">Program Owner</w:t>
            </w:r>
          </w:p>
        </w:tc>
        <w:tc>
          <w:tcPr>
            <w:tcW w:w="6960" w:type="dxa"/>
            <w:shd w:val="clear" w:color="auto" w:fill="FFFFFF"/>
            <w:tcMar>
              <w:top w:w="60" w:type="dxa"/>
              <w:left w:w="100" w:type="dxa"/>
              <w:bottom w:w="60" w:type="dxa"/>
              <w:right w:w="100" w:type="dxa"/>
            </w:tcMar>
          </w:tcPr>
          <w:p>
            <w:pPr>
              <w:spacing w:after="0"/>
            </w:pPr>
            <w:r>
              <w:rPr>
                <w:rFonts w:ascii="Arial" w:hAnsi="Arial" w:cs="Arial"/>
                <w:sz w:val="18"/>
                <w:szCs w:val="18"/>
              </w:rPr>
              <w:t xml:space="preserve">Maintains common rules, publishes results, runs quarterly and annual program reviews.</w:t>
            </w:r>
          </w:p>
        </w:tc>
      </w:tr>
    </w:tbl>
    <w:p>
      <w:pPr>
        <w:spacing w:after="60"/>
      </w:pPr>
    </w:p>
    <w:p>
      <w:pPr>
        <w:spacing w:before="0" w:after="80"/>
        <w:jc w:val="both"/>
      </w:pPr>
      <w:r>
        <w:rPr>
          <w:rFonts w:ascii="Arial" w:hAnsi="Arial" w:cs="Arial"/>
        </w:rPr>
        <w:t xml:space="preserve">Appeals: an employee may appeal a denied nomination, corrective action or decertification to the Division Lead within 5 working days of the decision.</w:t>
      </w:r>
    </w:p>
    <w:p>
      <w:pPr>
        <w:keepNext/>
        <w:spacing w:before="240" w:after="80"/>
      </w:pPr>
      <w:r>
        <w:rPr>
          <w:rFonts w:ascii="Arial" w:hAnsi="Arial" w:cs="Arial"/>
          <w:b/>
          <w:color w:val="1B3A6B"/>
        </w:rPr>
        <w:t>9. Open Issues for Resolution</w:t>
      </w:r>
    </w:p>
    <w:tbl>
      <w:tblPr>
        <w:tblW w:w="9360" w:type="dxa"/>
        <w:tblBorders>
          <w:top w:val="single" w:sz="4" w:space="0" w:color="BBCCE0"/>
          <w:left w:val="single" w:sz="4" w:space="0" w:color="BBCCE0"/>
          <w:bottom w:val="single" w:sz="4" w:space="0" w:color="BBCCE0"/>
          <w:right w:val="single" w:sz="4" w:space="0" w:color="BBCCE0"/>
          <w:insideH w:val="single" w:sz="4" w:space="0" w:color="BBCCE0"/>
          <w:insideV w:val="single" w:sz="4" w:space="0" w:color="BBCCE0"/>
        </w:tblBorders>
        <w:tblLayout w:type="fixed"/>
        <w:tblLook w:val="0000"/>
      </w:tblPr>
      <w:tblGrid>
        <w:gridCol w:w="3100"/>
        <w:gridCol w:w="4660"/>
        <w:gridCol w:w="1600"/>
      </w:tblGrid>
      <w:tr>
        <w:trPr>
          <w:tblHeader/>
          <w:cantSplit/>
        </w:trPr>
        <w:tc>
          <w:tcPr>
            <w:tcW w:w="3100" w:type="dxa"/>
            <w:shd w:val="clear" w:color="auto" w:fill="1B3A6B"/>
            <w:tcMar>
              <w:top w:w="60" w:type="dxa"/>
              <w:left w:w="100" w:type="dxa"/>
              <w:bottom w:w="60" w:type="dxa"/>
              <w:right w:w="100" w:type="dxa"/>
            </w:tcMar>
          </w:tcPr>
          <w:p>
            <w:pPr>
              <w:spacing w:after="0"/>
            </w:pPr>
            <w:r>
              <w:rPr>
                <w:rFonts w:ascii="Arial" w:hAnsi="Arial" w:cs="Arial"/>
                <w:b/>
                <w:sz w:val="17"/>
                <w:szCs w:val="17"/>
                <w:color w:val="FFFFFF"/>
              </w:rPr>
              <w:t xml:space="preserve">Issue</w:t>
            </w:r>
          </w:p>
        </w:tc>
        <w:tc>
          <w:tcPr>
            <w:tcW w:w="4660" w:type="dxa"/>
            <w:shd w:val="clear" w:color="auto" w:fill="1B3A6B"/>
            <w:tcMar>
              <w:top w:w="60" w:type="dxa"/>
              <w:left w:w="100" w:type="dxa"/>
              <w:bottom w:w="60" w:type="dxa"/>
              <w:right w:w="100" w:type="dxa"/>
            </w:tcMar>
          </w:tcPr>
          <w:p>
            <w:pPr>
              <w:spacing w:after="0"/>
            </w:pPr>
            <w:r>
              <w:rPr>
                <w:rFonts w:ascii="Arial" w:hAnsi="Arial" w:cs="Arial"/>
                <w:b/>
                <w:sz w:val="17"/>
                <w:szCs w:val="17"/>
                <w:color w:val="FFFFFF"/>
              </w:rPr>
              <w:t xml:space="preserve">Proposed direction</w:t>
            </w:r>
          </w:p>
        </w:tc>
        <w:tc>
          <w:tcPr>
            <w:tcW w:w="1600" w:type="dxa"/>
            <w:shd w:val="clear" w:color="auto" w:fill="1B3A6B"/>
            <w:tcMar>
              <w:top w:w="60" w:type="dxa"/>
              <w:left w:w="100" w:type="dxa"/>
              <w:bottom w:w="60" w:type="dxa"/>
              <w:right w:w="100" w:type="dxa"/>
            </w:tcMar>
          </w:tcPr>
          <w:p>
            <w:pPr>
              <w:spacing w:after="0"/>
            </w:pPr>
            <w:r>
              <w:rPr>
                <w:rFonts w:ascii="Arial" w:hAnsi="Arial" w:cs="Arial"/>
                <w:b/>
                <w:sz w:val="17"/>
                <w:szCs w:val="17"/>
                <w:color w:val="FFFFFF"/>
              </w:rPr>
              <w:t xml:space="preserve">Owner</w:t>
            </w:r>
          </w:p>
        </w:tc>
      </w:tr>
      <w:tr>
        <w:trPr>
          <w:cantSplit/>
        </w:trPr>
        <w:tc>
          <w:tcPr>
            <w:tcW w:w="3100" w:type="dxa"/>
            <w:shd w:val="clear" w:color="auto" w:fill="EDF2F9"/>
            <w:tcMar>
              <w:top w:w="60" w:type="dxa"/>
              <w:left w:w="100" w:type="dxa"/>
              <w:bottom w:w="60" w:type="dxa"/>
              <w:right w:w="100" w:type="dxa"/>
            </w:tcMar>
          </w:tcPr>
          <w:p>
            <w:pPr>
              <w:spacing w:after="0"/>
            </w:pPr>
            <w:r>
              <w:rPr>
                <w:rFonts w:ascii="Arial" w:hAnsi="Arial" w:cs="Arial"/>
                <w:b/>
                <w:sz w:val="18"/>
                <w:szCs w:val="18"/>
              </w:rPr>
              <w:t xml:space="preserve">Attendance criterion 'no leaves used'</w:t>
            </w:r>
          </w:p>
        </w:tc>
        <w:tc>
          <w:tcPr>
            <w:tcW w:w="4660" w:type="dxa"/>
            <w:shd w:val="clear" w:color="auto" w:fill="EDF2F9"/>
            <w:tcMar>
              <w:top w:w="60" w:type="dxa"/>
              <w:left w:w="100" w:type="dxa"/>
              <w:bottom w:w="60" w:type="dxa"/>
              <w:right w:w="100" w:type="dxa"/>
            </w:tcMar>
          </w:tcPr>
          <w:p>
            <w:pPr>
              <w:spacing w:after="0"/>
            </w:pPr>
            <w:r>
              <w:rPr>
                <w:rFonts w:ascii="Arial" w:hAnsi="Arial" w:cs="Arial"/>
                <w:sz w:val="18"/>
                <w:szCs w:val="18"/>
              </w:rPr>
              <w:t xml:space="preserve">Reword to no unplanned absence or tardiness; approved leave (including Service Incentive Leave) should not disqualify. HR review required.</w:t>
            </w:r>
          </w:p>
        </w:tc>
        <w:tc>
          <w:tcPr>
            <w:tcW w:w="1600" w:type="dxa"/>
            <w:shd w:val="clear" w:color="auto" w:fill="EDF2F9"/>
            <w:tcMar>
              <w:top w:w="60" w:type="dxa"/>
              <w:left w:w="100" w:type="dxa"/>
              <w:bottom w:w="60" w:type="dxa"/>
              <w:right w:w="100" w:type="dxa"/>
            </w:tcMar>
          </w:tcPr>
          <w:p>
            <w:pPr>
              <w:spacing w:after="0"/>
            </w:pPr>
            <w:r>
              <w:rPr>
                <w:rFonts w:ascii="Arial" w:hAnsi="Arial" w:cs="Arial"/>
                <w:sz w:val="18"/>
                <w:szCs w:val="18"/>
              </w:rPr>
              <w:t xml:space="preserve">AWP / HR</w:t>
            </w:r>
          </w:p>
        </w:tc>
      </w:tr>
      <w:tr>
        <w:trPr>
          <w:cantSplit/>
        </w:trPr>
        <w:tc>
          <w:tcPr>
            <w:tcW w:w="3100" w:type="dxa"/>
            <w:shd w:val="clear" w:color="auto" w:fill="FFFFFF"/>
            <w:tcMar>
              <w:top w:w="60" w:type="dxa"/>
              <w:left w:w="100" w:type="dxa"/>
              <w:bottom w:w="60" w:type="dxa"/>
              <w:right w:w="100" w:type="dxa"/>
            </w:tcMar>
          </w:tcPr>
          <w:p>
            <w:pPr>
              <w:spacing w:after="0"/>
            </w:pPr>
            <w:r>
              <w:rPr>
                <w:rFonts w:ascii="Arial" w:hAnsi="Arial" w:cs="Arial"/>
                <w:b/>
                <w:sz w:val="18"/>
                <w:szCs w:val="18"/>
              </w:rPr>
              <w:t xml:space="preserve">Delivery ownership</w:t>
            </w:r>
          </w:p>
        </w:tc>
        <w:tc>
          <w:tcPr>
            <w:tcW w:w="4660" w:type="dxa"/>
            <w:shd w:val="clear" w:color="auto" w:fill="FFFFFF"/>
            <w:tcMar>
              <w:top w:w="60" w:type="dxa"/>
              <w:left w:w="100" w:type="dxa"/>
              <w:bottom w:w="60" w:type="dxa"/>
              <w:right w:w="100" w:type="dxa"/>
            </w:tcMar>
          </w:tcPr>
          <w:p>
            <w:pPr>
              <w:spacing w:after="0"/>
            </w:pPr>
            <w:r>
              <w:rPr>
                <w:rFonts w:ascii="Arial" w:hAnsi="Arial" w:cs="Arial"/>
                <w:sz w:val="18"/>
                <w:szCs w:val="18"/>
              </w:rPr>
              <w:t xml:space="preserve">Confirm LWM endorses the AWP-drafted Delivery criteria.</w:t>
            </w:r>
          </w:p>
        </w:tc>
        <w:tc>
          <w:tcPr>
            <w:tcW w:w="1600" w:type="dxa"/>
            <w:shd w:val="clear" w:color="auto" w:fill="FFFFFF"/>
            <w:tcMar>
              <w:top w:w="60" w:type="dxa"/>
              <w:left w:w="100" w:type="dxa"/>
              <w:bottom w:w="60" w:type="dxa"/>
              <w:right w:w="100" w:type="dxa"/>
            </w:tcMar>
          </w:tcPr>
          <w:p>
            <w:pPr>
              <w:spacing w:after="0"/>
            </w:pPr>
            <w:r>
              <w:rPr>
                <w:rFonts w:ascii="Arial" w:hAnsi="Arial" w:cs="Arial"/>
                <w:sz w:val="18"/>
                <w:szCs w:val="18"/>
              </w:rPr>
              <w:t xml:space="preserve">LWM</w:t>
            </w:r>
          </w:p>
        </w:tc>
      </w:tr>
      <w:tr>
        <w:trPr>
          <w:cantSplit/>
        </w:trPr>
        <w:tc>
          <w:tcPr>
            <w:tcW w:w="3100" w:type="dxa"/>
            <w:shd w:val="clear" w:color="auto" w:fill="EDF2F9"/>
            <w:tcMar>
              <w:top w:w="60" w:type="dxa"/>
              <w:left w:w="100" w:type="dxa"/>
              <w:bottom w:w="60" w:type="dxa"/>
              <w:right w:w="100" w:type="dxa"/>
            </w:tcMar>
          </w:tcPr>
          <w:p>
            <w:pPr>
              <w:spacing w:after="0"/>
            </w:pPr>
            <w:r>
              <w:rPr>
                <w:rFonts w:ascii="Arial" w:hAnsi="Arial" w:cs="Arial"/>
                <w:b/>
                <w:sz w:val="18"/>
                <w:szCs w:val="18"/>
              </w:rPr>
              <w:t xml:space="preserve">Delivery items without measures</w:t>
            </w:r>
          </w:p>
        </w:tc>
        <w:tc>
          <w:tcPr>
            <w:tcW w:w="4660" w:type="dxa"/>
            <w:shd w:val="clear" w:color="auto" w:fill="EDF2F9"/>
            <w:tcMar>
              <w:top w:w="60" w:type="dxa"/>
              <w:left w:w="100" w:type="dxa"/>
              <w:bottom w:w="60" w:type="dxa"/>
              <w:right w:w="100" w:type="dxa"/>
            </w:tcMar>
          </w:tcPr>
          <w:p>
            <w:pPr>
              <w:spacing w:after="0"/>
            </w:pPr>
            <w:r>
              <w:rPr>
                <w:rFonts w:ascii="Arial" w:hAnsi="Arial" w:cs="Arial"/>
                <w:sz w:val="18"/>
                <w:szCs w:val="18"/>
              </w:rPr>
              <w:t xml:space="preserve">Define measure and target for resubmittal cycle time, utility PTO vs expected, reduction-case cycle time.</w:t>
            </w:r>
          </w:p>
        </w:tc>
        <w:tc>
          <w:tcPr>
            <w:tcW w:w="1600" w:type="dxa"/>
            <w:shd w:val="clear" w:color="auto" w:fill="EDF2F9"/>
            <w:tcMar>
              <w:top w:w="60" w:type="dxa"/>
              <w:left w:w="100" w:type="dxa"/>
              <w:bottom w:w="60" w:type="dxa"/>
              <w:right w:w="100" w:type="dxa"/>
            </w:tcMar>
          </w:tcPr>
          <w:p>
            <w:pPr>
              <w:spacing w:after="0"/>
            </w:pPr>
            <w:r>
              <w:rPr>
                <w:rFonts w:ascii="Arial" w:hAnsi="Arial" w:cs="Arial"/>
                <w:sz w:val="18"/>
                <w:szCs w:val="18"/>
              </w:rPr>
              <w:t xml:space="preserve">LWM</w:t>
            </w:r>
          </w:p>
        </w:tc>
      </w:tr>
      <w:tr>
        <w:trPr>
          <w:cantSplit/>
        </w:trPr>
        <w:tc>
          <w:tcPr>
            <w:tcW w:w="3100" w:type="dxa"/>
            <w:shd w:val="clear" w:color="auto" w:fill="FFFFFF"/>
            <w:tcMar>
              <w:top w:w="60" w:type="dxa"/>
              <w:left w:w="100" w:type="dxa"/>
              <w:bottom w:w="60" w:type="dxa"/>
              <w:right w:w="100" w:type="dxa"/>
            </w:tcMar>
          </w:tcPr>
          <w:p>
            <w:pPr>
              <w:spacing w:after="0"/>
            </w:pPr>
            <w:r>
              <w:rPr>
                <w:rFonts w:ascii="Arial" w:hAnsi="Arial" w:cs="Arial"/>
                <w:b/>
                <w:sz w:val="18"/>
                <w:szCs w:val="18"/>
              </w:rPr>
              <w:t xml:space="preserve">Baselines not yet set</w:t>
            </w:r>
          </w:p>
        </w:tc>
        <w:tc>
          <w:tcPr>
            <w:tcW w:w="4660" w:type="dxa"/>
            <w:shd w:val="clear" w:color="auto" w:fill="FFFFFF"/>
            <w:tcMar>
              <w:top w:w="60" w:type="dxa"/>
              <w:left w:w="100" w:type="dxa"/>
              <w:bottom w:w="60" w:type="dxa"/>
              <w:right w:w="100" w:type="dxa"/>
            </w:tcMar>
          </w:tcPr>
          <w:p>
            <w:pPr>
              <w:spacing w:after="0"/>
            </w:pPr>
            <w:r>
              <w:rPr>
                <w:rFonts w:ascii="Arial" w:hAnsi="Arial" w:cs="Arial"/>
                <w:sz w:val="18"/>
                <w:szCs w:val="18"/>
              </w:rPr>
              <w:t xml:space="preserve">Use first full quarter as baseline period.</w:t>
            </w:r>
          </w:p>
        </w:tc>
        <w:tc>
          <w:tcPr>
            <w:tcW w:w="1600" w:type="dxa"/>
            <w:shd w:val="clear" w:color="auto" w:fill="FFFFFF"/>
            <w:tcMar>
              <w:top w:w="60" w:type="dxa"/>
              <w:left w:w="100" w:type="dxa"/>
              <w:bottom w:w="60" w:type="dxa"/>
              <w:right w:w="100" w:type="dxa"/>
            </w:tcMar>
          </w:tcPr>
          <w:p>
            <w:pPr>
              <w:spacing w:after="0"/>
            </w:pPr>
            <w:r>
              <w:rPr>
                <w:rFonts w:ascii="Arial" w:hAnsi="Arial" w:cs="Arial"/>
                <w:sz w:val="18"/>
                <w:szCs w:val="18"/>
              </w:rPr>
              <w:t xml:space="preserve">AWP / LWM</w:t>
            </w:r>
          </w:p>
        </w:tc>
      </w:tr>
      <w:tr>
        <w:trPr>
          <w:cantSplit/>
        </w:trPr>
        <w:tc>
          <w:tcPr>
            <w:tcW w:w="3100" w:type="dxa"/>
            <w:shd w:val="clear" w:color="auto" w:fill="EDF2F9"/>
            <w:tcMar>
              <w:top w:w="60" w:type="dxa"/>
              <w:left w:w="100" w:type="dxa"/>
              <w:bottom w:w="60" w:type="dxa"/>
              <w:right w:w="100" w:type="dxa"/>
            </w:tcMar>
          </w:tcPr>
          <w:p>
            <w:pPr>
              <w:spacing w:after="0"/>
            </w:pPr>
            <w:r>
              <w:rPr>
                <w:rFonts w:ascii="Arial" w:hAnsi="Arial" w:cs="Arial"/>
                <w:b/>
                <w:sz w:val="18"/>
                <w:szCs w:val="18"/>
              </w:rPr>
              <w:t xml:space="preserve">Overlapping measures</w:t>
            </w:r>
          </w:p>
        </w:tc>
        <w:tc>
          <w:tcPr>
            <w:tcW w:w="4660" w:type="dxa"/>
            <w:shd w:val="clear" w:color="auto" w:fill="EDF2F9"/>
            <w:tcMar>
              <w:top w:w="60" w:type="dxa"/>
              <w:left w:w="100" w:type="dxa"/>
              <w:bottom w:w="60" w:type="dxa"/>
              <w:right w:w="100" w:type="dxa"/>
            </w:tcMar>
          </w:tcPr>
          <w:p>
            <w:pPr>
              <w:spacing w:after="0"/>
            </w:pPr>
            <w:r>
              <w:rPr>
                <w:rFonts w:ascii="Arial" w:hAnsi="Arial" w:cs="Arial"/>
                <w:sz w:val="18"/>
                <w:szCs w:val="18"/>
              </w:rPr>
              <w:t xml:space="preserve">Assign FPY, training &amp; certification, and FCR to a single pillar.</w:t>
            </w:r>
          </w:p>
        </w:tc>
        <w:tc>
          <w:tcPr>
            <w:tcW w:w="1600" w:type="dxa"/>
            <w:shd w:val="clear" w:color="auto" w:fill="EDF2F9"/>
            <w:tcMar>
              <w:top w:w="60" w:type="dxa"/>
              <w:left w:w="100" w:type="dxa"/>
              <w:bottom w:w="60" w:type="dxa"/>
              <w:right w:w="100" w:type="dxa"/>
            </w:tcMar>
          </w:tcPr>
          <w:p>
            <w:pPr>
              <w:spacing w:after="0"/>
            </w:pPr>
            <w:r>
              <w:rPr>
                <w:rFonts w:ascii="Arial" w:hAnsi="Arial" w:cs="Arial"/>
                <w:sz w:val="18"/>
                <w:szCs w:val="18"/>
              </w:rPr>
              <w:t xml:space="preserve">ODT / AWP / JPC</w:t>
            </w:r>
          </w:p>
        </w:tc>
      </w:tr>
      <w:tr>
        <w:trPr>
          <w:cantSplit/>
        </w:trPr>
        <w:tc>
          <w:tcPr>
            <w:tcW w:w="3100" w:type="dxa"/>
            <w:shd w:val="clear" w:color="auto" w:fill="FFFFFF"/>
            <w:tcMar>
              <w:top w:w="60" w:type="dxa"/>
              <w:left w:w="100" w:type="dxa"/>
              <w:bottom w:w="60" w:type="dxa"/>
              <w:right w:w="100" w:type="dxa"/>
            </w:tcMar>
          </w:tcPr>
          <w:p>
            <w:pPr>
              <w:spacing w:after="0"/>
            </w:pPr>
            <w:r>
              <w:rPr>
                <w:rFonts w:ascii="Arial" w:hAnsi="Arial" w:cs="Arial"/>
                <w:b/>
                <w:sz w:val="18"/>
                <w:szCs w:val="18"/>
              </w:rPr>
              <w:t xml:space="preserve">Point value, caps, expiry</w:t>
            </w:r>
          </w:p>
        </w:tc>
        <w:tc>
          <w:tcPr>
            <w:tcW w:w="4660" w:type="dxa"/>
            <w:shd w:val="clear" w:color="auto" w:fill="FFFFFF"/>
            <w:tcMar>
              <w:top w:w="60" w:type="dxa"/>
              <w:left w:w="100" w:type="dxa"/>
              <w:bottom w:w="60" w:type="dxa"/>
              <w:right w:w="100" w:type="dxa"/>
            </w:tcMar>
          </w:tcPr>
          <w:p>
            <w:pPr>
              <w:spacing w:after="0"/>
            </w:pPr>
            <w:r>
              <w:rPr>
                <w:rFonts w:ascii="Arial" w:hAnsi="Arial" w:cs="Arial"/>
                <w:sz w:val="18"/>
                <w:szCs w:val="18"/>
              </w:rPr>
              <w:t xml:space="preserve">Set peso value per point and quarterly cap within budget.</w:t>
            </w:r>
          </w:p>
        </w:tc>
        <w:tc>
          <w:tcPr>
            <w:tcW w:w="1600" w:type="dxa"/>
            <w:shd w:val="clear" w:color="auto" w:fill="FFFFFF"/>
            <w:tcMar>
              <w:top w:w="60" w:type="dxa"/>
              <w:left w:w="100" w:type="dxa"/>
              <w:bottom w:w="60" w:type="dxa"/>
              <w:right w:w="100" w:type="dxa"/>
            </w:tcMar>
          </w:tcPr>
          <w:p>
            <w:pPr>
              <w:spacing w:after="0"/>
            </w:pPr>
            <w:r>
              <w:rPr>
                <w:rFonts w:ascii="Arial" w:hAnsi="Arial" w:cs="Arial"/>
                <w:sz w:val="18"/>
                <w:szCs w:val="18"/>
              </w:rPr>
              <w:t xml:space="preserve">RZM / NTC</w:t>
            </w:r>
          </w:p>
        </w:tc>
      </w:tr>
      <w:tr>
        <w:trPr>
          <w:cantSplit/>
        </w:trPr>
        <w:tc>
          <w:tcPr>
            <w:tcW w:w="3100" w:type="dxa"/>
            <w:shd w:val="clear" w:color="auto" w:fill="EDF2F9"/>
            <w:tcMar>
              <w:top w:w="60" w:type="dxa"/>
              <w:left w:w="100" w:type="dxa"/>
              <w:bottom w:w="60" w:type="dxa"/>
              <w:right w:w="100" w:type="dxa"/>
            </w:tcMar>
          </w:tcPr>
          <w:p>
            <w:pPr>
              <w:spacing w:after="0"/>
            </w:pPr>
            <w:r>
              <w:rPr>
                <w:rFonts w:ascii="Arial" w:hAnsi="Arial" w:cs="Arial"/>
                <w:b/>
                <w:sz w:val="18"/>
                <w:szCs w:val="18"/>
              </w:rPr>
              <w:t xml:space="preserve">Accountability owner</w:t>
            </w:r>
          </w:p>
        </w:tc>
        <w:tc>
          <w:tcPr>
            <w:tcW w:w="4660" w:type="dxa"/>
            <w:shd w:val="clear" w:color="auto" w:fill="EDF2F9"/>
            <w:tcMar>
              <w:top w:w="60" w:type="dxa"/>
              <w:left w:w="100" w:type="dxa"/>
              <w:bottom w:w="60" w:type="dxa"/>
              <w:right w:w="100" w:type="dxa"/>
            </w:tcMar>
          </w:tcPr>
          <w:p>
            <w:pPr>
              <w:spacing w:after="0"/>
            </w:pPr>
            <w:r>
              <w:rPr>
                <w:rFonts w:ascii="Arial" w:hAnsi="Arial" w:cs="Arial"/>
                <w:sz w:val="18"/>
                <w:szCs w:val="18"/>
              </w:rPr>
              <w:t xml:space="preserve">Assign an owner for Section 6 with HR.</w:t>
            </w:r>
          </w:p>
        </w:tc>
        <w:tc>
          <w:tcPr>
            <w:tcW w:w="1600" w:type="dxa"/>
            <w:shd w:val="clear" w:color="auto" w:fill="EDF2F9"/>
            <w:tcMar>
              <w:top w:w="60" w:type="dxa"/>
              <w:left w:w="100" w:type="dxa"/>
              <w:bottom w:w="60" w:type="dxa"/>
              <w:right w:w="100" w:type="dxa"/>
            </w:tcMar>
          </w:tcPr>
          <w:p>
            <w:pPr>
              <w:spacing w:after="0"/>
            </w:pPr>
            <w:r>
              <w:rPr>
                <w:rFonts w:ascii="Arial" w:hAnsi="Arial" w:cs="Arial"/>
                <w:sz w:val="18"/>
                <w:szCs w:val="18"/>
              </w:rPr>
              <w:t xml:space="preserve">PTC</w:t>
            </w:r>
          </w:p>
        </w:tc>
      </w:tr>
      <w:tr>
        <w:trPr>
          <w:cantSplit/>
        </w:trPr>
        <w:tc>
          <w:tcPr>
            <w:tcW w:w="3100" w:type="dxa"/>
            <w:shd w:val="clear" w:color="auto" w:fill="FFFFFF"/>
            <w:tcMar>
              <w:top w:w="60" w:type="dxa"/>
              <w:left w:w="100" w:type="dxa"/>
              <w:bottom w:w="60" w:type="dxa"/>
              <w:right w:w="100" w:type="dxa"/>
            </w:tcMar>
          </w:tcPr>
          <w:p>
            <w:pPr>
              <w:spacing w:after="0"/>
            </w:pPr>
            <w:r>
              <w:rPr>
                <w:rFonts w:ascii="Arial" w:hAnsi="Arial" w:cs="Arial"/>
                <w:b/>
                <w:sz w:val="18"/>
                <w:szCs w:val="18"/>
              </w:rPr>
              <w:t xml:space="preserve">CSAT review cadence</w:t>
            </w:r>
          </w:p>
        </w:tc>
        <w:tc>
          <w:tcPr>
            <w:tcW w:w="4660" w:type="dxa"/>
            <w:shd w:val="clear" w:color="auto" w:fill="FFFFFF"/>
            <w:tcMar>
              <w:top w:w="60" w:type="dxa"/>
              <w:left w:w="100" w:type="dxa"/>
              <w:bottom w:w="60" w:type="dxa"/>
              <w:right w:w="100" w:type="dxa"/>
            </w:tcMar>
          </w:tcPr>
          <w:p>
            <w:pPr>
              <w:spacing w:after="0"/>
            </w:pPr>
            <w:r>
              <w:rPr>
                <w:rFonts w:ascii="Arial" w:hAnsi="Arial" w:cs="Arial"/>
                <w:sz w:val="18"/>
                <w:szCs w:val="18"/>
              </w:rPr>
              <w:t xml:space="preserve">JPC-227A lists both Monthly and Quarterly as formal review; confirm intent.</w:t>
            </w:r>
          </w:p>
        </w:tc>
        <w:tc>
          <w:tcPr>
            <w:tcW w:w="1600" w:type="dxa"/>
            <w:shd w:val="clear" w:color="auto" w:fill="FFFFFF"/>
            <w:tcMar>
              <w:top w:w="60" w:type="dxa"/>
              <w:left w:w="100" w:type="dxa"/>
              <w:bottom w:w="60" w:type="dxa"/>
              <w:right w:w="100" w:type="dxa"/>
            </w:tcMar>
          </w:tcPr>
          <w:p>
            <w:pPr>
              <w:spacing w:after="0"/>
            </w:pPr>
            <w:r>
              <w:rPr>
                <w:rFonts w:ascii="Arial" w:hAnsi="Arial" w:cs="Arial"/>
                <w:sz w:val="18"/>
                <w:szCs w:val="18"/>
              </w:rPr>
              <w:t xml:space="preserve">JPC</w:t>
            </w:r>
          </w:p>
        </w:tc>
      </w:tr>
    </w:tbl>
    <w:p>
      <w:pPr>
        <w:spacing w:after="60"/>
      </w:pPr>
    </w:p>
    <w:p>
      <w:pPr>
        <w:keepNext/>
        <w:spacing w:before="240" w:after="80"/>
      </w:pPr>
      <w:r>
        <w:rPr>
          <w:rFonts w:ascii="Arial" w:hAnsi="Arial" w:cs="Arial"/>
          <w:b/>
          <w:color w:val="1B3A6B"/>
        </w:rPr>
        <w:t>10. Action Register and Timeline</w:t>
      </w:r>
    </w:p>
    <w:tbl>
      <w:tblPr>
        <w:tblW w:w="9360" w:type="dxa"/>
        <w:tblBorders>
          <w:top w:val="single" w:sz="4" w:space="0" w:color="BBCCE0"/>
          <w:left w:val="single" w:sz="4" w:space="0" w:color="BBCCE0"/>
          <w:bottom w:val="single" w:sz="4" w:space="0" w:color="BBCCE0"/>
          <w:right w:val="single" w:sz="4" w:space="0" w:color="BBCCE0"/>
          <w:insideH w:val="single" w:sz="4" w:space="0" w:color="BBCCE0"/>
          <w:insideV w:val="single" w:sz="4" w:space="0" w:color="BBCCE0"/>
        </w:tblBorders>
        <w:tblLayout w:type="fixed"/>
        <w:tblLook w:val="0000"/>
      </w:tblPr>
      <w:tblGrid>
        <w:gridCol w:w="2700"/>
        <w:gridCol w:w="1600"/>
        <w:gridCol w:w="3960"/>
        <w:gridCol w:w="1100"/>
      </w:tblGrid>
      <w:tr>
        <w:trPr>
          <w:tblHeader/>
          <w:cantSplit/>
        </w:trPr>
        <w:tc>
          <w:tcPr>
            <w:tcW w:w="2700" w:type="dxa"/>
            <w:shd w:val="clear" w:color="auto" w:fill="1B3A6B"/>
            <w:tcMar>
              <w:top w:w="60" w:type="dxa"/>
              <w:left w:w="100" w:type="dxa"/>
              <w:bottom w:w="60" w:type="dxa"/>
              <w:right w:w="100" w:type="dxa"/>
            </w:tcMar>
          </w:tcPr>
          <w:p>
            <w:pPr>
              <w:spacing w:after="0"/>
            </w:pPr>
            <w:r>
              <w:rPr>
                <w:rFonts w:ascii="Arial" w:hAnsi="Arial" w:cs="Arial"/>
                <w:b/>
                <w:sz w:val="17"/>
                <w:szCs w:val="17"/>
                <w:color w:val="FFFFFF"/>
              </w:rPr>
              <w:t xml:space="preserve">Action</w:t>
            </w:r>
          </w:p>
        </w:tc>
        <w:tc>
          <w:tcPr>
            <w:tcW w:w="1600" w:type="dxa"/>
            <w:shd w:val="clear" w:color="auto" w:fill="1B3A6B"/>
            <w:tcMar>
              <w:top w:w="60" w:type="dxa"/>
              <w:left w:w="100" w:type="dxa"/>
              <w:bottom w:w="60" w:type="dxa"/>
              <w:right w:w="100" w:type="dxa"/>
            </w:tcMar>
          </w:tcPr>
          <w:p>
            <w:pPr>
              <w:spacing w:after="0"/>
            </w:pPr>
            <w:r>
              <w:rPr>
                <w:rFonts w:ascii="Arial" w:hAnsi="Arial" w:cs="Arial"/>
                <w:b/>
                <w:sz w:val="17"/>
                <w:szCs w:val="17"/>
                <w:color w:val="FFFFFF"/>
              </w:rPr>
              <w:t xml:space="preserve">Owner</w:t>
            </w:r>
          </w:p>
        </w:tc>
        <w:tc>
          <w:tcPr>
            <w:tcW w:w="3960" w:type="dxa"/>
            <w:shd w:val="clear" w:color="auto" w:fill="1B3A6B"/>
            <w:tcMar>
              <w:top w:w="60" w:type="dxa"/>
              <w:left w:w="100" w:type="dxa"/>
              <w:bottom w:w="60" w:type="dxa"/>
              <w:right w:w="100" w:type="dxa"/>
            </w:tcMar>
          </w:tcPr>
          <w:p>
            <w:pPr>
              <w:spacing w:after="0"/>
            </w:pPr>
            <w:r>
              <w:rPr>
                <w:rFonts w:ascii="Arial" w:hAnsi="Arial" w:cs="Arial"/>
                <w:b/>
                <w:sz w:val="17"/>
                <w:szCs w:val="17"/>
                <w:color w:val="FFFFFF"/>
              </w:rPr>
              <w:t xml:space="preserve">Goal</w:t>
            </w:r>
          </w:p>
        </w:tc>
        <w:tc>
          <w:tcPr>
            <w:tcW w:w="1100" w:type="dxa"/>
            <w:shd w:val="clear" w:color="auto" w:fill="1B3A6B"/>
            <w:tcMar>
              <w:top w:w="60" w:type="dxa"/>
              <w:left w:w="100" w:type="dxa"/>
              <w:bottom w:w="60" w:type="dxa"/>
              <w:right w:w="100" w:type="dxa"/>
            </w:tcMar>
          </w:tcPr>
          <w:p>
            <w:pPr>
              <w:jc w:val="center"/>
              <w:spacing w:after="0"/>
            </w:pPr>
            <w:r>
              <w:rPr>
                <w:rFonts w:ascii="Arial" w:hAnsi="Arial" w:cs="Arial"/>
                <w:b/>
                <w:sz w:val="17"/>
                <w:szCs w:val="17"/>
                <w:color w:val="FFFFFF"/>
              </w:rPr>
              <w:t xml:space="preserve">When</w:t>
            </w:r>
          </w:p>
        </w:tc>
      </w:tr>
      <w:tr>
        <w:trPr>
          <w:cantSplit/>
        </w:trPr>
        <w:tc>
          <w:tcPr>
            <w:tcW w:w="2700" w:type="dxa"/>
            <w:shd w:val="clear" w:color="auto" w:fill="EDF2F9"/>
            <w:tcMar>
              <w:top w:w="60" w:type="dxa"/>
              <w:left w:w="100" w:type="dxa"/>
              <w:bottom w:w="60" w:type="dxa"/>
              <w:right w:w="100" w:type="dxa"/>
            </w:tcMar>
          </w:tcPr>
          <w:p>
            <w:pPr>
              <w:spacing w:after="0"/>
            </w:pPr>
            <w:r>
              <w:rPr>
                <w:rFonts w:ascii="Arial" w:hAnsi="Arial" w:cs="Arial"/>
                <w:b/>
                <w:sz w:val="18"/>
                <w:szCs w:val="18"/>
              </w:rPr>
              <w:t xml:space="preserve">Concept</w:t>
            </w:r>
          </w:p>
        </w:tc>
        <w:tc>
          <w:tcPr>
            <w:tcW w:w="1600" w:type="dxa"/>
            <w:shd w:val="clear" w:color="auto" w:fill="EDF2F9"/>
            <w:tcMar>
              <w:top w:w="60" w:type="dxa"/>
              <w:left w:w="100" w:type="dxa"/>
              <w:bottom w:w="60" w:type="dxa"/>
              <w:right w:w="100" w:type="dxa"/>
            </w:tcMar>
          </w:tcPr>
          <w:p>
            <w:pPr>
              <w:spacing w:after="0"/>
            </w:pPr>
            <w:r>
              <w:rPr>
                <w:rFonts w:ascii="Arial" w:hAnsi="Arial" w:cs="Arial"/>
                <w:sz w:val="18"/>
                <w:szCs w:val="18"/>
              </w:rPr>
              <w:t xml:space="preserve">MTO</w:t>
            </w:r>
          </w:p>
        </w:tc>
        <w:tc>
          <w:tcPr>
            <w:tcW w:w="3960" w:type="dxa"/>
            <w:shd w:val="clear" w:color="auto" w:fill="EDF2F9"/>
            <w:tcMar>
              <w:top w:w="60" w:type="dxa"/>
              <w:left w:w="100" w:type="dxa"/>
              <w:bottom w:w="60" w:type="dxa"/>
              <w:right w:w="100" w:type="dxa"/>
            </w:tcMar>
          </w:tcPr>
          <w:p>
            <w:pPr>
              <w:spacing w:after="0"/>
            </w:pPr>
            <w:r>
              <w:rPr>
                <w:rFonts w:ascii="Arial" w:hAnsi="Arial" w:cs="Arial"/>
                <w:sz w:val="18"/>
                <w:szCs w:val="18"/>
              </w:rPr>
              <w:t xml:space="preserve">Draft the overall concept of the Rewards Program</w:t>
            </w:r>
          </w:p>
        </w:tc>
        <w:tc>
          <w:tcPr>
            <w:tcW w:w="1100" w:type="dxa"/>
            <w:shd w:val="clear" w:color="auto" w:fill="EDF2F9"/>
            <w:tcMar>
              <w:top w:w="60" w:type="dxa"/>
              <w:left w:w="100" w:type="dxa"/>
              <w:bottom w:w="60" w:type="dxa"/>
              <w:right w:w="100" w:type="dxa"/>
            </w:tcMar>
          </w:tcPr>
          <w:p>
            <w:pPr>
              <w:jc w:val="center"/>
              <w:spacing w:after="0"/>
            </w:pPr>
            <w:r>
              <w:rPr>
                <w:rFonts w:ascii="Arial" w:hAnsi="Arial" w:cs="Arial"/>
                <w:sz w:val="18"/>
                <w:szCs w:val="18"/>
              </w:rPr>
              <w:t xml:space="preserve">41.2</w:t>
            </w:r>
          </w:p>
        </w:tc>
      </w:tr>
      <w:tr>
        <w:trPr>
          <w:cantSplit/>
        </w:trPr>
        <w:tc>
          <w:tcPr>
            <w:tcW w:w="2700" w:type="dxa"/>
            <w:shd w:val="clear" w:color="auto" w:fill="FFFFFF"/>
            <w:tcMar>
              <w:top w:w="60" w:type="dxa"/>
              <w:left w:w="100" w:type="dxa"/>
              <w:bottom w:w="60" w:type="dxa"/>
              <w:right w:w="100" w:type="dxa"/>
            </w:tcMar>
          </w:tcPr>
          <w:p>
            <w:pPr>
              <w:spacing w:after="0"/>
            </w:pPr>
            <w:r>
              <w:rPr>
                <w:rFonts w:ascii="Arial" w:hAnsi="Arial" w:cs="Arial"/>
                <w:b/>
                <w:sz w:val="18"/>
                <w:szCs w:val="18"/>
              </w:rPr>
              <w:t xml:space="preserve">SPECS</w:t>
            </w:r>
          </w:p>
        </w:tc>
        <w:tc>
          <w:tcPr>
            <w:tcW w:w="1600" w:type="dxa"/>
            <w:shd w:val="clear" w:color="auto" w:fill="FFFFFF"/>
            <w:tcMar>
              <w:top w:w="60" w:type="dxa"/>
              <w:left w:w="100" w:type="dxa"/>
              <w:bottom w:w="60" w:type="dxa"/>
              <w:right w:w="100" w:type="dxa"/>
            </w:tcMar>
          </w:tcPr>
          <w:p>
            <w:pPr>
              <w:spacing w:after="0"/>
            </w:pPr>
            <w:r>
              <w:rPr>
                <w:rFonts w:ascii="Arial" w:hAnsi="Arial" w:cs="Arial"/>
                <w:sz w:val="18"/>
                <w:szCs w:val="18"/>
              </w:rPr>
              <w:t xml:space="preserve">MOB</w:t>
            </w:r>
          </w:p>
        </w:tc>
        <w:tc>
          <w:tcPr>
            <w:tcW w:w="3960" w:type="dxa"/>
            <w:shd w:val="clear" w:color="auto" w:fill="FFFFFF"/>
            <w:tcMar>
              <w:top w:w="60" w:type="dxa"/>
              <w:left w:w="100" w:type="dxa"/>
              <w:bottom w:w="60" w:type="dxa"/>
              <w:right w:w="100" w:type="dxa"/>
            </w:tcMar>
          </w:tcPr>
          <w:p>
            <w:pPr>
              <w:spacing w:after="0"/>
            </w:pPr>
            <w:r>
              <w:rPr>
                <w:rFonts w:ascii="Arial" w:hAnsi="Arial" w:cs="Arial"/>
                <w:sz w:val="18"/>
                <w:szCs w:val="18"/>
              </w:rPr>
              <w:t xml:space="preserve">Create SPECS for the program</w:t>
            </w:r>
          </w:p>
        </w:tc>
        <w:tc>
          <w:tcPr>
            <w:tcW w:w="1100" w:type="dxa"/>
            <w:shd w:val="clear" w:color="auto" w:fill="FFFFFF"/>
            <w:tcMar>
              <w:top w:w="60" w:type="dxa"/>
              <w:left w:w="100" w:type="dxa"/>
              <w:bottom w:w="60" w:type="dxa"/>
              <w:right w:w="100" w:type="dxa"/>
            </w:tcMar>
          </w:tcPr>
          <w:p>
            <w:pPr>
              <w:jc w:val="center"/>
              <w:spacing w:after="0"/>
            </w:pPr>
            <w:r>
              <w:rPr>
                <w:rFonts w:ascii="Arial" w:hAnsi="Arial" w:cs="Arial"/>
                <w:sz w:val="18"/>
                <w:szCs w:val="18"/>
              </w:rPr>
              <w:t xml:space="preserve">41.4</w:t>
            </w:r>
          </w:p>
        </w:tc>
      </w:tr>
      <w:tr>
        <w:trPr>
          <w:cantSplit/>
        </w:trPr>
        <w:tc>
          <w:tcPr>
            <w:tcW w:w="2700" w:type="dxa"/>
            <w:shd w:val="clear" w:color="auto" w:fill="EDF2F9"/>
            <w:tcMar>
              <w:top w:w="60" w:type="dxa"/>
              <w:left w:w="100" w:type="dxa"/>
              <w:bottom w:w="60" w:type="dxa"/>
              <w:right w:w="100" w:type="dxa"/>
            </w:tcMar>
          </w:tcPr>
          <w:p>
            <w:pPr>
              <w:spacing w:after="0"/>
            </w:pPr>
            <w:r>
              <w:rPr>
                <w:rFonts w:ascii="Arial" w:hAnsi="Arial" w:cs="Arial"/>
                <w:b/>
                <w:sz w:val="18"/>
                <w:szCs w:val="18"/>
              </w:rPr>
              <w:t xml:space="preserve">Reward Criteria</w:t>
            </w:r>
          </w:p>
        </w:tc>
        <w:tc>
          <w:tcPr>
            <w:tcW w:w="1600" w:type="dxa"/>
            <w:shd w:val="clear" w:color="auto" w:fill="EDF2F9"/>
            <w:tcMar>
              <w:top w:w="60" w:type="dxa"/>
              <w:left w:w="100" w:type="dxa"/>
              <w:bottom w:w="60" w:type="dxa"/>
              <w:right w:w="100" w:type="dxa"/>
            </w:tcMar>
          </w:tcPr>
          <w:p>
            <w:pPr>
              <w:spacing w:after="0"/>
            </w:pPr>
            <w:r>
              <w:rPr>
                <w:rFonts w:ascii="Arial" w:hAnsi="Arial" w:cs="Arial"/>
                <w:sz w:val="18"/>
                <w:szCs w:val="18"/>
              </w:rPr>
              <w:t xml:space="preserve">RZM</w:t>
            </w:r>
          </w:p>
        </w:tc>
        <w:tc>
          <w:tcPr>
            <w:tcW w:w="3960" w:type="dxa"/>
            <w:shd w:val="clear" w:color="auto" w:fill="EDF2F9"/>
            <w:tcMar>
              <w:top w:w="60" w:type="dxa"/>
              <w:left w:w="100" w:type="dxa"/>
              <w:bottom w:w="60" w:type="dxa"/>
              <w:right w:w="100" w:type="dxa"/>
            </w:tcMar>
          </w:tcPr>
          <w:p>
            <w:pPr>
              <w:spacing w:after="0"/>
            </w:pPr>
            <w:r>
              <w:rPr>
                <w:rFonts w:ascii="Arial" w:hAnsi="Arial" w:cs="Arial"/>
                <w:sz w:val="18"/>
                <w:szCs w:val="18"/>
              </w:rPr>
              <w:t xml:space="preserve">Criteria on how to give rewards / achievements</w:t>
            </w:r>
          </w:p>
        </w:tc>
        <w:tc>
          <w:tcPr>
            <w:tcW w:w="1100" w:type="dxa"/>
            <w:shd w:val="clear" w:color="auto" w:fill="EDF2F9"/>
            <w:tcMar>
              <w:top w:w="60" w:type="dxa"/>
              <w:left w:w="100" w:type="dxa"/>
              <w:bottom w:w="60" w:type="dxa"/>
              <w:right w:w="100" w:type="dxa"/>
            </w:tcMar>
          </w:tcPr>
          <w:p>
            <w:pPr>
              <w:jc w:val="center"/>
              <w:spacing w:after="0"/>
            </w:pPr>
            <w:r>
              <w:rPr>
                <w:rFonts w:ascii="Arial" w:hAnsi="Arial" w:cs="Arial"/>
                <w:sz w:val="18"/>
                <w:szCs w:val="18"/>
              </w:rPr>
              <w:t xml:space="preserve">41.4</w:t>
            </w:r>
          </w:p>
        </w:tc>
      </w:tr>
      <w:tr>
        <w:trPr>
          <w:cantSplit/>
        </w:trPr>
        <w:tc>
          <w:tcPr>
            <w:tcW w:w="2700" w:type="dxa"/>
            <w:shd w:val="clear" w:color="auto" w:fill="FFFFFF"/>
            <w:tcMar>
              <w:top w:w="60" w:type="dxa"/>
              <w:left w:w="100" w:type="dxa"/>
              <w:bottom w:w="60" w:type="dxa"/>
              <w:right w:w="100" w:type="dxa"/>
            </w:tcMar>
          </w:tcPr>
          <w:p>
            <w:pPr>
              <w:spacing w:after="0"/>
            </w:pPr>
            <w:r>
              <w:rPr>
                <w:rFonts w:ascii="Arial" w:hAnsi="Arial" w:cs="Arial"/>
                <w:b/>
                <w:sz w:val="18"/>
                <w:szCs w:val="18"/>
              </w:rPr>
              <w:t xml:space="preserve">Quality</w:t>
            </w:r>
          </w:p>
        </w:tc>
        <w:tc>
          <w:tcPr>
            <w:tcW w:w="1600" w:type="dxa"/>
            <w:shd w:val="clear" w:color="auto" w:fill="FFFFFF"/>
            <w:tcMar>
              <w:top w:w="60" w:type="dxa"/>
              <w:left w:w="100" w:type="dxa"/>
              <w:bottom w:w="60" w:type="dxa"/>
              <w:right w:w="100" w:type="dxa"/>
            </w:tcMar>
          </w:tcPr>
          <w:p>
            <w:pPr>
              <w:spacing w:after="0"/>
            </w:pPr>
            <w:r>
              <w:rPr>
                <w:rFonts w:ascii="Arial" w:hAnsi="Arial" w:cs="Arial"/>
                <w:sz w:val="18"/>
                <w:szCs w:val="18"/>
              </w:rPr>
              <w:t xml:space="preserve">ODT</w:t>
            </w:r>
          </w:p>
        </w:tc>
        <w:tc>
          <w:tcPr>
            <w:tcW w:w="3960" w:type="dxa"/>
            <w:shd w:val="clear" w:color="auto" w:fill="FFFFFF"/>
            <w:tcMar>
              <w:top w:w="60" w:type="dxa"/>
              <w:left w:w="100" w:type="dxa"/>
              <w:bottom w:w="60" w:type="dxa"/>
              <w:right w:w="100" w:type="dxa"/>
            </w:tcMar>
          </w:tcPr>
          <w:p>
            <w:pPr>
              <w:spacing w:after="0"/>
            </w:pPr>
            <w:r>
              <w:rPr>
                <w:rFonts w:ascii="Arial" w:hAnsi="Arial" w:cs="Arial"/>
                <w:sz w:val="18"/>
                <w:szCs w:val="18"/>
              </w:rPr>
              <w:t xml:space="preserve">Criteria / measures for Quality achievements</w:t>
            </w:r>
          </w:p>
        </w:tc>
        <w:tc>
          <w:tcPr>
            <w:tcW w:w="1100" w:type="dxa"/>
            <w:shd w:val="clear" w:color="auto" w:fill="FFFFFF"/>
            <w:tcMar>
              <w:top w:w="60" w:type="dxa"/>
              <w:left w:w="100" w:type="dxa"/>
              <w:bottom w:w="60" w:type="dxa"/>
              <w:right w:w="100" w:type="dxa"/>
            </w:tcMar>
          </w:tcPr>
          <w:p>
            <w:pPr>
              <w:jc w:val="center"/>
              <w:spacing w:after="0"/>
            </w:pPr>
            <w:r>
              <w:rPr>
                <w:rFonts w:ascii="Arial" w:hAnsi="Arial" w:cs="Arial"/>
                <w:sz w:val="18"/>
                <w:szCs w:val="18"/>
              </w:rPr>
              <w:t xml:space="preserve">40.2</w:t>
            </w:r>
          </w:p>
        </w:tc>
      </w:tr>
      <w:tr>
        <w:trPr>
          <w:cantSplit/>
        </w:trPr>
        <w:tc>
          <w:tcPr>
            <w:tcW w:w="2700" w:type="dxa"/>
            <w:shd w:val="clear" w:color="auto" w:fill="EDF2F9"/>
            <w:tcMar>
              <w:top w:w="60" w:type="dxa"/>
              <w:left w:w="100" w:type="dxa"/>
              <w:bottom w:w="60" w:type="dxa"/>
              <w:right w:w="100" w:type="dxa"/>
            </w:tcMar>
          </w:tcPr>
          <w:p>
            <w:pPr>
              <w:spacing w:after="0"/>
            </w:pPr>
            <w:r>
              <w:rPr>
                <w:rFonts w:ascii="Arial" w:hAnsi="Arial" w:cs="Arial"/>
                <w:b/>
                <w:sz w:val="18"/>
                <w:szCs w:val="18"/>
              </w:rPr>
              <w:t xml:space="preserve">Efficiency</w:t>
            </w:r>
          </w:p>
        </w:tc>
        <w:tc>
          <w:tcPr>
            <w:tcW w:w="1600" w:type="dxa"/>
            <w:shd w:val="clear" w:color="auto" w:fill="EDF2F9"/>
            <w:tcMar>
              <w:top w:w="60" w:type="dxa"/>
              <w:left w:w="100" w:type="dxa"/>
              <w:bottom w:w="60" w:type="dxa"/>
              <w:right w:w="100" w:type="dxa"/>
            </w:tcMar>
          </w:tcPr>
          <w:p>
            <w:pPr>
              <w:spacing w:after="0"/>
            </w:pPr>
            <w:r>
              <w:rPr>
                <w:rFonts w:ascii="Arial" w:hAnsi="Arial" w:cs="Arial"/>
                <w:sz w:val="18"/>
                <w:szCs w:val="18"/>
              </w:rPr>
              <w:t xml:space="preserve">AWP</w:t>
            </w:r>
          </w:p>
        </w:tc>
        <w:tc>
          <w:tcPr>
            <w:tcW w:w="3960" w:type="dxa"/>
            <w:shd w:val="clear" w:color="auto" w:fill="EDF2F9"/>
            <w:tcMar>
              <w:top w:w="60" w:type="dxa"/>
              <w:left w:w="100" w:type="dxa"/>
              <w:bottom w:w="60" w:type="dxa"/>
              <w:right w:w="100" w:type="dxa"/>
            </w:tcMar>
          </w:tcPr>
          <w:p>
            <w:pPr>
              <w:spacing w:after="0"/>
            </w:pPr>
            <w:r>
              <w:rPr>
                <w:rFonts w:ascii="Arial" w:hAnsi="Arial" w:cs="Arial"/>
                <w:sz w:val="18"/>
                <w:szCs w:val="18"/>
              </w:rPr>
              <w:t xml:space="preserve">Criteria / measures for Efficiency achievements</w:t>
            </w:r>
          </w:p>
        </w:tc>
        <w:tc>
          <w:tcPr>
            <w:tcW w:w="1100" w:type="dxa"/>
            <w:shd w:val="clear" w:color="auto" w:fill="EDF2F9"/>
            <w:tcMar>
              <w:top w:w="60" w:type="dxa"/>
              <w:left w:w="100" w:type="dxa"/>
              <w:bottom w:w="60" w:type="dxa"/>
              <w:right w:w="100" w:type="dxa"/>
            </w:tcMar>
          </w:tcPr>
          <w:p>
            <w:pPr>
              <w:jc w:val="center"/>
              <w:spacing w:after="0"/>
            </w:pPr>
            <w:r>
              <w:rPr>
                <w:rFonts w:ascii="Arial" w:hAnsi="Arial" w:cs="Arial"/>
                <w:sz w:val="18"/>
                <w:szCs w:val="18"/>
              </w:rPr>
              <w:t xml:space="preserve">40.2</w:t>
            </w:r>
          </w:p>
        </w:tc>
      </w:tr>
      <w:tr>
        <w:trPr>
          <w:cantSplit/>
        </w:trPr>
        <w:tc>
          <w:tcPr>
            <w:tcW w:w="2700" w:type="dxa"/>
            <w:shd w:val="clear" w:color="auto" w:fill="FFFFFF"/>
            <w:tcMar>
              <w:top w:w="60" w:type="dxa"/>
              <w:left w:w="100" w:type="dxa"/>
              <w:bottom w:w="60" w:type="dxa"/>
              <w:right w:w="100" w:type="dxa"/>
            </w:tcMar>
          </w:tcPr>
          <w:p>
            <w:pPr>
              <w:spacing w:after="0"/>
            </w:pPr>
            <w:r>
              <w:rPr>
                <w:rFonts w:ascii="Arial" w:hAnsi="Arial" w:cs="Arial"/>
                <w:b/>
                <w:sz w:val="18"/>
                <w:szCs w:val="18"/>
              </w:rPr>
              <w:t xml:space="preserve">Delivery / Cycle Time</w:t>
            </w:r>
          </w:p>
        </w:tc>
        <w:tc>
          <w:tcPr>
            <w:tcW w:w="1600" w:type="dxa"/>
            <w:shd w:val="clear" w:color="auto" w:fill="FFFFFF"/>
            <w:tcMar>
              <w:top w:w="60" w:type="dxa"/>
              <w:left w:w="100" w:type="dxa"/>
              <w:bottom w:w="60" w:type="dxa"/>
              <w:right w:w="100" w:type="dxa"/>
            </w:tcMar>
          </w:tcPr>
          <w:p>
            <w:pPr>
              <w:spacing w:after="0"/>
            </w:pPr>
            <w:r>
              <w:rPr>
                <w:rFonts w:ascii="Arial" w:hAnsi="Arial" w:cs="Arial"/>
                <w:sz w:val="18"/>
                <w:szCs w:val="18"/>
              </w:rPr>
              <w:t xml:space="preserve">LWM</w:t>
            </w:r>
          </w:p>
        </w:tc>
        <w:tc>
          <w:tcPr>
            <w:tcW w:w="3960" w:type="dxa"/>
            <w:shd w:val="clear" w:color="auto" w:fill="FFFFFF"/>
            <w:tcMar>
              <w:top w:w="60" w:type="dxa"/>
              <w:left w:w="100" w:type="dxa"/>
              <w:bottom w:w="60" w:type="dxa"/>
              <w:right w:w="100" w:type="dxa"/>
            </w:tcMar>
          </w:tcPr>
          <w:p>
            <w:pPr>
              <w:spacing w:after="0"/>
            </w:pPr>
            <w:r>
              <w:rPr>
                <w:rFonts w:ascii="Arial" w:hAnsi="Arial" w:cs="Arial"/>
                <w:sz w:val="18"/>
                <w:szCs w:val="18"/>
              </w:rPr>
              <w:t xml:space="preserve">Criteria / measures for Delivery / Cycle Time achievements</w:t>
            </w:r>
          </w:p>
        </w:tc>
        <w:tc>
          <w:tcPr>
            <w:tcW w:w="1100" w:type="dxa"/>
            <w:shd w:val="clear" w:color="auto" w:fill="FFFFFF"/>
            <w:tcMar>
              <w:top w:w="60" w:type="dxa"/>
              <w:left w:w="100" w:type="dxa"/>
              <w:bottom w:w="60" w:type="dxa"/>
              <w:right w:w="100" w:type="dxa"/>
            </w:tcMar>
          </w:tcPr>
          <w:p>
            <w:pPr>
              <w:jc w:val="center"/>
              <w:spacing w:after="0"/>
            </w:pPr>
            <w:r>
              <w:rPr>
                <w:rFonts w:ascii="Arial" w:hAnsi="Arial" w:cs="Arial"/>
                <w:sz w:val="18"/>
                <w:szCs w:val="18"/>
              </w:rPr>
              <w:t xml:space="preserve">40.2</w:t>
            </w:r>
          </w:p>
        </w:tc>
      </w:tr>
      <w:tr>
        <w:trPr>
          <w:cantSplit/>
        </w:trPr>
        <w:tc>
          <w:tcPr>
            <w:tcW w:w="2700" w:type="dxa"/>
            <w:shd w:val="clear" w:color="auto" w:fill="EDF2F9"/>
            <w:tcMar>
              <w:top w:w="60" w:type="dxa"/>
              <w:left w:w="100" w:type="dxa"/>
              <w:bottom w:w="60" w:type="dxa"/>
              <w:right w:w="100" w:type="dxa"/>
            </w:tcMar>
          </w:tcPr>
          <w:p>
            <w:pPr>
              <w:spacing w:after="0"/>
            </w:pPr>
            <w:r>
              <w:rPr>
                <w:rFonts w:ascii="Arial" w:hAnsi="Arial" w:cs="Arial"/>
                <w:b/>
                <w:sz w:val="18"/>
                <w:szCs w:val="18"/>
              </w:rPr>
              <w:t xml:space="preserve">Cost</w:t>
            </w:r>
          </w:p>
        </w:tc>
        <w:tc>
          <w:tcPr>
            <w:tcW w:w="1600" w:type="dxa"/>
            <w:shd w:val="clear" w:color="auto" w:fill="EDF2F9"/>
            <w:tcMar>
              <w:top w:w="60" w:type="dxa"/>
              <w:left w:w="100" w:type="dxa"/>
              <w:bottom w:w="60" w:type="dxa"/>
              <w:right w:w="100" w:type="dxa"/>
            </w:tcMar>
          </w:tcPr>
          <w:p>
            <w:pPr>
              <w:spacing w:after="0"/>
            </w:pPr>
            <w:r>
              <w:rPr>
                <w:rFonts w:ascii="Arial" w:hAnsi="Arial" w:cs="Arial"/>
                <w:sz w:val="18"/>
                <w:szCs w:val="18"/>
              </w:rPr>
              <w:t xml:space="preserve">NTC</w:t>
            </w:r>
          </w:p>
        </w:tc>
        <w:tc>
          <w:tcPr>
            <w:tcW w:w="3960" w:type="dxa"/>
            <w:shd w:val="clear" w:color="auto" w:fill="EDF2F9"/>
            <w:tcMar>
              <w:top w:w="60" w:type="dxa"/>
              <w:left w:w="100" w:type="dxa"/>
              <w:bottom w:w="60" w:type="dxa"/>
              <w:right w:w="100" w:type="dxa"/>
            </w:tcMar>
          </w:tcPr>
          <w:p>
            <w:pPr>
              <w:spacing w:after="0"/>
            </w:pPr>
            <w:r>
              <w:rPr>
                <w:rFonts w:ascii="Arial" w:hAnsi="Arial" w:cs="Arial"/>
                <w:sz w:val="18"/>
                <w:szCs w:val="18"/>
              </w:rPr>
              <w:t xml:space="preserve">Budget or cost of the reward program</w:t>
            </w:r>
          </w:p>
        </w:tc>
        <w:tc>
          <w:tcPr>
            <w:tcW w:w="1100" w:type="dxa"/>
            <w:shd w:val="clear" w:color="auto" w:fill="EDF2F9"/>
            <w:tcMar>
              <w:top w:w="60" w:type="dxa"/>
              <w:left w:w="100" w:type="dxa"/>
              <w:bottom w:w="60" w:type="dxa"/>
              <w:right w:w="100" w:type="dxa"/>
            </w:tcMar>
          </w:tcPr>
          <w:p>
            <w:pPr>
              <w:jc w:val="center"/>
              <w:spacing w:after="0"/>
            </w:pPr>
            <w:r>
              <w:rPr>
                <w:rFonts w:ascii="Arial" w:hAnsi="Arial" w:cs="Arial"/>
                <w:sz w:val="18"/>
                <w:szCs w:val="18"/>
              </w:rPr>
              <w:t xml:space="preserve">40.2</w:t>
            </w:r>
          </w:p>
        </w:tc>
      </w:tr>
      <w:tr>
        <w:trPr>
          <w:cantSplit/>
        </w:trPr>
        <w:tc>
          <w:tcPr>
            <w:tcW w:w="2700" w:type="dxa"/>
            <w:shd w:val="clear" w:color="auto" w:fill="FFFFFF"/>
            <w:tcMar>
              <w:top w:w="60" w:type="dxa"/>
              <w:left w:w="100" w:type="dxa"/>
              <w:bottom w:w="60" w:type="dxa"/>
              <w:right w:w="100" w:type="dxa"/>
            </w:tcMar>
          </w:tcPr>
          <w:p>
            <w:pPr>
              <w:spacing w:after="0"/>
            </w:pPr>
            <w:r>
              <w:rPr>
                <w:rFonts w:ascii="Arial" w:hAnsi="Arial" w:cs="Arial"/>
                <w:b/>
                <w:sz w:val="18"/>
                <w:szCs w:val="18"/>
              </w:rPr>
              <w:t xml:space="preserve">Customer Satisfaction</w:t>
            </w:r>
          </w:p>
        </w:tc>
        <w:tc>
          <w:tcPr>
            <w:tcW w:w="1600" w:type="dxa"/>
            <w:shd w:val="clear" w:color="auto" w:fill="FFFFFF"/>
            <w:tcMar>
              <w:top w:w="60" w:type="dxa"/>
              <w:left w:w="100" w:type="dxa"/>
              <w:bottom w:w="60" w:type="dxa"/>
              <w:right w:w="100" w:type="dxa"/>
            </w:tcMar>
          </w:tcPr>
          <w:p>
            <w:pPr>
              <w:spacing w:after="0"/>
            </w:pPr>
            <w:r>
              <w:rPr>
                <w:rFonts w:ascii="Arial" w:hAnsi="Arial" w:cs="Arial"/>
                <w:sz w:val="18"/>
                <w:szCs w:val="18"/>
              </w:rPr>
              <w:t xml:space="preserve">JPC / RDM</w:t>
            </w:r>
          </w:p>
        </w:tc>
        <w:tc>
          <w:tcPr>
            <w:tcW w:w="3960" w:type="dxa"/>
            <w:shd w:val="clear" w:color="auto" w:fill="FFFFFF"/>
            <w:tcMar>
              <w:top w:w="60" w:type="dxa"/>
              <w:left w:w="100" w:type="dxa"/>
              <w:bottom w:w="60" w:type="dxa"/>
              <w:right w:w="100" w:type="dxa"/>
            </w:tcMar>
          </w:tcPr>
          <w:p>
            <w:pPr>
              <w:spacing w:after="0"/>
            </w:pPr>
            <w:r>
              <w:rPr>
                <w:rFonts w:ascii="Arial" w:hAnsi="Arial" w:cs="Arial"/>
                <w:sz w:val="18"/>
                <w:szCs w:val="18"/>
              </w:rPr>
              <w:t xml:space="preserve">Criteria / measures for Customer Satisfaction achievements</w:t>
            </w:r>
          </w:p>
        </w:tc>
        <w:tc>
          <w:tcPr>
            <w:tcW w:w="1100" w:type="dxa"/>
            <w:shd w:val="clear" w:color="auto" w:fill="FFFFFF"/>
            <w:tcMar>
              <w:top w:w="60" w:type="dxa"/>
              <w:left w:w="100" w:type="dxa"/>
              <w:bottom w:w="60" w:type="dxa"/>
              <w:right w:w="100" w:type="dxa"/>
            </w:tcMar>
          </w:tcPr>
          <w:p>
            <w:pPr>
              <w:jc w:val="center"/>
              <w:spacing w:after="0"/>
            </w:pPr>
            <w:r>
              <w:rPr>
                <w:rFonts w:ascii="Arial" w:hAnsi="Arial" w:cs="Arial"/>
                <w:sz w:val="18"/>
                <w:szCs w:val="18"/>
              </w:rPr>
              <w:t xml:space="preserve">40.2</w:t>
            </w:r>
          </w:p>
        </w:tc>
      </w:tr>
      <w:tr>
        <w:trPr>
          <w:cantSplit/>
        </w:trPr>
        <w:tc>
          <w:tcPr>
            <w:tcW w:w="2700" w:type="dxa"/>
            <w:shd w:val="clear" w:color="auto" w:fill="EDF2F9"/>
            <w:tcMar>
              <w:top w:w="60" w:type="dxa"/>
              <w:left w:w="100" w:type="dxa"/>
              <w:bottom w:w="60" w:type="dxa"/>
              <w:right w:w="100" w:type="dxa"/>
            </w:tcMar>
          </w:tcPr>
          <w:p>
            <w:pPr>
              <w:spacing w:after="0"/>
            </w:pPr>
            <w:r>
              <w:rPr>
                <w:rFonts w:ascii="Arial" w:hAnsi="Arial" w:cs="Arial"/>
                <w:b/>
                <w:sz w:val="18"/>
                <w:szCs w:val="18"/>
              </w:rPr>
              <w:t xml:space="preserve">Recording</w:t>
            </w:r>
          </w:p>
        </w:tc>
        <w:tc>
          <w:tcPr>
            <w:tcW w:w="1600" w:type="dxa"/>
            <w:shd w:val="clear" w:color="auto" w:fill="EDF2F9"/>
            <w:tcMar>
              <w:top w:w="60" w:type="dxa"/>
              <w:left w:w="100" w:type="dxa"/>
              <w:bottom w:w="60" w:type="dxa"/>
              <w:right w:w="100" w:type="dxa"/>
            </w:tcMar>
          </w:tcPr>
          <w:p>
            <w:pPr>
              <w:spacing w:after="0"/>
            </w:pPr>
            <w:r>
              <w:rPr>
                <w:rFonts w:ascii="Arial" w:hAnsi="Arial" w:cs="Arial"/>
                <w:sz w:val="18"/>
                <w:szCs w:val="18"/>
              </w:rPr>
              <w:t xml:space="preserve">KLC</w:t>
            </w:r>
          </w:p>
        </w:tc>
        <w:tc>
          <w:tcPr>
            <w:tcW w:w="3960" w:type="dxa"/>
            <w:shd w:val="clear" w:color="auto" w:fill="EDF2F9"/>
            <w:tcMar>
              <w:top w:w="60" w:type="dxa"/>
              <w:left w:w="100" w:type="dxa"/>
              <w:bottom w:w="60" w:type="dxa"/>
              <w:right w:w="100" w:type="dxa"/>
            </w:tcMar>
          </w:tcPr>
          <w:p>
            <w:pPr>
              <w:spacing w:after="0"/>
            </w:pPr>
            <w:r>
              <w:rPr>
                <w:rFonts w:ascii="Arial" w:hAnsi="Arial" w:cs="Arial"/>
                <w:sz w:val="18"/>
                <w:szCs w:val="18"/>
              </w:rPr>
              <w:t xml:space="preserve">Recording / tracking mechanism for rewards and achievements</w:t>
            </w:r>
          </w:p>
        </w:tc>
        <w:tc>
          <w:tcPr>
            <w:tcW w:w="1100" w:type="dxa"/>
            <w:shd w:val="clear" w:color="auto" w:fill="EDF2F9"/>
            <w:tcMar>
              <w:top w:w="60" w:type="dxa"/>
              <w:left w:w="100" w:type="dxa"/>
              <w:bottom w:w="60" w:type="dxa"/>
              <w:right w:w="100" w:type="dxa"/>
            </w:tcMar>
          </w:tcPr>
          <w:p>
            <w:pPr>
              <w:jc w:val="center"/>
              <w:spacing w:after="0"/>
            </w:pPr>
            <w:r>
              <w:rPr>
                <w:rFonts w:ascii="Arial" w:hAnsi="Arial" w:cs="Arial"/>
                <w:sz w:val="18"/>
                <w:szCs w:val="18"/>
              </w:rPr>
              <w:t xml:space="preserve">41.4</w:t>
            </w:r>
          </w:p>
        </w:tc>
      </w:tr>
      <w:tr>
        <w:trPr>
          <w:cantSplit/>
        </w:trPr>
        <w:tc>
          <w:tcPr>
            <w:tcW w:w="2700" w:type="dxa"/>
            <w:shd w:val="clear" w:color="auto" w:fill="FFFFFF"/>
            <w:tcMar>
              <w:top w:w="60" w:type="dxa"/>
              <w:left w:w="100" w:type="dxa"/>
              <w:bottom w:w="60" w:type="dxa"/>
              <w:right w:w="100" w:type="dxa"/>
            </w:tcMar>
          </w:tcPr>
          <w:p>
            <w:pPr>
              <w:spacing w:after="0"/>
            </w:pPr>
            <w:r>
              <w:rPr>
                <w:rFonts w:ascii="Arial" w:hAnsi="Arial" w:cs="Arial"/>
                <w:b/>
                <w:sz w:val="18"/>
                <w:szCs w:val="18"/>
              </w:rPr>
              <w:t xml:space="preserve">Campaign / Promotional</w:t>
            </w:r>
          </w:p>
        </w:tc>
        <w:tc>
          <w:tcPr>
            <w:tcW w:w="1600" w:type="dxa"/>
            <w:shd w:val="clear" w:color="auto" w:fill="FFFFFF"/>
            <w:tcMar>
              <w:top w:w="60" w:type="dxa"/>
              <w:left w:w="100" w:type="dxa"/>
              <w:bottom w:w="60" w:type="dxa"/>
              <w:right w:w="100" w:type="dxa"/>
            </w:tcMar>
          </w:tcPr>
          <w:p>
            <w:pPr>
              <w:spacing w:after="0"/>
            </w:pPr>
            <w:r>
              <w:rPr>
                <w:rFonts w:ascii="Arial" w:hAnsi="Arial" w:cs="Arial"/>
                <w:sz w:val="18"/>
                <w:szCs w:val="18"/>
              </w:rPr>
              <w:t xml:space="preserve">DGT with Vibes</w:t>
            </w:r>
          </w:p>
        </w:tc>
        <w:tc>
          <w:tcPr>
            <w:tcW w:w="3960" w:type="dxa"/>
            <w:shd w:val="clear" w:color="auto" w:fill="FFFFFF"/>
            <w:tcMar>
              <w:top w:w="60" w:type="dxa"/>
              <w:left w:w="100" w:type="dxa"/>
              <w:bottom w:w="60" w:type="dxa"/>
              <w:right w:w="100" w:type="dxa"/>
            </w:tcMar>
          </w:tcPr>
          <w:p>
            <w:pPr>
              <w:spacing w:after="0"/>
            </w:pPr>
            <w:r>
              <w:rPr>
                <w:rFonts w:ascii="Arial" w:hAnsi="Arial" w:cs="Arial"/>
                <w:sz w:val="18"/>
                <w:szCs w:val="18"/>
              </w:rPr>
              <w:t xml:space="preserve">Campaigns, advertisements and promotional activities</w:t>
            </w:r>
          </w:p>
        </w:tc>
        <w:tc>
          <w:tcPr>
            <w:tcW w:w="1100" w:type="dxa"/>
            <w:shd w:val="clear" w:color="auto" w:fill="FFFFFF"/>
            <w:tcMar>
              <w:top w:w="60" w:type="dxa"/>
              <w:left w:w="100" w:type="dxa"/>
              <w:bottom w:w="60" w:type="dxa"/>
              <w:right w:w="100" w:type="dxa"/>
            </w:tcMar>
          </w:tcPr>
          <w:p>
            <w:pPr>
              <w:jc w:val="center"/>
              <w:spacing w:after="0"/>
            </w:pPr>
            <w:r>
              <w:rPr>
                <w:rFonts w:ascii="Arial" w:hAnsi="Arial" w:cs="Arial"/>
                <w:sz w:val="18"/>
                <w:szCs w:val="18"/>
              </w:rPr>
              <w:t xml:space="preserve">41.4</w:t>
            </w:r>
          </w:p>
        </w:tc>
      </w:tr>
      <w:tr>
        <w:trPr>
          <w:cantSplit/>
        </w:trPr>
        <w:tc>
          <w:tcPr>
            <w:tcW w:w="2700" w:type="dxa"/>
            <w:shd w:val="clear" w:color="auto" w:fill="EDF2F9"/>
            <w:tcMar>
              <w:top w:w="60" w:type="dxa"/>
              <w:left w:w="100" w:type="dxa"/>
              <w:bottom w:w="60" w:type="dxa"/>
              <w:right w:w="100" w:type="dxa"/>
            </w:tcMar>
          </w:tcPr>
          <w:p>
            <w:pPr>
              <w:spacing w:after="0"/>
            </w:pPr>
            <w:r>
              <w:rPr>
                <w:rFonts w:ascii="Arial" w:hAnsi="Arial" w:cs="Arial"/>
                <w:b/>
                <w:sz w:val="18"/>
                <w:szCs w:val="18"/>
              </w:rPr>
              <w:t xml:space="preserve">Redemption</w:t>
            </w:r>
          </w:p>
        </w:tc>
        <w:tc>
          <w:tcPr>
            <w:tcW w:w="1600" w:type="dxa"/>
            <w:shd w:val="clear" w:color="auto" w:fill="EDF2F9"/>
            <w:tcMar>
              <w:top w:w="60" w:type="dxa"/>
              <w:left w:w="100" w:type="dxa"/>
              <w:bottom w:w="60" w:type="dxa"/>
              <w:right w:w="100" w:type="dxa"/>
            </w:tcMar>
          </w:tcPr>
          <w:p>
            <w:pPr>
              <w:spacing w:after="0"/>
            </w:pPr>
            <w:r>
              <w:rPr>
                <w:rFonts w:ascii="Arial" w:hAnsi="Arial" w:cs="Arial"/>
                <w:sz w:val="18"/>
                <w:szCs w:val="18"/>
              </w:rPr>
              <w:t xml:space="preserve">RZM</w:t>
            </w:r>
          </w:p>
        </w:tc>
        <w:tc>
          <w:tcPr>
            <w:tcW w:w="3960" w:type="dxa"/>
            <w:shd w:val="clear" w:color="auto" w:fill="EDF2F9"/>
            <w:tcMar>
              <w:top w:w="60" w:type="dxa"/>
              <w:left w:w="100" w:type="dxa"/>
              <w:bottom w:w="60" w:type="dxa"/>
              <w:right w:w="100" w:type="dxa"/>
            </w:tcMar>
          </w:tcPr>
          <w:p>
            <w:pPr>
              <w:spacing w:after="0"/>
            </w:pPr>
            <w:r>
              <w:rPr>
                <w:rFonts w:ascii="Arial" w:hAnsi="Arial" w:cs="Arial"/>
                <w:sz w:val="18"/>
                <w:szCs w:val="18"/>
              </w:rPr>
              <w:t xml:space="preserve">Redemption options / value: Encashment, Coop, Canteen</w:t>
            </w:r>
          </w:p>
        </w:tc>
        <w:tc>
          <w:tcPr>
            <w:tcW w:w="1100" w:type="dxa"/>
            <w:shd w:val="clear" w:color="auto" w:fill="EDF2F9"/>
            <w:tcMar>
              <w:top w:w="60" w:type="dxa"/>
              <w:left w:w="100" w:type="dxa"/>
              <w:bottom w:w="60" w:type="dxa"/>
              <w:right w:w="100" w:type="dxa"/>
            </w:tcMar>
          </w:tcPr>
          <w:p>
            <w:pPr>
              <w:jc w:val="center"/>
              <w:spacing w:after="0"/>
            </w:pPr>
            <w:r>
              <w:rPr>
                <w:rFonts w:ascii="Arial" w:hAnsi="Arial" w:cs="Arial"/>
                <w:sz w:val="18"/>
                <w:szCs w:val="18"/>
              </w:rPr>
              <w:t xml:space="preserve">41.4</w:t>
            </w:r>
          </w:p>
        </w:tc>
      </w:tr>
    </w:tbl>
    <w:p>
      <w:pPr>
        <w:spacing w:after="60"/>
      </w:pPr>
    </w:p>
    <w:p>
      <w:pPr>
        <w:keepNext/>
        <w:spacing w:before="240" w:after="80"/>
      </w:pPr>
      <w:r>
        <w:rPr>
          <w:rFonts w:ascii="Arial" w:hAnsi="Arial" w:cs="Arial"/>
          <w:b/>
          <w:color w:val="1B3A6B"/>
        </w:rPr>
        <w:t>Conclusion</w:t>
      </w:r>
    </w:p>
    <w:p>
      <w:pPr>
        <w:spacing w:before="0" w:after="80"/>
        <w:jc w:val="both"/>
      </w:pPr>
      <w:r>
        <w:rPr>
          <w:rFonts w:ascii="Arial" w:hAnsi="Arial" w:cs="Arial"/>
        </w:rPr>
        <w:t xml:space="preserve">This concept sets the structure and common rules for the SBSI Reward System: four achievement pillars, cross-department recognition and performance accountability, feeding one points currency, one approval path and one system of record. PTC endorsement is requested, together with an owner for Performance Accountability, so that SPECS, Reward Criteria, Recording and Redemption can be finalized by WW41.4.</w:t>
      </w:r>
    </w:p>
    <w:p>
      <w:pPr>
        <w:keepNext/>
        <w:spacing w:before="240" w:after="80"/>
      </w:pPr>
      <w:r>
        <w:rPr>
          <w:rFonts w:ascii="Arial" w:hAnsi="Arial" w:cs="Arial"/>
          <w:b/>
          <w:color w:val="1B3A6B"/>
        </w:rPr>
        <w:t>Appendix A — Efficiency and Delivery Criteria (source: AWP, Criterias for Efficiency &amp; Delivery.xlsx)</w:t>
      </w:r>
    </w:p>
    <w:tbl>
      <w:tblPr>
        <w:tblW w:w="9360" w:type="dxa"/>
        <w:tblBorders>
          <w:top w:val="single" w:sz="4" w:space="0" w:color="BBCCE0"/>
          <w:left w:val="single" w:sz="4" w:space="0" w:color="BBCCE0"/>
          <w:bottom w:val="single" w:sz="4" w:space="0" w:color="BBCCE0"/>
          <w:right w:val="single" w:sz="4" w:space="0" w:color="BBCCE0"/>
          <w:insideH w:val="single" w:sz="4" w:space="0" w:color="BBCCE0"/>
          <w:insideV w:val="single" w:sz="4" w:space="0" w:color="BBCCE0"/>
        </w:tblBorders>
        <w:tblLayout w:type="fixed"/>
        <w:tblLook w:val="0000"/>
      </w:tblPr>
      <w:tblGrid>
        <w:gridCol w:w="3300"/>
        <w:gridCol w:w="2700"/>
        <w:gridCol w:w="3360"/>
      </w:tblGrid>
      <w:tr>
        <w:trPr>
          <w:tblHeader/>
          <w:cantSplit/>
        </w:trPr>
        <w:tc>
          <w:tcPr>
            <w:tcW w:w="3300" w:type="dxa"/>
            <w:shd w:val="clear" w:color="auto" w:fill="1B3A6B"/>
            <w:tcMar>
              <w:top w:w="60" w:type="dxa"/>
              <w:left w:w="100" w:type="dxa"/>
              <w:bottom w:w="60" w:type="dxa"/>
              <w:right w:w="100" w:type="dxa"/>
            </w:tcMar>
          </w:tcPr>
          <w:p>
            <w:pPr>
              <w:spacing w:after="0"/>
            </w:pPr>
            <w:r>
              <w:rPr>
                <w:rFonts w:ascii="Arial" w:hAnsi="Arial" w:cs="Arial"/>
                <w:b/>
                <w:sz w:val="17"/>
                <w:szCs w:val="17"/>
                <w:color w:val="FFFFFF"/>
              </w:rPr>
              <w:t xml:space="preserve">Efficiency Criteria</w:t>
            </w:r>
          </w:p>
        </w:tc>
        <w:tc>
          <w:tcPr>
            <w:tcW w:w="2700" w:type="dxa"/>
            <w:shd w:val="clear" w:color="auto" w:fill="1B3A6B"/>
            <w:tcMar>
              <w:top w:w="60" w:type="dxa"/>
              <w:left w:w="100" w:type="dxa"/>
              <w:bottom w:w="60" w:type="dxa"/>
              <w:right w:w="100" w:type="dxa"/>
            </w:tcMar>
          </w:tcPr>
          <w:p>
            <w:pPr>
              <w:spacing w:after="0"/>
            </w:pPr>
            <w:r>
              <w:rPr>
                <w:rFonts w:ascii="Arial" w:hAnsi="Arial" w:cs="Arial"/>
                <w:b/>
                <w:sz w:val="17"/>
                <w:szCs w:val="17"/>
                <w:color w:val="FFFFFF"/>
              </w:rPr>
              <w:t xml:space="preserve">Measure</w:t>
            </w:r>
          </w:p>
        </w:tc>
        <w:tc>
          <w:tcPr>
            <w:tcW w:w="3360" w:type="dxa"/>
            <w:shd w:val="clear" w:color="auto" w:fill="1B3A6B"/>
            <w:tcMar>
              <w:top w:w="60" w:type="dxa"/>
              <w:left w:w="100" w:type="dxa"/>
              <w:bottom w:w="60" w:type="dxa"/>
              <w:right w:w="100" w:type="dxa"/>
            </w:tcMar>
          </w:tcPr>
          <w:p>
            <w:pPr>
              <w:spacing w:after="0"/>
            </w:pPr>
            <w:r>
              <w:rPr>
                <w:rFonts w:ascii="Arial" w:hAnsi="Arial" w:cs="Arial"/>
                <w:b/>
                <w:sz w:val="17"/>
                <w:szCs w:val="17"/>
                <w:color w:val="FFFFFF"/>
              </w:rPr>
              <w:t xml:space="preserve">Value Proposition</w:t>
            </w:r>
          </w:p>
        </w:tc>
      </w:tr>
      <w:tr>
        <w:trPr>
          <w:cantSplit/>
        </w:trPr>
        <w:tc>
          <w:tcPr>
            <w:tcW w:w="3300" w:type="dxa"/>
            <w:shd w:val="clear" w:color="auto" w:fill="EDF2F9"/>
            <w:tcMar>
              <w:top w:w="60" w:type="dxa"/>
              <w:left w:w="100" w:type="dxa"/>
              <w:bottom w:w="60" w:type="dxa"/>
              <w:right w:w="100" w:type="dxa"/>
            </w:tcMar>
          </w:tcPr>
          <w:p>
            <w:pPr>
              <w:spacing w:after="0"/>
            </w:pPr>
            <w:r>
              <w:rPr>
                <w:rFonts w:ascii="Arial" w:hAnsi="Arial" w:cs="Arial"/>
                <w:b/>
                <w:sz w:val="18"/>
                <w:szCs w:val="18"/>
              </w:rPr>
              <w:t xml:space="preserve">Complete attendance per quarter (no leaves used)</w:t>
            </w:r>
          </w:p>
        </w:tc>
        <w:tc>
          <w:tcPr>
            <w:tcW w:w="2700" w:type="dxa"/>
            <w:shd w:val="clear" w:color="auto" w:fill="EDF2F9"/>
            <w:tcMar>
              <w:top w:w="60" w:type="dxa"/>
              <w:left w:w="100" w:type="dxa"/>
              <w:bottom w:w="60" w:type="dxa"/>
              <w:right w:w="100" w:type="dxa"/>
            </w:tcMar>
          </w:tcPr>
          <w:p>
            <w:pPr>
              <w:spacing w:after="0"/>
            </w:pPr>
            <w:r>
              <w:rPr>
                <w:rFonts w:ascii="Arial" w:hAnsi="Arial" w:cs="Arial"/>
                <w:sz w:val="18"/>
                <w:szCs w:val="18"/>
              </w:rPr>
              <w:t xml:space="preserve">Consistent performance per month</w:t>
            </w:r>
          </w:p>
        </w:tc>
        <w:tc>
          <w:tcPr>
            <w:tcW w:w="3360" w:type="dxa"/>
            <w:shd w:val="clear" w:color="auto" w:fill="EDF2F9"/>
            <w:tcMar>
              <w:top w:w="60" w:type="dxa"/>
              <w:left w:w="100" w:type="dxa"/>
              <w:bottom w:w="60" w:type="dxa"/>
              <w:right w:w="100" w:type="dxa"/>
            </w:tcMar>
          </w:tcPr>
          <w:p>
            <w:pPr>
              <w:spacing w:after="0"/>
            </w:pPr>
            <w:r>
              <w:rPr>
                <w:rFonts w:ascii="Arial" w:hAnsi="Arial" w:cs="Arial"/>
                <w:sz w:val="18"/>
                <w:szCs w:val="18"/>
              </w:rPr>
              <w:t xml:space="preserve">Commitment to role; productivity; team availability</w:t>
            </w:r>
          </w:p>
        </w:tc>
      </w:tr>
      <w:tr>
        <w:trPr>
          <w:cantSplit/>
        </w:trPr>
        <w:tc>
          <w:tcPr>
            <w:tcW w:w="3300" w:type="dxa"/>
            <w:shd w:val="clear" w:color="auto" w:fill="FFFFFF"/>
            <w:tcMar>
              <w:top w:w="60" w:type="dxa"/>
              <w:left w:w="100" w:type="dxa"/>
              <w:bottom w:w="60" w:type="dxa"/>
              <w:right w:w="100" w:type="dxa"/>
            </w:tcMar>
          </w:tcPr>
          <w:p>
            <w:pPr>
              <w:spacing w:after="0"/>
            </w:pPr>
            <w:r>
              <w:rPr>
                <w:rFonts w:ascii="Arial" w:hAnsi="Arial" w:cs="Arial"/>
                <w:b/>
                <w:sz w:val="18"/>
                <w:szCs w:val="18"/>
              </w:rPr>
              <w:t xml:space="preserve">Tardiness</w:t>
            </w:r>
          </w:p>
        </w:tc>
        <w:tc>
          <w:tcPr>
            <w:tcW w:w="2700" w:type="dxa"/>
            <w:shd w:val="clear" w:color="auto" w:fill="FFFFFF"/>
            <w:tcMar>
              <w:top w:w="60" w:type="dxa"/>
              <w:left w:w="100" w:type="dxa"/>
              <w:bottom w:w="60" w:type="dxa"/>
              <w:right w:w="100" w:type="dxa"/>
            </w:tcMar>
          </w:tcPr>
          <w:p>
            <w:pPr>
              <w:spacing w:after="0"/>
            </w:pPr>
            <w:r>
              <w:rPr>
                <w:rFonts w:ascii="Arial" w:hAnsi="Arial" w:cs="Arial"/>
                <w:sz w:val="18"/>
                <w:szCs w:val="18"/>
              </w:rPr>
              <w:t xml:space="preserve">Zero tardiness per month</w:t>
            </w:r>
          </w:p>
        </w:tc>
        <w:tc>
          <w:tcPr>
            <w:tcW w:w="3360" w:type="dxa"/>
            <w:shd w:val="clear" w:color="auto" w:fill="FFFFFF"/>
            <w:tcMar>
              <w:top w:w="60" w:type="dxa"/>
              <w:left w:w="100" w:type="dxa"/>
              <w:bottom w:w="60" w:type="dxa"/>
              <w:right w:w="100" w:type="dxa"/>
            </w:tcMar>
          </w:tcPr>
          <w:p>
            <w:pPr>
              <w:spacing w:after="0"/>
            </w:pPr>
            <w:r>
              <w:rPr>
                <w:rFonts w:ascii="Arial" w:hAnsi="Arial" w:cs="Arial"/>
                <w:sz w:val="18"/>
                <w:szCs w:val="18"/>
              </w:rPr>
              <w:t xml:space="preserve">No operational support disruptions</w:t>
            </w:r>
          </w:p>
        </w:tc>
      </w:tr>
      <w:tr>
        <w:trPr>
          <w:cantSplit/>
        </w:trPr>
        <w:tc>
          <w:tcPr>
            <w:tcW w:w="3300" w:type="dxa"/>
            <w:shd w:val="clear" w:color="auto" w:fill="EDF2F9"/>
            <w:tcMar>
              <w:top w:w="60" w:type="dxa"/>
              <w:left w:w="100" w:type="dxa"/>
              <w:bottom w:w="60" w:type="dxa"/>
              <w:right w:w="100" w:type="dxa"/>
            </w:tcMar>
          </w:tcPr>
          <w:p>
            <w:pPr>
              <w:spacing w:after="0"/>
            </w:pPr>
            <w:r>
              <w:rPr>
                <w:rFonts w:ascii="Arial" w:hAnsi="Arial" w:cs="Arial"/>
                <w:b/>
                <w:sz w:val="18"/>
                <w:szCs w:val="18"/>
              </w:rPr>
              <w:t xml:space="preserve">Report automation (full or semi-automated)</w:t>
            </w:r>
          </w:p>
        </w:tc>
        <w:tc>
          <w:tcPr>
            <w:tcW w:w="2700" w:type="dxa"/>
            <w:shd w:val="clear" w:color="auto" w:fill="EDF2F9"/>
            <w:tcMar>
              <w:top w:w="60" w:type="dxa"/>
              <w:left w:w="100" w:type="dxa"/>
              <w:bottom w:w="60" w:type="dxa"/>
              <w:right w:w="100" w:type="dxa"/>
            </w:tcMar>
          </w:tcPr>
          <w:p>
            <w:pPr>
              <w:spacing w:after="0"/>
            </w:pPr>
            <w:r>
              <w:rPr>
                <w:rFonts w:ascii="Arial" w:hAnsi="Arial" w:cs="Arial"/>
                <w:sz w:val="18"/>
                <w:szCs w:val="18"/>
              </w:rPr>
              <w:t xml:space="preserve">Deployment of the automation</w:t>
            </w:r>
          </w:p>
        </w:tc>
        <w:tc>
          <w:tcPr>
            <w:tcW w:w="3360" w:type="dxa"/>
            <w:shd w:val="clear" w:color="auto" w:fill="EDF2F9"/>
            <w:tcMar>
              <w:top w:w="60" w:type="dxa"/>
              <w:left w:w="100" w:type="dxa"/>
              <w:bottom w:w="60" w:type="dxa"/>
              <w:right w:w="100" w:type="dxa"/>
            </w:tcMar>
          </w:tcPr>
          <w:p>
            <w:pPr>
              <w:spacing w:after="0"/>
            </w:pPr>
            <w:r>
              <w:rPr>
                <w:rFonts w:ascii="Arial" w:hAnsi="Arial" w:cs="Arial"/>
                <w:sz w:val="18"/>
                <w:szCs w:val="18"/>
              </w:rPr>
              <w:t xml:space="preserve">Less time and effort in manual data collection and reporting</w:t>
            </w:r>
          </w:p>
        </w:tc>
      </w:tr>
      <w:tr>
        <w:trPr>
          <w:cantSplit/>
        </w:trPr>
        <w:tc>
          <w:tcPr>
            <w:tcW w:w="3300" w:type="dxa"/>
            <w:shd w:val="clear" w:color="auto" w:fill="FFFFFF"/>
            <w:tcMar>
              <w:top w:w="60" w:type="dxa"/>
              <w:left w:w="100" w:type="dxa"/>
              <w:bottom w:w="60" w:type="dxa"/>
              <w:right w:w="100" w:type="dxa"/>
            </w:tcMar>
          </w:tcPr>
          <w:p>
            <w:pPr>
              <w:spacing w:after="0"/>
            </w:pPr>
            <w:r>
              <w:rPr>
                <w:rFonts w:ascii="Arial" w:hAnsi="Arial" w:cs="Arial"/>
                <w:b/>
                <w:sz w:val="18"/>
                <w:szCs w:val="18"/>
              </w:rPr>
              <w:t xml:space="preserve">First Pass Yield for Peer-to-Peer QA or Pre-QA</w:t>
            </w:r>
          </w:p>
        </w:tc>
        <w:tc>
          <w:tcPr>
            <w:tcW w:w="2700" w:type="dxa"/>
            <w:shd w:val="clear" w:color="auto" w:fill="FFFFFF"/>
            <w:tcMar>
              <w:top w:w="60" w:type="dxa"/>
              <w:left w:w="100" w:type="dxa"/>
              <w:bottom w:w="60" w:type="dxa"/>
              <w:right w:w="100" w:type="dxa"/>
            </w:tcMar>
          </w:tcPr>
          <w:p>
            <w:pPr>
              <w:spacing w:after="0"/>
            </w:pPr>
            <w:r>
              <w:rPr>
                <w:rFonts w:ascii="Arial" w:hAnsi="Arial" w:cs="Arial"/>
                <w:sz w:val="18"/>
                <w:szCs w:val="18"/>
              </w:rPr>
              <w:t xml:space="preserve">Zero defects per month</w:t>
            </w:r>
          </w:p>
        </w:tc>
        <w:tc>
          <w:tcPr>
            <w:tcW w:w="3360" w:type="dxa"/>
            <w:shd w:val="clear" w:color="auto" w:fill="FFFFFF"/>
            <w:tcMar>
              <w:top w:w="60" w:type="dxa"/>
              <w:left w:w="100" w:type="dxa"/>
              <w:bottom w:w="60" w:type="dxa"/>
              <w:right w:w="100" w:type="dxa"/>
            </w:tcMar>
          </w:tcPr>
          <w:p>
            <w:pPr>
              <w:spacing w:after="0"/>
            </w:pPr>
            <w:r>
              <w:rPr>
                <w:rFonts w:ascii="Arial" w:hAnsi="Arial" w:cs="Arial"/>
                <w:sz w:val="18"/>
                <w:szCs w:val="18"/>
              </w:rPr>
              <w:t xml:space="preserve">Removes rework from internal causes before Corporate QA</w:t>
            </w:r>
          </w:p>
        </w:tc>
      </w:tr>
      <w:tr>
        <w:trPr>
          <w:cantSplit/>
        </w:trPr>
        <w:tc>
          <w:tcPr>
            <w:tcW w:w="3300" w:type="dxa"/>
            <w:shd w:val="clear" w:color="auto" w:fill="EDF2F9"/>
            <w:tcMar>
              <w:top w:w="60" w:type="dxa"/>
              <w:left w:w="100" w:type="dxa"/>
              <w:bottom w:w="60" w:type="dxa"/>
              <w:right w:w="100" w:type="dxa"/>
            </w:tcMar>
          </w:tcPr>
          <w:p>
            <w:pPr>
              <w:spacing w:after="0"/>
            </w:pPr>
            <w:r>
              <w:rPr>
                <w:rFonts w:ascii="Arial" w:hAnsi="Arial" w:cs="Arial"/>
                <w:b/>
                <w:sz w:val="18"/>
                <w:szCs w:val="18"/>
              </w:rPr>
              <w:t xml:space="preserve">Obtain HO information</w:t>
            </w:r>
          </w:p>
        </w:tc>
        <w:tc>
          <w:tcPr>
            <w:tcW w:w="2700" w:type="dxa"/>
            <w:shd w:val="clear" w:color="auto" w:fill="EDF2F9"/>
            <w:tcMar>
              <w:top w:w="60" w:type="dxa"/>
              <w:left w:w="100" w:type="dxa"/>
              <w:bottom w:w="60" w:type="dxa"/>
              <w:right w:w="100" w:type="dxa"/>
            </w:tcMar>
          </w:tcPr>
          <w:p>
            <w:pPr>
              <w:spacing w:after="0"/>
            </w:pPr>
            <w:r>
              <w:rPr>
                <w:rFonts w:ascii="Arial" w:hAnsi="Arial" w:cs="Arial"/>
                <w:sz w:val="18"/>
                <w:szCs w:val="18"/>
              </w:rPr>
              <w:t xml:space="preserve">Zero defects per month</w:t>
            </w:r>
          </w:p>
        </w:tc>
        <w:tc>
          <w:tcPr>
            <w:tcW w:w="3360" w:type="dxa"/>
            <w:shd w:val="clear" w:color="auto" w:fill="EDF2F9"/>
            <w:tcMar>
              <w:top w:w="60" w:type="dxa"/>
              <w:left w:w="100" w:type="dxa"/>
              <w:bottom w:w="60" w:type="dxa"/>
              <w:right w:w="100" w:type="dxa"/>
            </w:tcMar>
          </w:tcPr>
          <w:p>
            <w:pPr>
              <w:spacing w:after="0"/>
            </w:pPr>
            <w:r>
              <w:rPr>
                <w:rFonts w:ascii="Arial" w:hAnsi="Arial" w:cs="Arial"/>
                <w:sz w:val="18"/>
                <w:szCs w:val="18"/>
              </w:rPr>
              <w:t xml:space="preserve">Mitigates potential PTO application delay</w:t>
            </w:r>
          </w:p>
        </w:tc>
      </w:tr>
      <w:tr>
        <w:trPr>
          <w:cantSplit/>
        </w:trPr>
        <w:tc>
          <w:tcPr>
            <w:tcW w:w="3300" w:type="dxa"/>
            <w:shd w:val="clear" w:color="auto" w:fill="FFFFFF"/>
            <w:tcMar>
              <w:top w:w="60" w:type="dxa"/>
              <w:left w:w="100" w:type="dxa"/>
              <w:bottom w:w="60" w:type="dxa"/>
              <w:right w:w="100" w:type="dxa"/>
            </w:tcMar>
          </w:tcPr>
          <w:p>
            <w:pPr>
              <w:spacing w:after="0"/>
            </w:pPr>
            <w:r>
              <w:rPr>
                <w:rFonts w:ascii="Arial" w:hAnsi="Arial" w:cs="Arial"/>
                <w:b/>
                <w:sz w:val="18"/>
                <w:szCs w:val="18"/>
              </w:rPr>
              <w:t xml:space="preserve">SLA adherence rate</w:t>
            </w:r>
          </w:p>
        </w:tc>
        <w:tc>
          <w:tcPr>
            <w:tcW w:w="2700" w:type="dxa"/>
            <w:shd w:val="clear" w:color="auto" w:fill="FFFFFF"/>
            <w:tcMar>
              <w:top w:w="60" w:type="dxa"/>
              <w:left w:w="100" w:type="dxa"/>
              <w:bottom w:w="60" w:type="dxa"/>
              <w:right w:w="100" w:type="dxa"/>
            </w:tcMar>
          </w:tcPr>
          <w:p>
            <w:pPr>
              <w:spacing w:after="0"/>
            </w:pPr>
            <w:r>
              <w:rPr>
                <w:rFonts w:ascii="Arial" w:hAnsi="Arial" w:cs="Arial"/>
                <w:sz w:val="18"/>
                <w:szCs w:val="18"/>
              </w:rPr>
              <w:t xml:space="preserve">98% attainment per month</w:t>
            </w:r>
          </w:p>
        </w:tc>
        <w:tc>
          <w:tcPr>
            <w:tcW w:w="3360" w:type="dxa"/>
            <w:shd w:val="clear" w:color="auto" w:fill="FFFFFF"/>
            <w:tcMar>
              <w:top w:w="60" w:type="dxa"/>
              <w:left w:w="100" w:type="dxa"/>
              <w:bottom w:w="60" w:type="dxa"/>
              <w:right w:w="100" w:type="dxa"/>
            </w:tcMar>
          </w:tcPr>
          <w:p>
            <w:pPr>
              <w:spacing w:after="0"/>
            </w:pPr>
            <w:r>
              <w:rPr>
                <w:rFonts w:ascii="Arial" w:hAnsi="Arial" w:cs="Arial"/>
                <w:sz w:val="18"/>
                <w:szCs w:val="18"/>
              </w:rPr>
              <w:t xml:space="preserve">Service level commitment</w:t>
            </w:r>
          </w:p>
        </w:tc>
      </w:tr>
      <w:tr>
        <w:trPr>
          <w:cantSplit/>
        </w:trPr>
        <w:tc>
          <w:tcPr>
            <w:tcW w:w="3300" w:type="dxa"/>
            <w:shd w:val="clear" w:color="auto" w:fill="EDF2F9"/>
            <w:tcMar>
              <w:top w:w="60" w:type="dxa"/>
              <w:left w:w="100" w:type="dxa"/>
              <w:bottom w:w="60" w:type="dxa"/>
              <w:right w:w="100" w:type="dxa"/>
            </w:tcMar>
          </w:tcPr>
          <w:p>
            <w:pPr>
              <w:spacing w:after="0"/>
            </w:pPr>
            <w:r>
              <w:rPr>
                <w:rFonts w:ascii="Arial" w:hAnsi="Arial" w:cs="Arial"/>
                <w:b/>
                <w:sz w:val="18"/>
                <w:szCs w:val="18"/>
              </w:rPr>
              <w:t xml:space="preserve">Deployment of process improvement initiatives</w:t>
            </w:r>
          </w:p>
        </w:tc>
        <w:tc>
          <w:tcPr>
            <w:tcW w:w="2700" w:type="dxa"/>
            <w:shd w:val="clear" w:color="auto" w:fill="EDF2F9"/>
            <w:tcMar>
              <w:top w:w="60" w:type="dxa"/>
              <w:left w:w="100" w:type="dxa"/>
              <w:bottom w:w="60" w:type="dxa"/>
              <w:right w:w="100" w:type="dxa"/>
            </w:tcMar>
          </w:tcPr>
          <w:p>
            <w:pPr>
              <w:spacing w:after="0"/>
            </w:pPr>
            <w:r>
              <w:rPr>
                <w:rFonts w:ascii="Arial" w:hAnsi="Arial" w:cs="Arial"/>
                <w:sz w:val="18"/>
                <w:szCs w:val="18"/>
              </w:rPr>
              <w:t xml:space="preserve">Baseline (e.g., dependency count) vs attainment</w:t>
            </w:r>
          </w:p>
        </w:tc>
        <w:tc>
          <w:tcPr>
            <w:tcW w:w="3360" w:type="dxa"/>
            <w:shd w:val="clear" w:color="auto" w:fill="EDF2F9"/>
            <w:tcMar>
              <w:top w:w="60" w:type="dxa"/>
              <w:left w:w="100" w:type="dxa"/>
              <w:bottom w:w="60" w:type="dxa"/>
              <w:right w:w="100" w:type="dxa"/>
            </w:tcMar>
          </w:tcPr>
          <w:p>
            <w:pPr>
              <w:spacing w:after="0"/>
            </w:pPr>
            <w:r>
              <w:rPr>
                <w:rFonts w:ascii="Arial" w:hAnsi="Arial" w:cs="Arial"/>
                <w:sz w:val="18"/>
                <w:szCs w:val="18"/>
              </w:rPr>
              <w:t xml:space="preserve">Continuous improvement</w:t>
            </w:r>
          </w:p>
        </w:tc>
      </w:tr>
      <w:tr>
        <w:trPr>
          <w:cantSplit/>
        </w:trPr>
        <w:tc>
          <w:tcPr>
            <w:tcW w:w="3300" w:type="dxa"/>
            <w:shd w:val="clear" w:color="auto" w:fill="FFFFFF"/>
            <w:tcMar>
              <w:top w:w="60" w:type="dxa"/>
              <w:left w:w="100" w:type="dxa"/>
              <w:bottom w:w="60" w:type="dxa"/>
              <w:right w:w="100" w:type="dxa"/>
            </w:tcMar>
          </w:tcPr>
          <w:p>
            <w:pPr>
              <w:spacing w:after="0"/>
            </w:pPr>
            <w:r>
              <w:rPr>
                <w:rFonts w:ascii="Arial" w:hAnsi="Arial" w:cs="Arial"/>
                <w:b/>
                <w:sz w:val="18"/>
                <w:szCs w:val="18"/>
              </w:rPr>
              <w:t xml:space="preserve">Processing time (takt time) reduction</w:t>
            </w:r>
          </w:p>
        </w:tc>
        <w:tc>
          <w:tcPr>
            <w:tcW w:w="2700" w:type="dxa"/>
            <w:shd w:val="clear" w:color="auto" w:fill="FFFFFF"/>
            <w:tcMar>
              <w:top w:w="60" w:type="dxa"/>
              <w:left w:w="100" w:type="dxa"/>
              <w:bottom w:w="60" w:type="dxa"/>
              <w:right w:w="100" w:type="dxa"/>
            </w:tcMar>
          </w:tcPr>
          <w:p>
            <w:pPr>
              <w:spacing w:after="0"/>
            </w:pPr>
            <w:r>
              <w:rPr>
                <w:rFonts w:ascii="Arial" w:hAnsi="Arial" w:cs="Arial"/>
                <w:sz w:val="18"/>
                <w:szCs w:val="18"/>
              </w:rPr>
              <w:t xml:space="preserve">Baseline vs attainment</w:t>
            </w:r>
          </w:p>
        </w:tc>
        <w:tc>
          <w:tcPr>
            <w:tcW w:w="3360" w:type="dxa"/>
            <w:shd w:val="clear" w:color="auto" w:fill="FFFFFF"/>
            <w:tcMar>
              <w:top w:w="60" w:type="dxa"/>
              <w:left w:w="100" w:type="dxa"/>
              <w:bottom w:w="60" w:type="dxa"/>
              <w:right w:w="100" w:type="dxa"/>
            </w:tcMar>
          </w:tcPr>
          <w:p>
            <w:pPr>
              <w:spacing w:after="0"/>
            </w:pPr>
            <w:r>
              <w:rPr>
                <w:rFonts w:ascii="Arial" w:hAnsi="Arial" w:cs="Arial"/>
                <w:sz w:val="18"/>
                <w:szCs w:val="18"/>
              </w:rPr>
              <w:t xml:space="preserve">—</w:t>
            </w:r>
          </w:p>
        </w:tc>
      </w:tr>
      <w:tr>
        <w:trPr>
          <w:cantSplit/>
        </w:trPr>
        <w:tc>
          <w:tcPr>
            <w:tcW w:w="3300" w:type="dxa"/>
            <w:shd w:val="clear" w:color="auto" w:fill="EDF2F9"/>
            <w:tcMar>
              <w:top w:w="60" w:type="dxa"/>
              <w:left w:w="100" w:type="dxa"/>
              <w:bottom w:w="60" w:type="dxa"/>
              <w:right w:w="100" w:type="dxa"/>
            </w:tcMar>
          </w:tcPr>
          <w:p>
            <w:pPr>
              <w:spacing w:after="0"/>
            </w:pPr>
            <w:r>
              <w:rPr>
                <w:rFonts w:ascii="Arial" w:hAnsi="Arial" w:cs="Arial"/>
                <w:b/>
                <w:sz w:val="18"/>
                <w:szCs w:val="18"/>
              </w:rPr>
              <w:t xml:space="preserve">Improve Average Handling Time (AHT)</w:t>
            </w:r>
          </w:p>
        </w:tc>
        <w:tc>
          <w:tcPr>
            <w:tcW w:w="2700" w:type="dxa"/>
            <w:shd w:val="clear" w:color="auto" w:fill="EDF2F9"/>
            <w:tcMar>
              <w:top w:w="60" w:type="dxa"/>
              <w:left w:w="100" w:type="dxa"/>
              <w:bottom w:w="60" w:type="dxa"/>
              <w:right w:w="100" w:type="dxa"/>
            </w:tcMar>
          </w:tcPr>
          <w:p>
            <w:pPr>
              <w:spacing w:after="0"/>
            </w:pPr>
            <w:r>
              <w:rPr>
                <w:rFonts w:ascii="Arial" w:hAnsi="Arial" w:cs="Arial"/>
                <w:sz w:val="18"/>
                <w:szCs w:val="18"/>
              </w:rPr>
              <w:t xml:space="preserve">Reduction from individual benchmark</w:t>
            </w:r>
          </w:p>
        </w:tc>
        <w:tc>
          <w:tcPr>
            <w:tcW w:w="3360" w:type="dxa"/>
            <w:shd w:val="clear" w:color="auto" w:fill="EDF2F9"/>
            <w:tcMar>
              <w:top w:w="60" w:type="dxa"/>
              <w:left w:w="100" w:type="dxa"/>
              <w:bottom w:w="60" w:type="dxa"/>
              <w:right w:w="100" w:type="dxa"/>
            </w:tcMar>
          </w:tcPr>
          <w:p>
            <w:pPr>
              <w:spacing w:after="0"/>
            </w:pPr>
            <w:r>
              <w:rPr>
                <w:rFonts w:ascii="Arial" w:hAnsi="Arial" w:cs="Arial"/>
                <w:sz w:val="18"/>
                <w:szCs w:val="18"/>
              </w:rPr>
              <w:t xml:space="preserve">More calls covered</w:t>
            </w:r>
          </w:p>
        </w:tc>
      </w:tr>
      <w:tr>
        <w:trPr>
          <w:cantSplit/>
        </w:trPr>
        <w:tc>
          <w:tcPr>
            <w:tcW w:w="3300" w:type="dxa"/>
            <w:shd w:val="clear" w:color="auto" w:fill="FFFFFF"/>
            <w:tcMar>
              <w:top w:w="60" w:type="dxa"/>
              <w:left w:w="100" w:type="dxa"/>
              <w:bottom w:w="60" w:type="dxa"/>
              <w:right w:w="100" w:type="dxa"/>
            </w:tcMar>
          </w:tcPr>
          <w:p>
            <w:pPr>
              <w:spacing w:after="0"/>
            </w:pPr>
            <w:r>
              <w:rPr>
                <w:rFonts w:ascii="Arial" w:hAnsi="Arial" w:cs="Arial"/>
                <w:b/>
                <w:sz w:val="18"/>
                <w:szCs w:val="18"/>
              </w:rPr>
              <w:t xml:space="preserve">Improve First Call Resolution rate</w:t>
            </w:r>
          </w:p>
        </w:tc>
        <w:tc>
          <w:tcPr>
            <w:tcW w:w="2700" w:type="dxa"/>
            <w:shd w:val="clear" w:color="auto" w:fill="FFFFFF"/>
            <w:tcMar>
              <w:top w:w="60" w:type="dxa"/>
              <w:left w:w="100" w:type="dxa"/>
              <w:bottom w:w="60" w:type="dxa"/>
              <w:right w:w="100" w:type="dxa"/>
            </w:tcMar>
          </w:tcPr>
          <w:p>
            <w:pPr>
              <w:spacing w:after="0"/>
            </w:pPr>
            <w:r>
              <w:rPr>
                <w:rFonts w:ascii="Arial" w:hAnsi="Arial" w:cs="Arial"/>
                <w:sz w:val="18"/>
                <w:szCs w:val="18"/>
              </w:rPr>
              <w:t xml:space="preserve">Improvement from individual benchmark</w:t>
            </w:r>
          </w:p>
        </w:tc>
        <w:tc>
          <w:tcPr>
            <w:tcW w:w="3360" w:type="dxa"/>
            <w:shd w:val="clear" w:color="auto" w:fill="FFFFFF"/>
            <w:tcMar>
              <w:top w:w="60" w:type="dxa"/>
              <w:left w:w="100" w:type="dxa"/>
              <w:bottom w:w="60" w:type="dxa"/>
              <w:right w:w="100" w:type="dxa"/>
            </w:tcMar>
          </w:tcPr>
          <w:p>
            <w:pPr>
              <w:spacing w:after="0"/>
            </w:pPr>
            <w:r>
              <w:rPr>
                <w:rFonts w:ascii="Arial" w:hAnsi="Arial" w:cs="Arial"/>
                <w:sz w:val="18"/>
                <w:szCs w:val="18"/>
              </w:rPr>
              <w:t xml:space="preserve">Customer satisfaction</w:t>
            </w:r>
          </w:p>
        </w:tc>
      </w:tr>
      <w:tr>
        <w:trPr>
          <w:cantSplit/>
        </w:trPr>
        <w:tc>
          <w:tcPr>
            <w:tcW w:w="3300" w:type="dxa"/>
            <w:shd w:val="clear" w:color="auto" w:fill="EDF2F9"/>
            <w:tcMar>
              <w:top w:w="60" w:type="dxa"/>
              <w:left w:w="100" w:type="dxa"/>
              <w:bottom w:w="60" w:type="dxa"/>
              <w:right w:w="100" w:type="dxa"/>
            </w:tcMar>
          </w:tcPr>
          <w:p>
            <w:pPr>
              <w:spacing w:after="0"/>
            </w:pPr>
            <w:r>
              <w:rPr>
                <w:rFonts w:ascii="Arial" w:hAnsi="Arial" w:cs="Arial"/>
                <w:b/>
                <w:sz w:val="18"/>
                <w:szCs w:val="18"/>
              </w:rPr>
              <w:t xml:space="preserve">Training &amp; certification programs</w:t>
            </w:r>
          </w:p>
        </w:tc>
        <w:tc>
          <w:tcPr>
            <w:tcW w:w="2700" w:type="dxa"/>
            <w:shd w:val="clear" w:color="auto" w:fill="EDF2F9"/>
            <w:tcMar>
              <w:top w:w="60" w:type="dxa"/>
              <w:left w:w="100" w:type="dxa"/>
              <w:bottom w:w="60" w:type="dxa"/>
              <w:right w:w="100" w:type="dxa"/>
            </w:tcMar>
          </w:tcPr>
          <w:p>
            <w:pPr>
              <w:spacing w:after="0"/>
            </w:pPr>
            <w:r>
              <w:rPr>
                <w:rFonts w:ascii="Arial" w:hAnsi="Arial" w:cs="Arial"/>
                <w:sz w:val="18"/>
                <w:szCs w:val="18"/>
              </w:rPr>
              <w:t xml:space="preserve">Administer and complete training programs</w:t>
            </w:r>
          </w:p>
        </w:tc>
        <w:tc>
          <w:tcPr>
            <w:tcW w:w="3360" w:type="dxa"/>
            <w:shd w:val="clear" w:color="auto" w:fill="EDF2F9"/>
            <w:tcMar>
              <w:top w:w="60" w:type="dxa"/>
              <w:left w:w="100" w:type="dxa"/>
              <w:bottom w:w="60" w:type="dxa"/>
              <w:right w:w="100" w:type="dxa"/>
            </w:tcMar>
          </w:tcPr>
          <w:p>
            <w:pPr>
              <w:spacing w:after="0"/>
            </w:pPr>
            <w:r>
              <w:rPr>
                <w:rFonts w:ascii="Arial" w:hAnsi="Arial" w:cs="Arial"/>
                <w:sz w:val="18"/>
                <w:szCs w:val="18"/>
              </w:rPr>
              <w:t xml:space="preserve">Skill and performance improvement</w:t>
            </w:r>
          </w:p>
        </w:tc>
      </w:tr>
      <w:tr>
        <w:trPr>
          <w:cantSplit/>
        </w:trPr>
        <w:tc>
          <w:tcPr>
            <w:tcW w:w="3300" w:type="dxa"/>
            <w:shd w:val="clear" w:color="auto" w:fill="FFFFFF"/>
            <w:tcMar>
              <w:top w:w="60" w:type="dxa"/>
              <w:left w:w="100" w:type="dxa"/>
              <w:bottom w:w="60" w:type="dxa"/>
              <w:right w:w="100" w:type="dxa"/>
            </w:tcMar>
          </w:tcPr>
          <w:p>
            <w:pPr>
              <w:spacing w:after="0"/>
            </w:pPr>
            <w:r>
              <w:rPr>
                <w:rFonts w:ascii="Arial" w:hAnsi="Arial" w:cs="Arial"/>
                <w:b/>
                <w:sz w:val="18"/>
                <w:szCs w:val="18"/>
              </w:rPr>
              <w:t xml:space="preserve">Process specifications update</w:t>
            </w:r>
          </w:p>
        </w:tc>
        <w:tc>
          <w:tcPr>
            <w:tcW w:w="2700" w:type="dxa"/>
            <w:shd w:val="clear" w:color="auto" w:fill="FFFFFF"/>
            <w:tcMar>
              <w:top w:w="60" w:type="dxa"/>
              <w:left w:w="100" w:type="dxa"/>
              <w:bottom w:w="60" w:type="dxa"/>
              <w:right w:w="100" w:type="dxa"/>
            </w:tcMar>
          </w:tcPr>
          <w:p>
            <w:pPr>
              <w:spacing w:after="0"/>
            </w:pPr>
            <w:r>
              <w:rPr>
                <w:rFonts w:ascii="Arial" w:hAnsi="Arial" w:cs="Arial"/>
                <w:sz w:val="18"/>
                <w:szCs w:val="18"/>
              </w:rPr>
              <w:t xml:space="preserve">No delayed sunset reviews</w:t>
            </w:r>
          </w:p>
        </w:tc>
        <w:tc>
          <w:tcPr>
            <w:tcW w:w="3360" w:type="dxa"/>
            <w:shd w:val="clear" w:color="auto" w:fill="FFFFFF"/>
            <w:tcMar>
              <w:top w:w="60" w:type="dxa"/>
              <w:left w:w="100" w:type="dxa"/>
              <w:bottom w:w="60" w:type="dxa"/>
              <w:right w:w="100" w:type="dxa"/>
            </w:tcMar>
          </w:tcPr>
          <w:p>
            <w:pPr>
              <w:spacing w:after="0"/>
            </w:pPr>
            <w:r>
              <w:rPr>
                <w:rFonts w:ascii="Arial" w:hAnsi="Arial" w:cs="Arial"/>
                <w:sz w:val="18"/>
                <w:szCs w:val="18"/>
              </w:rPr>
              <w:t xml:space="preserve">Up-to-date process documentation</w:t>
            </w:r>
          </w:p>
        </w:tc>
      </w:tr>
      <w:tr>
        <w:trPr>
          <w:cantSplit/>
        </w:trPr>
        <w:tc>
          <w:tcPr>
            <w:tcW w:w="3300" w:type="dxa"/>
            <w:shd w:val="clear" w:color="auto" w:fill="EDF2F9"/>
            <w:tcMar>
              <w:top w:w="60" w:type="dxa"/>
              <w:left w:w="100" w:type="dxa"/>
              <w:bottom w:w="60" w:type="dxa"/>
              <w:right w:w="100" w:type="dxa"/>
            </w:tcMar>
          </w:tcPr>
          <w:p>
            <w:pPr>
              <w:spacing w:after="0"/>
            </w:pPr>
            <w:r>
              <w:rPr>
                <w:rFonts w:ascii="Arial" w:hAnsi="Arial" w:cs="Arial"/>
                <w:b/>
                <w:sz w:val="18"/>
                <w:szCs w:val="18"/>
              </w:rPr>
              <w:t xml:space="preserve">Goal system utilization</w:t>
            </w:r>
          </w:p>
        </w:tc>
        <w:tc>
          <w:tcPr>
            <w:tcW w:w="2700" w:type="dxa"/>
            <w:shd w:val="clear" w:color="auto" w:fill="EDF2F9"/>
            <w:tcMar>
              <w:top w:w="60" w:type="dxa"/>
              <w:left w:w="100" w:type="dxa"/>
              <w:bottom w:w="60" w:type="dxa"/>
              <w:right w:w="100" w:type="dxa"/>
            </w:tcMar>
          </w:tcPr>
          <w:p>
            <w:pPr>
              <w:spacing w:after="0"/>
            </w:pPr>
            <w:r>
              <w:rPr>
                <w:rFonts w:ascii="Arial" w:hAnsi="Arial" w:cs="Arial"/>
                <w:sz w:val="18"/>
                <w:szCs w:val="18"/>
              </w:rPr>
              <w:t xml:space="preserve">Zero delinquent goals</w:t>
            </w:r>
          </w:p>
        </w:tc>
        <w:tc>
          <w:tcPr>
            <w:tcW w:w="3360" w:type="dxa"/>
            <w:shd w:val="clear" w:color="auto" w:fill="EDF2F9"/>
            <w:tcMar>
              <w:top w:w="60" w:type="dxa"/>
              <w:left w:w="100" w:type="dxa"/>
              <w:bottom w:w="60" w:type="dxa"/>
              <w:right w:w="100" w:type="dxa"/>
            </w:tcMar>
          </w:tcPr>
          <w:p>
            <w:pPr>
              <w:spacing w:after="0"/>
            </w:pPr>
            <w:r>
              <w:rPr>
                <w:rFonts w:ascii="Arial" w:hAnsi="Arial" w:cs="Arial"/>
                <w:sz w:val="18"/>
                <w:szCs w:val="18"/>
              </w:rPr>
              <w:t xml:space="preserve">Clear direction</w:t>
            </w:r>
          </w:p>
        </w:tc>
      </w:tr>
      <w:tr>
        <w:trPr>
          <w:cantSplit/>
        </w:trPr>
        <w:tc>
          <w:tcPr>
            <w:tcW w:w="3300" w:type="dxa"/>
            <w:shd w:val="clear" w:color="auto" w:fill="FFFFFF"/>
            <w:tcMar>
              <w:top w:w="60" w:type="dxa"/>
              <w:left w:w="100" w:type="dxa"/>
              <w:bottom w:w="60" w:type="dxa"/>
              <w:right w:w="100" w:type="dxa"/>
            </w:tcMar>
          </w:tcPr>
          <w:p>
            <w:pPr>
              <w:spacing w:after="0"/>
            </w:pPr>
            <w:r>
              <w:rPr>
                <w:rFonts w:ascii="Arial" w:hAnsi="Arial" w:cs="Arial"/>
                <w:b/>
                <w:sz w:val="18"/>
                <w:szCs w:val="18"/>
              </w:rPr>
              <w:t xml:space="preserve">Utilization rate</w:t>
            </w:r>
          </w:p>
        </w:tc>
        <w:tc>
          <w:tcPr>
            <w:tcW w:w="2700" w:type="dxa"/>
            <w:shd w:val="clear" w:color="auto" w:fill="FFFFFF"/>
            <w:tcMar>
              <w:top w:w="60" w:type="dxa"/>
              <w:left w:w="100" w:type="dxa"/>
              <w:bottom w:w="60" w:type="dxa"/>
              <w:right w:w="100" w:type="dxa"/>
            </w:tcMar>
          </w:tcPr>
          <w:p>
            <w:pPr>
              <w:spacing w:after="0"/>
            </w:pPr>
            <w:r>
              <w:rPr>
                <w:rFonts w:ascii="Arial" w:hAnsi="Arial" w:cs="Arial"/>
                <w:sz w:val="18"/>
                <w:szCs w:val="18"/>
              </w:rPr>
              <w:t xml:space="preserve">Target productive hours vs actual hours</w:t>
            </w:r>
          </w:p>
        </w:tc>
        <w:tc>
          <w:tcPr>
            <w:tcW w:w="3360" w:type="dxa"/>
            <w:shd w:val="clear" w:color="auto" w:fill="FFFFFF"/>
            <w:tcMar>
              <w:top w:w="60" w:type="dxa"/>
              <w:left w:w="100" w:type="dxa"/>
              <w:bottom w:w="60" w:type="dxa"/>
              <w:right w:w="100" w:type="dxa"/>
            </w:tcMar>
          </w:tcPr>
          <w:p>
            <w:pPr>
              <w:spacing w:after="0"/>
            </w:pPr>
            <w:r>
              <w:rPr>
                <w:rFonts w:ascii="Arial" w:hAnsi="Arial" w:cs="Arial"/>
                <w:sz w:val="18"/>
                <w:szCs w:val="18"/>
              </w:rPr>
              <w:t xml:space="preserve">Direct measure of efficiency</w:t>
            </w:r>
          </w:p>
        </w:tc>
      </w:tr>
    </w:tbl>
    <w:p>
      <w:pPr>
        <w:spacing w:after="60"/>
      </w:pPr>
    </w:p>
    <w:tbl>
      <w:tblPr>
        <w:tblW w:w="9360" w:type="dxa"/>
        <w:tblBorders>
          <w:top w:val="single" w:sz="4" w:space="0" w:color="BBCCE0"/>
          <w:left w:val="single" w:sz="4" w:space="0" w:color="BBCCE0"/>
          <w:bottom w:val="single" w:sz="4" w:space="0" w:color="BBCCE0"/>
          <w:right w:val="single" w:sz="4" w:space="0" w:color="BBCCE0"/>
          <w:insideH w:val="single" w:sz="4" w:space="0" w:color="BBCCE0"/>
          <w:insideV w:val="single" w:sz="4" w:space="0" w:color="BBCCE0"/>
        </w:tblBorders>
        <w:tblLayout w:type="fixed"/>
        <w:tblLook w:val="0000"/>
      </w:tblPr>
      <w:tblGrid>
        <w:gridCol w:w="3300"/>
        <w:gridCol w:w="2700"/>
        <w:gridCol w:w="3360"/>
      </w:tblGrid>
      <w:tr>
        <w:trPr>
          <w:tblHeader/>
          <w:cantSplit/>
        </w:trPr>
        <w:tc>
          <w:tcPr>
            <w:tcW w:w="3300" w:type="dxa"/>
            <w:shd w:val="clear" w:color="auto" w:fill="1B3A6B"/>
            <w:tcMar>
              <w:top w:w="60" w:type="dxa"/>
              <w:left w:w="100" w:type="dxa"/>
              <w:bottom w:w="60" w:type="dxa"/>
              <w:right w:w="100" w:type="dxa"/>
            </w:tcMar>
          </w:tcPr>
          <w:p>
            <w:pPr>
              <w:spacing w:after="0"/>
            </w:pPr>
            <w:r>
              <w:rPr>
                <w:rFonts w:ascii="Arial" w:hAnsi="Arial" w:cs="Arial"/>
                <w:b/>
                <w:sz w:val="17"/>
                <w:szCs w:val="17"/>
                <w:color w:val="FFFFFF"/>
              </w:rPr>
              <w:t xml:space="preserve">Delivery Criteria</w:t>
            </w:r>
          </w:p>
        </w:tc>
        <w:tc>
          <w:tcPr>
            <w:tcW w:w="2700" w:type="dxa"/>
            <w:shd w:val="clear" w:color="auto" w:fill="1B3A6B"/>
            <w:tcMar>
              <w:top w:w="60" w:type="dxa"/>
              <w:left w:w="100" w:type="dxa"/>
              <w:bottom w:w="60" w:type="dxa"/>
              <w:right w:w="100" w:type="dxa"/>
            </w:tcMar>
          </w:tcPr>
          <w:p>
            <w:pPr>
              <w:spacing w:after="0"/>
            </w:pPr>
            <w:r>
              <w:rPr>
                <w:rFonts w:ascii="Arial" w:hAnsi="Arial" w:cs="Arial"/>
                <w:b/>
                <w:sz w:val="17"/>
                <w:szCs w:val="17"/>
                <w:color w:val="FFFFFF"/>
              </w:rPr>
              <w:t xml:space="preserve">Measure</w:t>
            </w:r>
          </w:p>
        </w:tc>
        <w:tc>
          <w:tcPr>
            <w:tcW w:w="3360" w:type="dxa"/>
            <w:shd w:val="clear" w:color="auto" w:fill="1B3A6B"/>
            <w:tcMar>
              <w:top w:w="60" w:type="dxa"/>
              <w:left w:w="100" w:type="dxa"/>
              <w:bottom w:w="60" w:type="dxa"/>
              <w:right w:w="100" w:type="dxa"/>
            </w:tcMar>
          </w:tcPr>
          <w:p>
            <w:pPr>
              <w:spacing w:after="0"/>
            </w:pPr>
            <w:r>
              <w:rPr>
                <w:rFonts w:ascii="Arial" w:hAnsi="Arial" w:cs="Arial"/>
                <w:b/>
                <w:sz w:val="17"/>
                <w:szCs w:val="17"/>
                <w:color w:val="FFFFFF"/>
              </w:rPr>
              <w:t xml:space="preserve">Value Proposition</w:t>
            </w:r>
          </w:p>
        </w:tc>
      </w:tr>
      <w:tr>
        <w:trPr>
          <w:cantSplit/>
        </w:trPr>
        <w:tc>
          <w:tcPr>
            <w:tcW w:w="3300" w:type="dxa"/>
            <w:shd w:val="clear" w:color="auto" w:fill="EDF2F9"/>
            <w:tcMar>
              <w:top w:w="60" w:type="dxa"/>
              <w:left w:w="100" w:type="dxa"/>
              <w:bottom w:w="60" w:type="dxa"/>
              <w:right w:w="100" w:type="dxa"/>
            </w:tcMar>
          </w:tcPr>
          <w:p>
            <w:pPr>
              <w:spacing w:after="0"/>
            </w:pPr>
            <w:r>
              <w:rPr>
                <w:rFonts w:ascii="Arial" w:hAnsi="Arial" w:cs="Arial"/>
                <w:b/>
                <w:sz w:val="18"/>
                <w:szCs w:val="18"/>
              </w:rPr>
              <w:t xml:space="preserve">Cycle time reduction — document processing, reviews, submissions; customer inquiries; IT issue resolution; case closure</w:t>
            </w:r>
          </w:p>
        </w:tc>
        <w:tc>
          <w:tcPr>
            <w:tcW w:w="2700" w:type="dxa"/>
            <w:shd w:val="clear" w:color="auto" w:fill="EDF2F9"/>
            <w:tcMar>
              <w:top w:w="60" w:type="dxa"/>
              <w:left w:w="100" w:type="dxa"/>
              <w:bottom w:w="60" w:type="dxa"/>
              <w:right w:w="100" w:type="dxa"/>
            </w:tcMar>
          </w:tcPr>
          <w:p>
            <w:pPr>
              <w:spacing w:after="0"/>
            </w:pPr>
            <w:r>
              <w:rPr>
                <w:rFonts w:ascii="Arial" w:hAnsi="Arial" w:cs="Arial"/>
                <w:sz w:val="18"/>
                <w:szCs w:val="18"/>
              </w:rPr>
              <w:t xml:space="preserve">Baseline (P90) vs attainment</w:t>
            </w:r>
          </w:p>
        </w:tc>
        <w:tc>
          <w:tcPr>
            <w:tcW w:w="3360" w:type="dxa"/>
            <w:shd w:val="clear" w:color="auto" w:fill="EDF2F9"/>
            <w:tcMar>
              <w:top w:w="60" w:type="dxa"/>
              <w:left w:w="100" w:type="dxa"/>
              <w:bottom w:w="60" w:type="dxa"/>
              <w:right w:w="100" w:type="dxa"/>
            </w:tcMar>
          </w:tcPr>
          <w:p>
            <w:pPr>
              <w:spacing w:after="0"/>
            </w:pPr>
            <w:r>
              <w:rPr>
                <w:rFonts w:ascii="Arial" w:hAnsi="Arial" w:cs="Arial"/>
                <w:sz w:val="18"/>
                <w:szCs w:val="18"/>
              </w:rPr>
              <w:t xml:space="preserve">Productivity; faster resolution and service delivery</w:t>
            </w:r>
          </w:p>
        </w:tc>
      </w:tr>
      <w:tr>
        <w:trPr>
          <w:cantSplit/>
        </w:trPr>
        <w:tc>
          <w:tcPr>
            <w:tcW w:w="3300" w:type="dxa"/>
            <w:shd w:val="clear" w:color="auto" w:fill="FFFFFF"/>
            <w:tcMar>
              <w:top w:w="60" w:type="dxa"/>
              <w:left w:w="100" w:type="dxa"/>
              <w:bottom w:w="60" w:type="dxa"/>
              <w:right w:w="100" w:type="dxa"/>
            </w:tcMar>
          </w:tcPr>
          <w:p>
            <w:pPr>
              <w:spacing w:after="0"/>
            </w:pPr>
            <w:r>
              <w:rPr>
                <w:rFonts w:ascii="Arial" w:hAnsi="Arial" w:cs="Arial"/>
                <w:b/>
                <w:sz w:val="18"/>
                <w:szCs w:val="18"/>
              </w:rPr>
              <w:t xml:space="preserve">Backlog aging reduction</w:t>
            </w:r>
          </w:p>
        </w:tc>
        <w:tc>
          <w:tcPr>
            <w:tcW w:w="2700" w:type="dxa"/>
            <w:shd w:val="clear" w:color="auto" w:fill="FFFFFF"/>
            <w:tcMar>
              <w:top w:w="60" w:type="dxa"/>
              <w:left w:w="100" w:type="dxa"/>
              <w:bottom w:w="60" w:type="dxa"/>
              <w:right w:w="100" w:type="dxa"/>
            </w:tcMar>
          </w:tcPr>
          <w:p>
            <w:pPr>
              <w:spacing w:after="0"/>
            </w:pPr>
            <w:r>
              <w:rPr>
                <w:rFonts w:ascii="Arial" w:hAnsi="Arial" w:cs="Arial"/>
                <w:sz w:val="18"/>
                <w:szCs w:val="18"/>
              </w:rPr>
              <w:t xml:space="preserve">Baseline (P90) vs attainment</w:t>
            </w:r>
          </w:p>
        </w:tc>
        <w:tc>
          <w:tcPr>
            <w:tcW w:w="3360" w:type="dxa"/>
            <w:shd w:val="clear" w:color="auto" w:fill="FFFFFF"/>
            <w:tcMar>
              <w:top w:w="60" w:type="dxa"/>
              <w:left w:w="100" w:type="dxa"/>
              <w:bottom w:w="60" w:type="dxa"/>
              <w:right w:w="100" w:type="dxa"/>
            </w:tcMar>
          </w:tcPr>
          <w:p>
            <w:pPr>
              <w:spacing w:after="0"/>
            </w:pPr>
            <w:r>
              <w:rPr>
                <w:rFonts w:ascii="Arial" w:hAnsi="Arial" w:cs="Arial"/>
                <w:sz w:val="18"/>
                <w:szCs w:val="18"/>
              </w:rPr>
              <w:t xml:space="preserve">Prioritization; mitigation of potential clawbacks</w:t>
            </w:r>
          </w:p>
        </w:tc>
      </w:tr>
      <w:tr>
        <w:trPr>
          <w:cantSplit/>
        </w:trPr>
        <w:tc>
          <w:tcPr>
            <w:tcW w:w="3300" w:type="dxa"/>
            <w:shd w:val="clear" w:color="auto" w:fill="EDF2F9"/>
            <w:tcMar>
              <w:top w:w="60" w:type="dxa"/>
              <w:left w:w="100" w:type="dxa"/>
              <w:bottom w:w="60" w:type="dxa"/>
              <w:right w:w="100" w:type="dxa"/>
            </w:tcMar>
          </w:tcPr>
          <w:p>
            <w:pPr>
              <w:spacing w:after="0"/>
            </w:pPr>
            <w:r>
              <w:rPr>
                <w:rFonts w:ascii="Arial" w:hAnsi="Arial" w:cs="Arial"/>
                <w:b/>
                <w:sz w:val="18"/>
                <w:szCs w:val="18"/>
              </w:rPr>
              <w:t xml:space="preserve">Resubmittal cycle time</w:t>
            </w:r>
          </w:p>
        </w:tc>
        <w:tc>
          <w:tcPr>
            <w:tcW w:w="2700" w:type="dxa"/>
            <w:shd w:val="clear" w:color="auto" w:fill="EDF2F9"/>
            <w:tcMar>
              <w:top w:w="60" w:type="dxa"/>
              <w:left w:w="100" w:type="dxa"/>
              <w:bottom w:w="60" w:type="dxa"/>
              <w:right w:w="100" w:type="dxa"/>
            </w:tcMar>
          </w:tcPr>
          <w:p>
            <w:pPr>
              <w:spacing w:after="0"/>
            </w:pPr>
            <w:r>
              <w:rPr>
                <w:rFonts w:ascii="Arial" w:hAnsi="Arial" w:cs="Arial"/>
                <w:sz w:val="18"/>
                <w:szCs w:val="18"/>
              </w:rPr>
              <w:t xml:space="preserve">Not yet defined</w:t>
            </w:r>
          </w:p>
        </w:tc>
        <w:tc>
          <w:tcPr>
            <w:tcW w:w="3360" w:type="dxa"/>
            <w:shd w:val="clear" w:color="auto" w:fill="EDF2F9"/>
            <w:tcMar>
              <w:top w:w="60" w:type="dxa"/>
              <w:left w:w="100" w:type="dxa"/>
              <w:bottom w:w="60" w:type="dxa"/>
              <w:right w:w="100" w:type="dxa"/>
            </w:tcMar>
          </w:tcPr>
          <w:p>
            <w:pPr>
              <w:spacing w:after="0"/>
            </w:pPr>
            <w:r>
              <w:rPr>
                <w:rFonts w:ascii="Arial" w:hAnsi="Arial" w:cs="Arial"/>
                <w:sz w:val="18"/>
                <w:szCs w:val="18"/>
              </w:rPr>
              <w:t xml:space="preserve">—</w:t>
            </w:r>
          </w:p>
        </w:tc>
      </w:tr>
      <w:tr>
        <w:trPr>
          <w:cantSplit/>
        </w:trPr>
        <w:tc>
          <w:tcPr>
            <w:tcW w:w="3300" w:type="dxa"/>
            <w:shd w:val="clear" w:color="auto" w:fill="FFFFFF"/>
            <w:tcMar>
              <w:top w:w="60" w:type="dxa"/>
              <w:left w:w="100" w:type="dxa"/>
              <w:bottom w:w="60" w:type="dxa"/>
              <w:right w:w="100" w:type="dxa"/>
            </w:tcMar>
          </w:tcPr>
          <w:p>
            <w:pPr>
              <w:spacing w:after="0"/>
            </w:pPr>
            <w:r>
              <w:rPr>
                <w:rFonts w:ascii="Arial" w:hAnsi="Arial" w:cs="Arial"/>
                <w:b/>
                <w:sz w:val="18"/>
                <w:szCs w:val="18"/>
              </w:rPr>
              <w:t xml:space="preserve">Utility PTO issuance vs expected PTO release date</w:t>
            </w:r>
          </w:p>
        </w:tc>
        <w:tc>
          <w:tcPr>
            <w:tcW w:w="2700" w:type="dxa"/>
            <w:shd w:val="clear" w:color="auto" w:fill="FFFFFF"/>
            <w:tcMar>
              <w:top w:w="60" w:type="dxa"/>
              <w:left w:w="100" w:type="dxa"/>
              <w:bottom w:w="60" w:type="dxa"/>
              <w:right w:w="100" w:type="dxa"/>
            </w:tcMar>
          </w:tcPr>
          <w:p>
            <w:pPr>
              <w:spacing w:after="0"/>
            </w:pPr>
            <w:r>
              <w:rPr>
                <w:rFonts w:ascii="Arial" w:hAnsi="Arial" w:cs="Arial"/>
                <w:sz w:val="18"/>
                <w:szCs w:val="18"/>
              </w:rPr>
              <w:t xml:space="preserve">Not yet defined</w:t>
            </w:r>
          </w:p>
        </w:tc>
        <w:tc>
          <w:tcPr>
            <w:tcW w:w="3360" w:type="dxa"/>
            <w:shd w:val="clear" w:color="auto" w:fill="FFFFFF"/>
            <w:tcMar>
              <w:top w:w="60" w:type="dxa"/>
              <w:left w:w="100" w:type="dxa"/>
              <w:bottom w:w="60" w:type="dxa"/>
              <w:right w:w="100" w:type="dxa"/>
            </w:tcMar>
          </w:tcPr>
          <w:p>
            <w:pPr>
              <w:spacing w:after="0"/>
            </w:pPr>
            <w:r>
              <w:rPr>
                <w:rFonts w:ascii="Arial" w:hAnsi="Arial" w:cs="Arial"/>
                <w:sz w:val="18"/>
                <w:szCs w:val="18"/>
              </w:rPr>
              <w:t xml:space="preserve">—</w:t>
            </w:r>
          </w:p>
        </w:tc>
      </w:tr>
      <w:tr>
        <w:trPr>
          <w:cantSplit/>
        </w:trPr>
        <w:tc>
          <w:tcPr>
            <w:tcW w:w="3300" w:type="dxa"/>
            <w:shd w:val="clear" w:color="auto" w:fill="EDF2F9"/>
            <w:tcMar>
              <w:top w:w="60" w:type="dxa"/>
              <w:left w:w="100" w:type="dxa"/>
              <w:bottom w:w="60" w:type="dxa"/>
              <w:right w:w="100" w:type="dxa"/>
            </w:tcMar>
          </w:tcPr>
          <w:p>
            <w:pPr>
              <w:spacing w:after="0"/>
            </w:pPr>
            <w:r>
              <w:rPr>
                <w:rFonts w:ascii="Arial" w:hAnsi="Arial" w:cs="Arial"/>
                <w:b/>
                <w:sz w:val="18"/>
                <w:szCs w:val="18"/>
              </w:rPr>
              <w:t xml:space="preserve">Reduction cases — cycle time</w:t>
            </w:r>
          </w:p>
        </w:tc>
        <w:tc>
          <w:tcPr>
            <w:tcW w:w="2700" w:type="dxa"/>
            <w:shd w:val="clear" w:color="auto" w:fill="EDF2F9"/>
            <w:tcMar>
              <w:top w:w="60" w:type="dxa"/>
              <w:left w:w="100" w:type="dxa"/>
              <w:bottom w:w="60" w:type="dxa"/>
              <w:right w:w="100" w:type="dxa"/>
            </w:tcMar>
          </w:tcPr>
          <w:p>
            <w:pPr>
              <w:spacing w:after="0"/>
            </w:pPr>
            <w:r>
              <w:rPr>
                <w:rFonts w:ascii="Arial" w:hAnsi="Arial" w:cs="Arial"/>
                <w:sz w:val="18"/>
                <w:szCs w:val="18"/>
              </w:rPr>
              <w:t xml:space="preserve">Not yet defined</w:t>
            </w:r>
          </w:p>
        </w:tc>
        <w:tc>
          <w:tcPr>
            <w:tcW w:w="3360" w:type="dxa"/>
            <w:shd w:val="clear" w:color="auto" w:fill="EDF2F9"/>
            <w:tcMar>
              <w:top w:w="60" w:type="dxa"/>
              <w:left w:w="100" w:type="dxa"/>
              <w:bottom w:w="60" w:type="dxa"/>
              <w:right w:w="100" w:type="dxa"/>
            </w:tcMar>
          </w:tcPr>
          <w:p>
            <w:pPr>
              <w:spacing w:after="0"/>
            </w:pPr>
            <w:r>
              <w:rPr>
                <w:rFonts w:ascii="Arial" w:hAnsi="Arial" w:cs="Arial"/>
                <w:sz w:val="18"/>
                <w:szCs w:val="18"/>
              </w:rPr>
              <w:t xml:space="preserve">—</w:t>
            </w:r>
          </w:p>
        </w:tc>
      </w:tr>
    </w:tbl>
    <w:p>
      <w:pPr>
        <w:spacing w:after="60"/>
      </w:pPr>
    </w:p>
    <w:p>
      <w:pPr>
        <w:keepNext/>
        <w:spacing w:before="240" w:after="80"/>
      </w:pPr>
      <w:r>
        <w:rPr>
          <w:rFonts w:ascii="Arial" w:hAnsi="Arial" w:cs="Arial"/>
          <w:b/>
          <w:color w:val="1B3A6B"/>
        </w:rPr>
        <w:t>Appendix B — Customer Satisfaction Scoring (source: JPC-227A)</w:t>
      </w:r>
    </w:p>
    <w:tbl>
      <w:tblPr>
        <w:tblW w:w="9360" w:type="dxa"/>
        <w:tblBorders>
          <w:top w:val="single" w:sz="4" w:space="0" w:color="BBCCE0"/>
          <w:left w:val="single" w:sz="4" w:space="0" w:color="BBCCE0"/>
          <w:bottom w:val="single" w:sz="4" w:space="0" w:color="BBCCE0"/>
          <w:right w:val="single" w:sz="4" w:space="0" w:color="BBCCE0"/>
          <w:insideH w:val="single" w:sz="4" w:space="0" w:color="BBCCE0"/>
          <w:insideV w:val="single" w:sz="4" w:space="0" w:color="BBCCE0"/>
        </w:tblBorders>
        <w:tblLayout w:type="fixed"/>
        <w:tblLook w:val="0000"/>
      </w:tblPr>
      <w:tblGrid>
        <w:gridCol w:w="6360"/>
        <w:gridCol w:w="3000"/>
      </w:tblGrid>
      <w:tr>
        <w:trPr>
          <w:tblHeader/>
          <w:cantSplit/>
        </w:trPr>
        <w:tc>
          <w:tcPr>
            <w:tcW w:w="6360" w:type="dxa"/>
            <w:shd w:val="clear" w:color="auto" w:fill="1B3A6B"/>
            <w:tcMar>
              <w:top w:w="60" w:type="dxa"/>
              <w:left w:w="100" w:type="dxa"/>
              <w:bottom w:w="60" w:type="dxa"/>
              <w:right w:w="100" w:type="dxa"/>
            </w:tcMar>
          </w:tcPr>
          <w:p>
            <w:pPr>
              <w:spacing w:after="0"/>
            </w:pPr>
            <w:r>
              <w:rPr>
                <w:rFonts w:ascii="Arial" w:hAnsi="Arial" w:cs="Arial"/>
                <w:b/>
                <w:sz w:val="17"/>
                <w:szCs w:val="17"/>
                <w:color w:val="FFFFFF"/>
              </w:rPr>
              <w:t xml:space="preserve">Category</w:t>
            </w:r>
          </w:p>
        </w:tc>
        <w:tc>
          <w:tcPr>
            <w:tcW w:w="3000" w:type="dxa"/>
            <w:shd w:val="clear" w:color="auto" w:fill="1B3A6B"/>
            <w:tcMar>
              <w:top w:w="60" w:type="dxa"/>
              <w:left w:w="100" w:type="dxa"/>
              <w:bottom w:w="60" w:type="dxa"/>
              <w:right w:w="100" w:type="dxa"/>
            </w:tcMar>
          </w:tcPr>
          <w:p>
            <w:pPr>
              <w:jc w:val="center"/>
              <w:spacing w:after="0"/>
            </w:pPr>
            <w:r>
              <w:rPr>
                <w:rFonts w:ascii="Arial" w:hAnsi="Arial" w:cs="Arial"/>
                <w:b/>
                <w:sz w:val="17"/>
                <w:szCs w:val="17"/>
                <w:color w:val="FFFFFF"/>
              </w:rPr>
              <w:t xml:space="preserve">Weight</w:t>
            </w:r>
          </w:p>
        </w:tc>
      </w:tr>
      <w:tr>
        <w:trPr>
          <w:cantSplit/>
        </w:trPr>
        <w:tc>
          <w:tcPr>
            <w:tcW w:w="6360" w:type="dxa"/>
            <w:shd w:val="clear" w:color="auto" w:fill="EDF2F9"/>
            <w:tcMar>
              <w:top w:w="60" w:type="dxa"/>
              <w:left w:w="100" w:type="dxa"/>
              <w:bottom w:w="60" w:type="dxa"/>
              <w:right w:w="100" w:type="dxa"/>
            </w:tcMar>
          </w:tcPr>
          <w:p>
            <w:pPr>
              <w:spacing w:after="0"/>
            </w:pPr>
            <w:r>
              <w:rPr>
                <w:rFonts w:ascii="Arial" w:hAnsi="Arial" w:cs="Arial"/>
                <w:b/>
                <w:sz w:val="18"/>
                <w:szCs w:val="18"/>
              </w:rPr>
              <w:t xml:space="preserve">CSAT (minimum 10 completed surveys where volume permits)</w:t>
            </w:r>
          </w:p>
        </w:tc>
        <w:tc>
          <w:tcPr>
            <w:tcW w:w="3000" w:type="dxa"/>
            <w:shd w:val="clear" w:color="auto" w:fill="EDF2F9"/>
            <w:tcMar>
              <w:top w:w="60" w:type="dxa"/>
              <w:left w:w="100" w:type="dxa"/>
              <w:bottom w:w="60" w:type="dxa"/>
              <w:right w:w="100" w:type="dxa"/>
            </w:tcMar>
          </w:tcPr>
          <w:p>
            <w:pPr>
              <w:jc w:val="center"/>
              <w:spacing w:after="0"/>
            </w:pPr>
            <w:r>
              <w:rPr>
                <w:rFonts w:ascii="Arial" w:hAnsi="Arial" w:cs="Arial"/>
                <w:sz w:val="18"/>
                <w:szCs w:val="18"/>
              </w:rPr>
              <w:t xml:space="preserve">40%</w:t>
            </w:r>
          </w:p>
        </w:tc>
      </w:tr>
      <w:tr>
        <w:trPr>
          <w:cantSplit/>
        </w:trPr>
        <w:tc>
          <w:tcPr>
            <w:tcW w:w="6360" w:type="dxa"/>
            <w:shd w:val="clear" w:color="auto" w:fill="FFFFFF"/>
            <w:tcMar>
              <w:top w:w="60" w:type="dxa"/>
              <w:left w:w="100" w:type="dxa"/>
              <w:bottom w:w="60" w:type="dxa"/>
              <w:right w:w="100" w:type="dxa"/>
            </w:tcMar>
          </w:tcPr>
          <w:p>
            <w:pPr>
              <w:spacing w:after="0"/>
            </w:pPr>
            <w:r>
              <w:rPr>
                <w:rFonts w:ascii="Arial" w:hAnsi="Arial" w:cs="Arial"/>
                <w:b/>
                <w:sz w:val="18"/>
                <w:szCs w:val="18"/>
              </w:rPr>
              <w:t xml:space="preserve">Customer Feedback / Commendations</w:t>
            </w:r>
          </w:p>
        </w:tc>
        <w:tc>
          <w:tcPr>
            <w:tcW w:w="3000" w:type="dxa"/>
            <w:shd w:val="clear" w:color="auto" w:fill="FFFFFF"/>
            <w:tcMar>
              <w:top w:w="60" w:type="dxa"/>
              <w:left w:w="100" w:type="dxa"/>
              <w:bottom w:w="60" w:type="dxa"/>
              <w:right w:w="100" w:type="dxa"/>
            </w:tcMar>
          </w:tcPr>
          <w:p>
            <w:pPr>
              <w:jc w:val="center"/>
              <w:spacing w:after="0"/>
            </w:pPr>
            <w:r>
              <w:rPr>
                <w:rFonts w:ascii="Arial" w:hAnsi="Arial" w:cs="Arial"/>
                <w:sz w:val="18"/>
                <w:szCs w:val="18"/>
              </w:rPr>
              <w:t xml:space="preserve">25%</w:t>
            </w:r>
          </w:p>
        </w:tc>
      </w:tr>
      <w:tr>
        <w:trPr>
          <w:cantSplit/>
        </w:trPr>
        <w:tc>
          <w:tcPr>
            <w:tcW w:w="6360" w:type="dxa"/>
            <w:shd w:val="clear" w:color="auto" w:fill="EDF2F9"/>
            <w:tcMar>
              <w:top w:w="60" w:type="dxa"/>
              <w:left w:w="100" w:type="dxa"/>
              <w:bottom w:w="60" w:type="dxa"/>
              <w:right w:w="100" w:type="dxa"/>
            </w:tcMar>
          </w:tcPr>
          <w:p>
            <w:pPr>
              <w:spacing w:after="0"/>
            </w:pPr>
            <w:r>
              <w:rPr>
                <w:rFonts w:ascii="Arial" w:hAnsi="Arial" w:cs="Arial"/>
                <w:b/>
                <w:sz w:val="18"/>
                <w:szCs w:val="18"/>
              </w:rPr>
              <w:t xml:space="preserve">Quality / Process Adherence</w:t>
            </w:r>
          </w:p>
        </w:tc>
        <w:tc>
          <w:tcPr>
            <w:tcW w:w="3000" w:type="dxa"/>
            <w:shd w:val="clear" w:color="auto" w:fill="EDF2F9"/>
            <w:tcMar>
              <w:top w:w="60" w:type="dxa"/>
              <w:left w:w="100" w:type="dxa"/>
              <w:bottom w:w="60" w:type="dxa"/>
              <w:right w:w="100" w:type="dxa"/>
            </w:tcMar>
          </w:tcPr>
          <w:p>
            <w:pPr>
              <w:jc w:val="center"/>
              <w:spacing w:after="0"/>
            </w:pPr>
            <w:r>
              <w:rPr>
                <w:rFonts w:ascii="Arial" w:hAnsi="Arial" w:cs="Arial"/>
                <w:sz w:val="18"/>
                <w:szCs w:val="18"/>
              </w:rPr>
              <w:t xml:space="preserve">20%</w:t>
            </w:r>
          </w:p>
        </w:tc>
      </w:tr>
      <w:tr>
        <w:trPr>
          <w:cantSplit/>
        </w:trPr>
        <w:tc>
          <w:tcPr>
            <w:tcW w:w="6360" w:type="dxa"/>
            <w:shd w:val="clear" w:color="auto" w:fill="FFFFFF"/>
            <w:tcMar>
              <w:top w:w="60" w:type="dxa"/>
              <w:left w:w="100" w:type="dxa"/>
              <w:bottom w:w="60" w:type="dxa"/>
              <w:right w:w="100" w:type="dxa"/>
            </w:tcMar>
          </w:tcPr>
          <w:p>
            <w:pPr>
              <w:spacing w:after="0"/>
            </w:pPr>
            <w:r>
              <w:rPr>
                <w:rFonts w:ascii="Arial" w:hAnsi="Arial" w:cs="Arial"/>
                <w:b/>
                <w:sz w:val="18"/>
                <w:szCs w:val="18"/>
              </w:rPr>
              <w:t xml:space="preserve">Ownership &amp; Resolution</w:t>
            </w:r>
          </w:p>
        </w:tc>
        <w:tc>
          <w:tcPr>
            <w:tcW w:w="3000" w:type="dxa"/>
            <w:shd w:val="clear" w:color="auto" w:fill="FFFFFF"/>
            <w:tcMar>
              <w:top w:w="60" w:type="dxa"/>
              <w:left w:w="100" w:type="dxa"/>
              <w:bottom w:w="60" w:type="dxa"/>
              <w:right w:w="100" w:type="dxa"/>
            </w:tcMar>
          </w:tcPr>
          <w:p>
            <w:pPr>
              <w:jc w:val="center"/>
              <w:spacing w:after="0"/>
            </w:pPr>
            <w:r>
              <w:rPr>
                <w:rFonts w:ascii="Arial" w:hAnsi="Arial" w:cs="Arial"/>
                <w:sz w:val="18"/>
                <w:szCs w:val="18"/>
              </w:rPr>
              <w:t xml:space="preserve">10%</w:t>
            </w:r>
          </w:p>
        </w:tc>
      </w:tr>
      <w:tr>
        <w:trPr>
          <w:cantSplit/>
        </w:trPr>
        <w:tc>
          <w:tcPr>
            <w:tcW w:w="6360" w:type="dxa"/>
            <w:shd w:val="clear" w:color="auto" w:fill="EDF2F9"/>
            <w:tcMar>
              <w:top w:w="60" w:type="dxa"/>
              <w:left w:w="100" w:type="dxa"/>
              <w:bottom w:w="60" w:type="dxa"/>
              <w:right w:w="100" w:type="dxa"/>
            </w:tcMar>
          </w:tcPr>
          <w:p>
            <w:pPr>
              <w:spacing w:after="0"/>
            </w:pPr>
            <w:r>
              <w:rPr>
                <w:rFonts w:ascii="Arial" w:hAnsi="Arial" w:cs="Arial"/>
                <w:b/>
                <w:sz w:val="18"/>
                <w:szCs w:val="18"/>
              </w:rPr>
              <w:t xml:space="preserve">Customer Experience / Team Contribution</w:t>
            </w:r>
          </w:p>
        </w:tc>
        <w:tc>
          <w:tcPr>
            <w:tcW w:w="3000" w:type="dxa"/>
            <w:shd w:val="clear" w:color="auto" w:fill="EDF2F9"/>
            <w:tcMar>
              <w:top w:w="60" w:type="dxa"/>
              <w:left w:w="100" w:type="dxa"/>
              <w:bottom w:w="60" w:type="dxa"/>
              <w:right w:w="100" w:type="dxa"/>
            </w:tcMar>
          </w:tcPr>
          <w:p>
            <w:pPr>
              <w:jc w:val="center"/>
              <w:spacing w:after="0"/>
            </w:pPr>
            <w:r>
              <w:rPr>
                <w:rFonts w:ascii="Arial" w:hAnsi="Arial" w:cs="Arial"/>
                <w:sz w:val="18"/>
                <w:szCs w:val="18"/>
              </w:rPr>
              <w:t xml:space="preserve">5%</w:t>
            </w:r>
          </w:p>
        </w:tc>
      </w:tr>
      <w:tr>
        <w:trPr>
          <w:cantSplit/>
        </w:trPr>
        <w:tc>
          <w:tcPr>
            <w:tcW w:w="6360" w:type="dxa"/>
            <w:shd w:val="clear" w:color="auto" w:fill="FFFFFF"/>
            <w:tcMar>
              <w:top w:w="60" w:type="dxa"/>
              <w:left w:w="100" w:type="dxa"/>
              <w:bottom w:w="60" w:type="dxa"/>
              <w:right w:w="100" w:type="dxa"/>
            </w:tcMar>
          </w:tcPr>
          <w:p>
            <w:pPr>
              <w:spacing w:after="0"/>
            </w:pPr>
            <w:r>
              <w:rPr>
                <w:rFonts w:ascii="Arial" w:hAnsi="Arial" w:cs="Arial"/>
                <w:b/>
                <w:sz w:val="18"/>
                <w:szCs w:val="18"/>
              </w:rPr>
              <w:t xml:space="preserve">Total</w:t>
            </w:r>
          </w:p>
        </w:tc>
        <w:tc>
          <w:tcPr>
            <w:tcW w:w="3000" w:type="dxa"/>
            <w:shd w:val="clear" w:color="auto" w:fill="FFFFFF"/>
            <w:tcMar>
              <w:top w:w="60" w:type="dxa"/>
              <w:left w:w="100" w:type="dxa"/>
              <w:bottom w:w="60" w:type="dxa"/>
              <w:right w:w="100" w:type="dxa"/>
            </w:tcMar>
          </w:tcPr>
          <w:p>
            <w:pPr>
              <w:jc w:val="center"/>
              <w:spacing w:after="0"/>
            </w:pPr>
            <w:r>
              <w:rPr>
                <w:rFonts w:ascii="Arial" w:hAnsi="Arial" w:cs="Arial"/>
                <w:sz w:val="18"/>
                <w:szCs w:val="18"/>
              </w:rPr>
              <w:t xml:space="preserve">100%</w:t>
            </w:r>
          </w:p>
        </w:tc>
      </w:tr>
    </w:tbl>
    <w:p>
      <w:pPr>
        <w:spacing w:after="60"/>
      </w:pPr>
    </w:p>
    <w:p>
      <w:pPr>
        <w:spacing w:before="0" w:after="80"/>
        <w:jc w:val="both"/>
      </w:pPr>
      <w:r>
        <w:rPr>
          <w:rFonts w:ascii="Arial" w:hAnsi="Arial" w:cs="Arial"/>
        </w:rPr>
        <w:t xml:space="preserve">Recognition levels: Customer Experience Recognition; Customer Champion; Customer Experience Excellence; Customer Experience Spotlight. CSAT is not evaluated in isolation; a high score on few surveys does not automatically result in recognition.</w:t>
      </w:r>
    </w:p>
    <w:p>
      <w:pPr>
        <w:spacing w:after="0"/>
      </w:pPr>
    </w:p>
    <w:sectPr w:rsidR="00FC693F" w:rsidRPr="0006063C" w:rsidSect="00034616">
      <w:headerReference w:type="first" r:id="rId9"/>
      <w:footerReference w:type="default" r:id="rId10"/>
      <w:footerReference w:type="first" r:id="rId11"/>
      <w:pgSz w:w="12240" w:h="15840"/>
      <w:pgMar w:top="1440" w:right="1440" w:bottom="1440" w:left="1440" w:header="432" w:footer="288"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rial" w:hAnsi="Arial"/>
        <w:sz w:val="16"/>
      </w:rPr>
      <w:t xml:space="preserve">MTO-MEMO-001A-092926  ·  SunPower Internal  ·  Page </w:t>
    </w:r>
    <w:r>
      <w:rPr>
        <w:rFonts w:ascii="Arial" w:hAnsi="Arial"/>
        <w:sz w:val="16"/>
      </w:rPr>
      <w:fldChar w:fldCharType="begin"/>
    </w:r>
    <w:r>
      <w:rPr>
        <w:rFonts w:ascii="Arial" w:hAnsi="Arial"/>
        <w:sz w:val="16"/>
      </w:rPr>
      <w:instrText xml:space="preserve">PAGE</w:instrText>
    </w:r>
    <w:r>
      <w:rPr>
        <w:rFonts w:ascii="Arial" w:hAnsi="Arial"/>
        <w:sz w:val="16"/>
      </w:rPr>
      <w:fldChar w:fldCharType="end"/>
    </w:r>
    <w:r>
      <w:rPr>
        <w:rFonts w:ascii="Arial" w:hAnsi="Arial"/>
        <w:sz w:val="16"/>
      </w:rPr>
      <w:t xml:space="preserve"> of </w:t>
    </w:r>
    <w:r>
      <w:rPr>
        <w:rFonts w:ascii="Arial" w:hAnsi="Arial"/>
        <w:sz w:val="16"/>
      </w:rPr>
      <w:fldChar w:fldCharType="begin"/>
    </w:r>
    <w:r>
      <w:rPr>
        <w:rFonts w:ascii="Arial" w:hAnsi="Arial"/>
        <w:sz w:val="16"/>
      </w:rPr>
      <w:instrText xml:space="preserve">NUMPAGES</w:instrText>
    </w:r>
    <w:r>
      <w:rPr>
        <w:rFonts w:ascii="Arial" w:hAnsi="Arial"/>
        <w:sz w:val="16"/>
      </w:rPr>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rial" w:hAnsi="Arial"/>
        <w:sz w:val="16"/>
      </w:rPr>
      <w:t xml:space="preserve">MTO-MEMO-001A-092926  ·  SunPower Internal  ·  Page </w:t>
    </w:r>
    <w:r>
      <w:rPr>
        <w:rFonts w:ascii="Arial" w:hAnsi="Arial"/>
        <w:sz w:val="16"/>
      </w:rPr>
      <w:fldChar w:fldCharType="begin"/>
    </w:r>
    <w:r>
      <w:rPr>
        <w:rFonts w:ascii="Arial" w:hAnsi="Arial"/>
        <w:sz w:val="16"/>
      </w:rPr>
      <w:instrText xml:space="preserve">PAGE</w:instrText>
    </w:r>
    <w:r>
      <w:rPr>
        <w:rFonts w:ascii="Arial" w:hAnsi="Arial"/>
        <w:sz w:val="16"/>
      </w:rPr>
      <w:fldChar w:fldCharType="end"/>
    </w:r>
    <w:r>
      <w:rPr>
        <w:rFonts w:ascii="Arial" w:hAnsi="Arial"/>
        <w:sz w:val="16"/>
      </w:rPr>
      <w:t xml:space="preserve"> of </w:t>
    </w:r>
    <w:r>
      <w:rPr>
        <w:rFonts w:ascii="Arial" w:hAnsi="Arial"/>
        <w:sz w:val="16"/>
      </w:rPr>
      <w:fldChar w:fldCharType="begin"/>
    </w:r>
    <w:r>
      <w:rPr>
        <w:rFonts w:ascii="Arial" w:hAnsi="Arial"/>
        <w:sz w:val="16"/>
      </w:rPr>
      <w:instrText xml:space="preserve">NUMPAGES</w:instrText>
    </w:r>
    <w:r>
      <w:rPr>
        <w:rFonts w:ascii="Arial" w:hAnsi="Arial"/>
        <w:sz w:val="16"/>
      </w:rP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Arial" w:hAnsi="Arial"/>
        <w:b/>
        <w:color w:val="1B3A6B"/>
        <w:sz w:val="40"/>
      </w:rPr>
      <w:t>SUNPOWER</w:t>
    </w:r>
  </w:p>
  <w:p>
    <w:r>
      <w:rPr>
        <w:color w:val="595959"/>
        <w:sz w:val="16"/>
      </w:rPr>
      <w:t>SPWR Business Services Inc. · Internal Memorandum</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