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EA2FB">
      <w:pPr>
        <w:spacing w:after="120"/>
        <w:jc w:val="center"/>
      </w:pPr>
      <w:r>
        <w:rPr>
          <w:b/>
          <w:sz w:val="22"/>
        </w:rPr>
        <w:t>論文</w:t>
      </w:r>
      <w:r>
        <w:rPr>
          <w:rFonts w:hint="eastAsia"/>
          <w:b/>
          <w:sz w:val="22"/>
          <w:lang w:eastAsia="ja-JP"/>
        </w:rPr>
        <w:t>の</w:t>
      </w:r>
      <w:r>
        <w:rPr>
          <w:b/>
          <w:sz w:val="22"/>
        </w:rPr>
        <w:t>内容の要旨</w:t>
      </w:r>
    </w:p>
    <w:p w14:paraId="01F18508">
      <w:pPr>
        <w:spacing w:after="0"/>
      </w:pPr>
      <w:r>
        <w:rPr>
          <w:b w:val="0"/>
        </w:rPr>
        <w:t>論文題目　Optimizing Annotation Guideline Refinements for LLM-Based Annotation</w:t>
      </w:r>
    </w:p>
    <w:p w14:paraId="2747903D">
      <w:pPr>
        <w:spacing w:after="120"/>
      </w:pPr>
      <w:r>
        <w:rPr>
          <w:b w:val="0"/>
        </w:rPr>
        <w:t>　　　　　（LLMによるアノテーションに向けたガイドライン改善の最適化）</w:t>
      </w:r>
    </w:p>
    <w:p w14:paraId="0229880C">
      <w:pPr>
        <w:spacing w:after="200"/>
        <w:jc w:val="center"/>
        <w:rPr>
          <w:rFonts w:hint="default" w:eastAsia="ＭＳ 明朝"/>
          <w:lang w:val="en-US" w:eastAsia="ja-JP"/>
        </w:rPr>
      </w:pPr>
      <w:r>
        <w:rPr>
          <w:b w:val="0"/>
        </w:rPr>
        <w:t>氏名　</w:t>
      </w:r>
      <w:r>
        <w:rPr>
          <w:rFonts w:hint="default"/>
          <w:b w:val="0"/>
          <w:lang w:val="en-US"/>
        </w:rPr>
        <w:t>Hengyu Zhou</w:t>
      </w:r>
    </w:p>
    <w:p w14:paraId="0DC0C2C9">
      <w:pPr>
        <w:spacing w:after="40"/>
      </w:pPr>
      <w:r>
        <w:rPr>
          <w:b/>
          <w:sz w:val="20"/>
        </w:rPr>
        <w:t>1. Introduction</w:t>
      </w:r>
    </w:p>
    <w:p w14:paraId="548F04AD">
      <w:pPr>
        <w:spacing w:after="80"/>
        <w:ind w:firstLine="0"/>
        <w:jc w:val="both"/>
      </w:pPr>
      <w:r>
        <w:rPr>
          <w:sz w:val="20"/>
        </w:rPr>
        <w:t>Biomedical text mining depends on annotated corpora, and expert annotation is slow and costly. Large language models can annotate at scale, but only if they are told what counts as an entity. That instruction is carried by the annotation guideline, a human-readable document originally writt</w:t>
      </w:r>
      <w:bookmarkStart w:id="0" w:name="_GoBack"/>
      <w:bookmarkEnd w:id="0"/>
      <w:r>
        <w:rPr>
          <w:sz w:val="20"/>
        </w:rPr>
        <w:t xml:space="preserve">en for human annotators. In this setting the guideline, not the model, is the object being adjusted, which makes the result </w:t>
      </w:r>
      <w:r>
        <w:rPr>
          <w:rFonts w:hint="eastAsia" w:eastAsia="SimSun"/>
          <w:sz w:val="20"/>
          <w:lang w:eastAsia="zh-CN"/>
        </w:rPr>
        <w:t>inspectable</w:t>
      </w:r>
      <w:r>
        <w:rPr>
          <w:sz w:val="20"/>
        </w:rPr>
        <w:t>, reusable, and transferable across models.</w:t>
      </w:r>
    </w:p>
    <w:p w14:paraId="4412A872">
      <w:pPr>
        <w:spacing w:after="80"/>
        <w:ind w:firstLine="0"/>
        <w:jc w:val="both"/>
      </w:pPr>
      <w:r>
        <w:rPr>
          <w:sz w:val="20"/>
        </w:rPr>
        <w:t xml:space="preserve">Iterative guideline moderation automates that adjustment. An LLM annotates a small development set; its output is compared against gold annotations; the discrepancies are </w:t>
      </w:r>
      <w:r>
        <w:rPr>
          <w:rFonts w:hint="eastAsia" w:eastAsia="SimSun"/>
          <w:sz w:val="20"/>
          <w:lang w:eastAsia="zh-CN"/>
        </w:rPr>
        <w:t>analyzed</w:t>
      </w:r>
      <w:r>
        <w:rPr>
          <w:sz w:val="20"/>
        </w:rPr>
        <w:t xml:space="preserve">, explained as recurring patterns, condensed into a moderation principle, and written back into the guideline. The loop repeats until F1 reaches </w:t>
      </w:r>
      <w:r>
        <w:rPr>
          <w:rFonts w:hint="eastAsia" w:eastAsia="SimSun"/>
          <w:sz w:val="20"/>
          <w:lang w:val="en-US" w:eastAsia="zh-CN"/>
        </w:rPr>
        <w:t>threshold</w:t>
      </w:r>
      <w:r>
        <w:rPr>
          <w:sz w:val="20"/>
        </w:rPr>
        <w:t xml:space="preserve"> or a round fails to improve. Across three datasets and three models, development F1 has been reported to rise from about 0.80 to 0.91</w:t>
      </w:r>
      <w:r>
        <w:rPr>
          <w:rFonts w:hint="eastAsia" w:eastAsia="SimSun"/>
          <w:sz w:val="20"/>
          <w:vertAlign w:val="superscript"/>
          <w:lang w:val="en-US" w:eastAsia="zh-CN"/>
        </w:rPr>
        <w:t>[1]</w:t>
      </w:r>
      <w:r>
        <w:rPr>
          <w:sz w:val="20"/>
        </w:rPr>
        <w:t>.</w:t>
      </w:r>
    </w:p>
    <w:p w14:paraId="07EEC1AA">
      <w:pPr>
        <w:spacing w:after="80"/>
        <w:ind w:firstLine="0"/>
        <w:jc w:val="both"/>
      </w:pPr>
      <w:r>
        <w:rPr>
          <w:sz w:val="20"/>
        </w:rPr>
        <w:t xml:space="preserve">The development set, however, is at once the target being </w:t>
      </w:r>
      <w:r>
        <w:rPr>
          <w:rFonts w:hint="eastAsia" w:eastAsia="SimSun"/>
          <w:sz w:val="20"/>
          <w:lang w:eastAsia="zh-CN"/>
        </w:rPr>
        <w:t>optimized</w:t>
      </w:r>
      <w:r>
        <w:rPr>
          <w:sz w:val="20"/>
        </w:rPr>
        <w:t xml:space="preserve"> and the instrument by which improvement is judged. Two questions follow. Does the refined guideline encode general rules, or does it record the answers of the development set? And is development F1 stable enough to support the accept-or-revert decision taken each round? This work reproduces the method on the NCBI Disease corpus with GPT-5.4, obtaining a held-out gain consistent with the published figure, then audits the released implementation stage by stage, identifies six candidate issues, and defines two measurements that </w:t>
      </w:r>
      <w:r>
        <w:rPr>
          <w:rFonts w:hint="eastAsia" w:eastAsia="SimSun"/>
          <w:sz w:val="20"/>
          <w:lang w:eastAsia="zh-CN"/>
        </w:rPr>
        <w:t>characterize</w:t>
      </w:r>
      <w:r>
        <w:rPr>
          <w:sz w:val="20"/>
        </w:rPr>
        <w:t xml:space="preserve"> the first two of them experimentally.</w:t>
      </w:r>
    </w:p>
    <w:p w14:paraId="285E807E">
      <w:pPr>
        <w:spacing w:after="40"/>
      </w:pPr>
      <w:r>
        <w:rPr>
          <w:b/>
          <w:sz w:val="20"/>
        </w:rPr>
        <w:t>2. Methodology</w:t>
      </w:r>
    </w:p>
    <w:p w14:paraId="5D43BF35">
      <w:pPr>
        <w:spacing w:after="160"/>
      </w:pPr>
    </w:p>
    <w:p w14:paraId="1659F09F">
      <w:pPr>
        <w:spacing w:after="40"/>
      </w:pPr>
      <w:r>
        <w:rPr>
          <w:b/>
          <w:sz w:val="20"/>
        </w:rPr>
        <w:t>3. Current Results and Issues</w:t>
      </w:r>
    </w:p>
    <w:p w14:paraId="548CB670">
      <w:pPr>
        <w:spacing w:after="160"/>
      </w:pPr>
    </w:p>
    <w:p w14:paraId="401D69F6">
      <w:pPr>
        <w:spacing w:after="40"/>
      </w:pPr>
      <w:r>
        <w:rPr>
          <w:b/>
          <w:sz w:val="20"/>
        </w:rPr>
        <w:t>4. Discussion and Future Work</w:t>
      </w:r>
    </w:p>
    <w:p w14:paraId="599B9050">
      <w:pPr>
        <w:spacing w:after="160"/>
      </w:pPr>
    </w:p>
    <w:p w14:paraId="3AD4CFCA">
      <w:pPr>
        <w:spacing w:after="40"/>
      </w:pPr>
      <w:r>
        <w:rPr>
          <w:b/>
          <w:sz w:val="20"/>
        </w:rPr>
        <w:t>References</w:t>
      </w:r>
    </w:p>
    <w:p w14:paraId="7661870C">
      <w:pPr>
        <w:spacing w:after="160"/>
      </w:pP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BA2B2E"/>
    <w:rsid w:val="748367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ＭＳ 明朝"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306</Words>
  <Characters>1548</Characters>
  <Lines>0</Lines>
  <Paragraphs>0</Paragraphs>
  <TotalTime>38</TotalTime>
  <ScaleCrop>false</ScaleCrop>
  <LinksUpToDate>false</LinksUpToDate>
  <CharactersWithSpaces>1808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Kou Shu</cp:lastModifiedBy>
  <dcterms:modified xsi:type="dcterms:W3CDTF">2026-08-20T06:22:52Z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FFE72903CD3F406B9C76044ABBF93CDF_12</vt:lpwstr>
  </property>
</Properties>
</file>