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AD8F9">
      <w:pPr>
        <w:spacing w:after="120"/>
        <w:jc w:val="center"/>
      </w:pPr>
      <w:r>
        <w:rPr>
          <w:b/>
          <w:i w:val="0"/>
          <w:sz w:val="22"/>
        </w:rPr>
        <w:t>修士論文内容の要旨</w:t>
      </w:r>
    </w:p>
    <w:p w14:paraId="1482CFC9">
      <w:pPr>
        <w:spacing w:after="0"/>
        <w:jc w:val="left"/>
      </w:pPr>
      <w:r>
        <w:rPr>
          <w:b w:val="0"/>
          <w:i w:val="0"/>
          <w:sz w:val="20"/>
        </w:rPr>
        <w:t>論文題目　Optimizing Annotation Guideline Refinements for LLM-Based Annotation</w:t>
      </w:r>
    </w:p>
    <w:p w14:paraId="6AA98ADB">
      <w:pPr>
        <w:spacing w:after="120"/>
        <w:jc w:val="left"/>
      </w:pPr>
      <w:r>
        <w:rPr>
          <w:b w:val="0"/>
          <w:i w:val="0"/>
          <w:sz w:val="20"/>
        </w:rPr>
        <w:t>　　　　　（LLMによるアノテーションに向けたガイドライン改善の最適化）</w:t>
      </w:r>
    </w:p>
    <w:p w14:paraId="216A0A42">
      <w:pPr>
        <w:spacing w:after="200"/>
        <w:jc w:val="left"/>
      </w:pPr>
      <w:r>
        <w:rPr>
          <w:b w:val="0"/>
          <w:i w:val="0"/>
          <w:sz w:val="20"/>
        </w:rPr>
        <w:t>氏名　　　Hengyu Zhou</w:t>
      </w:r>
    </w:p>
    <w:p w14:paraId="363F8DBF">
      <w:pPr>
        <w:spacing w:after="60"/>
        <w:jc w:val="left"/>
      </w:pPr>
      <w:r>
        <w:rPr>
          <w:b/>
          <w:i w:val="0"/>
          <w:sz w:val="20"/>
        </w:rPr>
        <w:t>1. Introduction</w:t>
      </w:r>
    </w:p>
    <w:p w14:paraId="73778EF1">
      <w:pPr>
        <w:spacing w:after="80"/>
        <w:jc w:val="both"/>
      </w:pPr>
      <w:commentRangeStart w:id="0"/>
      <w:r>
        <w:rPr>
          <w:b w:val="0"/>
          <w:i w:val="0"/>
          <w:sz w:val="20"/>
        </w:rPr>
        <w:t>Biomedical text mining depends on annotated corpora, and expert annotation is slow and costly</w:t>
      </w:r>
      <w:commentRangeEnd w:id="0"/>
      <w:r>
        <w:commentReference w:id="0"/>
      </w:r>
      <w:r>
        <w:rPr>
          <w:b w:val="0"/>
          <w:i w:val="0"/>
          <w:sz w:val="20"/>
        </w:rPr>
        <w:t xml:space="preserve">. Large language models can annotate at scale, but only if told what counts as an entity. That instruction is carried by the annotation guideline, a human-readable document written for human annotators. </w:t>
      </w:r>
      <w:commentRangeStart w:id="1"/>
      <w:r>
        <w:rPr>
          <w:b w:val="0"/>
          <w:i w:val="0"/>
          <w:sz w:val="20"/>
        </w:rPr>
        <w:t>Here the guideline, not the model, is adjusted, which makes the result inspectable and reusable across models.</w:t>
      </w:r>
      <w:commentRangeEnd w:id="1"/>
      <w:r>
        <w:commentReference w:id="1"/>
      </w:r>
    </w:p>
    <w:p w14:paraId="1A7A6C54">
      <w:pPr>
        <w:spacing w:after="80"/>
        <w:jc w:val="both"/>
      </w:pPr>
      <w:r>
        <w:rPr>
          <w:b w:val="0"/>
          <w:i w:val="0"/>
          <w:sz w:val="20"/>
        </w:rPr>
        <w:t xml:space="preserve">Iterative guideline moderation automates that adjustment. </w:t>
      </w:r>
      <w:commentRangeStart w:id="2"/>
      <w:r>
        <w:rPr>
          <w:b w:val="0"/>
          <w:i w:val="0"/>
          <w:sz w:val="20"/>
        </w:rPr>
        <w:t>An LLM annotates a small development set; its output is compared against gold annotations; the discrepancies are analyzed, explained as recurring patterns, condensed into a moderation principle, and integrated back into the guideline. The loop repeats until F1 reaches a threshold or a round fails to improve on the previous one.</w:t>
      </w:r>
      <w:commentRangeEnd w:id="2"/>
      <w:r>
        <w:commentReference w:id="2"/>
      </w:r>
      <w:r>
        <w:rPr>
          <w:b w:val="0"/>
          <w:i w:val="0"/>
          <w:sz w:val="20"/>
        </w:rPr>
        <w:t xml:space="preserve"> On NCBI Disease the published work reports </w:t>
      </w:r>
      <w:commentRangeStart w:id="3"/>
      <w:r>
        <w:rPr>
          <w:b w:val="0"/>
          <w:i w:val="0"/>
          <w:sz w:val="20"/>
        </w:rPr>
        <w:t>held-out</w:t>
      </w:r>
      <w:commentRangeEnd w:id="3"/>
      <w:r>
        <w:commentReference w:id="3"/>
      </w:r>
      <w:r>
        <w:rPr>
          <w:b w:val="0"/>
          <w:i w:val="0"/>
          <w:sz w:val="20"/>
        </w:rPr>
        <w:t xml:space="preserve"> F1 of 0.46 without a guideline, 0.73 with the original guideline, and 0.76 after moderation: the guideline itself is worth +0.27, and moderating it a further +0.03</w:t>
      </w:r>
      <w:r>
        <w:rPr>
          <w:rFonts w:hint="eastAsia" w:eastAsia="宋体"/>
          <w:b w:val="0"/>
          <w:i w:val="0"/>
          <w:sz w:val="20"/>
          <w:vertAlign w:val="superscript"/>
          <w:lang w:val="en-US" w:eastAsia="zh-CN"/>
        </w:rPr>
        <w:t>[1]</w:t>
      </w:r>
      <w:r>
        <w:rPr>
          <w:b w:val="0"/>
          <w:i w:val="0"/>
          <w:sz w:val="20"/>
        </w:rPr>
        <w:t>.</w:t>
      </w:r>
    </w:p>
    <w:p w14:paraId="1533D212">
      <w:pPr>
        <w:spacing w:after="80"/>
        <w:jc w:val="both"/>
      </w:pPr>
      <w:commentRangeStart w:id="4"/>
      <w:r>
        <w:rPr>
          <w:b w:val="0"/>
          <w:i w:val="0"/>
          <w:sz w:val="20"/>
        </w:rPr>
        <w:t>That final increment is decided on a set the loop is also optimizing against: the development set is at once the target and the instrument.</w:t>
      </w:r>
      <w:commentRangeEnd w:id="4"/>
      <w:r>
        <w:commentReference w:id="4"/>
      </w:r>
      <w:r>
        <w:rPr>
          <w:b w:val="0"/>
          <w:i w:val="0"/>
          <w:sz w:val="20"/>
        </w:rPr>
        <w:t xml:space="preserve"> This work reproduces the method on NCBI Disease with GPT-5.4, examines each stage of the released implementation, and identifies the </w:t>
      </w:r>
      <w:commentRangeStart w:id="5"/>
      <w:r>
        <w:rPr>
          <w:b w:val="0"/>
          <w:i w:val="0"/>
          <w:sz w:val="20"/>
        </w:rPr>
        <w:t>six candidates of Table 1</w:t>
      </w:r>
      <w:commentRangeEnd w:id="5"/>
      <w:r>
        <w:commentReference w:id="5"/>
      </w:r>
      <w:r>
        <w:rPr>
          <w:b w:val="0"/>
          <w:i w:val="0"/>
          <w:sz w:val="20"/>
        </w:rPr>
        <w:t xml:space="preserve">. Candidate 1, </w:t>
      </w:r>
      <w:commentRangeStart w:id="6"/>
      <w:r>
        <w:rPr>
          <w:b w:val="0"/>
          <w:i w:val="0"/>
          <w:sz w:val="20"/>
        </w:rPr>
        <w:t>the copying of development-set text into the guideline</w:t>
      </w:r>
      <w:commentRangeEnd w:id="6"/>
      <w:r>
        <w:commentReference w:id="6"/>
      </w:r>
      <w:r>
        <w:rPr>
          <w:b w:val="0"/>
          <w:i w:val="0"/>
          <w:sz w:val="20"/>
        </w:rPr>
        <w:t>, is characterized experimentally in Section 3.</w:t>
      </w:r>
    </w:p>
    <w:p w14:paraId="0A716CDE">
      <w:pPr>
        <w:spacing w:after="60"/>
        <w:jc w:val="left"/>
      </w:pPr>
      <w:r>
        <w:rPr>
          <w:b/>
          <w:i w:val="0"/>
          <w:sz w:val="20"/>
        </w:rPr>
        <w:t>2. Methodology</w:t>
      </w:r>
    </w:p>
    <w:p w14:paraId="03F7B90D">
      <w:pPr>
        <w:spacing w:after="40"/>
        <w:jc w:val="left"/>
      </w:pPr>
      <w:r>
        <w:rPr>
          <w:b/>
          <w:i w:val="0"/>
          <w:sz w:val="19"/>
        </w:rPr>
        <w:t>2.1 Task, framework and reproduction</w:t>
      </w:r>
    </w:p>
    <w:p w14:paraId="72C211BB">
      <w:pPr>
        <w:spacing w:after="80"/>
        <w:jc w:val="both"/>
      </w:pPr>
      <w:r>
        <w:rPr>
          <w:b w:val="0"/>
          <w:i w:val="0"/>
          <w:sz w:val="20"/>
        </w:rPr>
        <w:t>NCBI Disease marks four entity types: SpecificDisease, DiseaseClass, CompositeMention and Modifier, the last being a disease name used to qualify another concept. A prediction counts as correct under strict match only if both its character span and its type equal a gold annotation's, and F1 below is always strict-match F1.</w:t>
      </w:r>
    </w:p>
    <w:p w14:paraId="18706185">
      <w:pPr>
        <w:spacing w:after="80"/>
        <w:jc w:val="both"/>
      </w:pPr>
      <w:commentRangeStart w:id="7"/>
      <w:r>
        <w:rPr>
          <w:b w:val="0"/>
          <w:i w:val="0"/>
          <w:sz w:val="20"/>
        </w:rPr>
        <w:t>Figure 1 shows the framework as implemented. F1 against gold decides whether to stop; otherwise the discrepancies are grouped by their (gold type, predicted type) pair, the largest group is explained as a linguistic pattern, condensed into a moderation principle, and integrated into the guideline. The rewriting stage receives two kinds of evidence. Discrepant examples show it what is going wrong. Verified examples show it what must not change: the true positives of the current annotation, quoted together with the five development documents they occur in, which the prompt requires the rewrite to leave correct. They are the method's only guard against regression.</w:t>
      </w:r>
      <w:commentRangeEnd w:id="7"/>
      <w:r>
        <w:commentReference w:id="7"/>
      </w:r>
    </w:p>
    <w:p w14:paraId="1AE58C82">
      <w:pPr>
        <w:spacing w:after="80"/>
        <w:jc w:val="both"/>
      </w:pPr>
      <w:r>
        <w:rPr>
          <w:b w:val="0"/>
          <w:i w:val="0"/>
          <w:sz w:val="20"/>
        </w:rPr>
        <w:t xml:space="preserve">We reproduce this with GPT-5.4 at high reasoning effort on ten development documents. </w:t>
      </w:r>
      <w:commentRangeStart w:id="8"/>
      <w:r>
        <w:rPr>
          <w:b w:val="0"/>
          <w:i w:val="0"/>
          <w:sz w:val="20"/>
        </w:rPr>
        <w:t>Development F1</w:t>
      </w:r>
      <w:commentRangeEnd w:id="8"/>
      <w:r>
        <w:commentReference w:id="8"/>
      </w:r>
      <w:r>
        <w:rPr>
          <w:b w:val="0"/>
          <w:i w:val="0"/>
          <w:sz w:val="20"/>
        </w:rPr>
        <w:t xml:space="preserve"> rises from 0.797 to 0.909 over four rounds. On a </w:t>
      </w:r>
      <w:commentRangeStart w:id="9"/>
      <w:r>
        <w:rPr>
          <w:b w:val="0"/>
          <w:i w:val="0"/>
          <w:sz w:val="20"/>
        </w:rPr>
        <w:t>held-out set of 100 validation documents</w:t>
      </w:r>
      <w:commentRangeEnd w:id="9"/>
      <w:r>
        <w:commentReference w:id="9"/>
      </w:r>
      <w:r>
        <w:rPr>
          <w:b w:val="0"/>
          <w:i w:val="0"/>
          <w:sz w:val="20"/>
        </w:rPr>
        <w:t>, never seen by the loop, the refined guideline gains +0.01.</w:t>
      </w:r>
    </w:p>
    <w:p w14:paraId="4FAC4A6F">
      <w:pPr>
        <w:spacing w:after="40"/>
        <w:jc w:val="center"/>
        <w:rPr>
          <w:rFonts w:hint="eastAsia" w:eastAsia="宋体"/>
          <w:lang w:eastAsia="zh-CN"/>
        </w:rPr>
      </w:pPr>
      <w:r>
        <w:rPr>
          <w:rFonts w:hint="eastAsia" w:eastAsia="宋体"/>
          <w:lang w:eastAsia="zh-CN"/>
        </w:rPr>
        <w:drawing>
          <wp:inline distT="0" distB="0" distL="114300" distR="114300">
            <wp:extent cx="6256655" cy="3680460"/>
            <wp:effectExtent l="0" t="0" r="6985" b="7620"/>
            <wp:docPr id="1" name="图片 1" descr="framework_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ramework_figur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6256655" cy="3680460"/>
                    </a:xfrm>
                    <a:prstGeom prst="rect">
                      <a:avLst/>
                    </a:prstGeom>
                  </pic:spPr>
                </pic:pic>
              </a:graphicData>
            </a:graphic>
          </wp:inline>
        </w:drawing>
      </w:r>
    </w:p>
    <w:p w14:paraId="3F69DD7C">
      <w:pPr>
        <w:spacing w:after="120"/>
        <w:jc w:val="center"/>
        <w:rPr>
          <w:i w:val="0"/>
          <w:iCs/>
        </w:rPr>
      </w:pPr>
      <w:r>
        <w:rPr>
          <w:b w:val="0"/>
          <w:i w:val="0"/>
          <w:iCs/>
          <w:sz w:val="16"/>
        </w:rPr>
        <w:t>Figure 1. The framework as implemented. Markers 1 to 3 locate candidates 1, 2 and 3 of Table 1.</w:t>
      </w:r>
    </w:p>
    <w:p w14:paraId="32874B4C">
      <w:pPr>
        <w:spacing w:after="40"/>
        <w:jc w:val="left"/>
      </w:pPr>
      <w:r>
        <w:rPr>
          <w:b/>
          <w:i w:val="0"/>
          <w:sz w:val="19"/>
        </w:rPr>
        <w:t>2.2 What is measured, and what the audit found</w:t>
      </w:r>
    </w:p>
    <w:p w14:paraId="57B37B0A">
      <w:pPr>
        <w:spacing w:after="80"/>
        <w:jc w:val="both"/>
      </w:pPr>
      <w:r>
        <w:rPr>
          <w:b w:val="0"/>
          <w:i w:val="0"/>
          <w:sz w:val="20"/>
        </w:rPr>
        <w:t>Two measurements follow.</w:t>
      </w:r>
      <w:commentRangeStart w:id="10"/>
      <w:r>
        <w:rPr>
          <w:b w:val="0"/>
          <w:i w:val="0"/>
          <w:sz w:val="20"/>
        </w:rPr>
        <w:t xml:space="preserve"> Copying</w:t>
      </w:r>
      <w:commentRangeEnd w:id="10"/>
      <w:r>
        <w:commentReference w:id="10"/>
      </w:r>
      <w:r>
        <w:rPr>
          <w:b w:val="0"/>
          <w:i w:val="0"/>
          <w:sz w:val="20"/>
        </w:rPr>
        <w:t xml:space="preserve"> asks whether the verified examples act as a constraint or as material: with A the lines a round adds and Q the documents supplied as verified examples, the copied fraction is |{a in A : a traces to Q}| / |A|. </w:t>
      </w:r>
      <w:commentRangeStart w:id="11"/>
      <w:r>
        <w:rPr>
          <w:b w:val="0"/>
          <w:i w:val="0"/>
          <w:sz w:val="20"/>
        </w:rPr>
        <w:t>Stability</w:t>
      </w:r>
      <w:commentRangeEnd w:id="11"/>
      <w:r>
        <w:commentReference w:id="11"/>
      </w:r>
      <w:r>
        <w:rPr>
          <w:b w:val="0"/>
          <w:i w:val="0"/>
          <w:sz w:val="20"/>
        </w:rPr>
        <w:t xml:space="preserve"> asks what the stopping rule can see, since it compares F1 before and after and each is one annotation: annotating the same documents k times under an unchanged guideline and taking the standard deviation bounds what such a comparison resolves.</w:t>
      </w:r>
      <w:r>
        <w:rPr>
          <w:rFonts w:hint="eastAsia" w:eastAsia="宋体"/>
          <w:b w:val="0"/>
          <w:i w:val="0"/>
          <w:sz w:val="20"/>
          <w:lang w:val="en-US" w:eastAsia="zh-CN"/>
        </w:rPr>
        <w:t xml:space="preserve"> </w:t>
      </w:r>
      <w:commentRangeStart w:id="12"/>
      <w:r>
        <w:rPr>
          <w:b w:val="0"/>
          <w:i w:val="0"/>
          <w:sz w:val="20"/>
        </w:rPr>
        <w:t>Table 1 lists them with the evidence that identified each.</w:t>
      </w:r>
      <w:commentRangeEnd w:id="12"/>
      <w:r>
        <w:commentReference w:id="12"/>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6"/>
        <w:gridCol w:w="2880"/>
        <w:gridCol w:w="6792"/>
      </w:tblGrid>
      <w:tr w14:paraId="115F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dxa"/>
          </w:tcPr>
          <w:p w14:paraId="661E02CC">
            <w:pPr>
              <w:jc w:val="both"/>
            </w:pPr>
            <w:r>
              <w:rPr>
                <w:b/>
                <w:sz w:val="16"/>
              </w:rPr>
              <w:t>#</w:t>
            </w:r>
          </w:p>
        </w:tc>
        <w:tc>
          <w:tcPr>
            <w:tcW w:w="2880" w:type="dxa"/>
          </w:tcPr>
          <w:p w14:paraId="49B58400">
            <w:pPr>
              <w:jc w:val="both"/>
            </w:pPr>
            <w:r>
              <w:rPr>
                <w:b/>
                <w:sz w:val="16"/>
              </w:rPr>
              <w:t>Candidate</w:t>
            </w:r>
          </w:p>
        </w:tc>
        <w:tc>
          <w:tcPr>
            <w:tcW w:w="6792" w:type="dxa"/>
          </w:tcPr>
          <w:p w14:paraId="71E4C4F2">
            <w:pPr>
              <w:jc w:val="both"/>
            </w:pPr>
            <w:r>
              <w:rPr>
                <w:b/>
                <w:sz w:val="16"/>
              </w:rPr>
              <w:t>Evidence</w:t>
            </w:r>
          </w:p>
        </w:tc>
      </w:tr>
      <w:tr w14:paraId="5D38B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dxa"/>
          </w:tcPr>
          <w:p w14:paraId="2235235B">
            <w:pPr>
              <w:jc w:val="both"/>
            </w:pPr>
            <w:r>
              <w:rPr>
                <w:sz w:val="16"/>
              </w:rPr>
              <w:t>1</w:t>
            </w:r>
          </w:p>
        </w:tc>
        <w:tc>
          <w:tcPr>
            <w:tcW w:w="2880" w:type="dxa"/>
          </w:tcPr>
          <w:p w14:paraId="015DD307">
            <w:pPr>
              <w:jc w:val="both"/>
              <w:rPr>
                <w:rFonts w:hint="default" w:eastAsia="宋体"/>
                <w:lang w:val="en-US" w:eastAsia="zh-CN"/>
              </w:rPr>
            </w:pPr>
            <w:r>
              <w:rPr>
                <w:sz w:val="16"/>
              </w:rPr>
              <w:t>Verified examples are copied into the guideline instead of constraining it</w:t>
            </w:r>
            <w:r>
              <w:rPr>
                <w:rFonts w:hint="eastAsia" w:eastAsia="宋体"/>
                <w:sz w:val="16"/>
                <w:lang w:val="en-US" w:eastAsia="zh-CN"/>
              </w:rPr>
              <w:t xml:space="preserve"> </w:t>
            </w:r>
            <w:r>
              <w:rPr>
                <w:rFonts w:hint="eastAsia" w:eastAsia="宋体"/>
                <w:sz w:val="16"/>
                <w:highlight w:val="yellow"/>
                <w:lang w:val="en-US" w:eastAsia="zh-CN"/>
              </w:rPr>
              <w:t>(constraining what???)</w:t>
            </w:r>
          </w:p>
        </w:tc>
        <w:tc>
          <w:tcPr>
            <w:tcW w:w="6792" w:type="dxa"/>
          </w:tcPr>
          <w:p w14:paraId="44324792">
            <w:pPr>
              <w:jc w:val="both"/>
            </w:pPr>
            <w:r>
              <w:rPr>
                <w:sz w:val="16"/>
              </w:rPr>
              <w:t>38 of the 52 lines round 1 adds are traceable to the five documents supplied as verified examples</w:t>
            </w:r>
          </w:p>
        </w:tc>
      </w:tr>
      <w:tr w14:paraId="4234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dxa"/>
          </w:tcPr>
          <w:p w14:paraId="3FF34AEE">
            <w:pPr>
              <w:jc w:val="both"/>
            </w:pPr>
            <w:r>
              <w:rPr>
                <w:sz w:val="16"/>
              </w:rPr>
              <w:t>2</w:t>
            </w:r>
          </w:p>
        </w:tc>
        <w:tc>
          <w:tcPr>
            <w:tcW w:w="2880" w:type="dxa"/>
          </w:tcPr>
          <w:p w14:paraId="0CE67337">
            <w:pPr>
              <w:jc w:val="both"/>
            </w:pPr>
            <w:r>
              <w:rPr>
                <w:sz w:val="16"/>
              </w:rPr>
              <w:t>The verified examples do not follow the error type being explained</w:t>
            </w:r>
          </w:p>
        </w:tc>
        <w:tc>
          <w:tcPr>
            <w:tcW w:w="6792" w:type="dxa"/>
          </w:tcPr>
          <w:p w14:paraId="06C9E747">
            <w:pPr>
              <w:jc w:val="both"/>
            </w:pPr>
            <w:r>
              <w:rPr>
                <w:sz w:val="16"/>
              </w:rPr>
              <w:t xml:space="preserve">They are identical in rounds 1 to 3 while the targeted error type changes from a label error to a boundary error to a missed mention, so the </w:t>
            </w:r>
            <w:r>
              <w:rPr>
                <w:sz w:val="16"/>
                <w:highlight w:val="yellow"/>
              </w:rPr>
              <w:t>contrast they offer</w:t>
            </w:r>
            <w:r>
              <w:rPr>
                <w:rFonts w:hint="eastAsia" w:eastAsia="宋体"/>
                <w:sz w:val="16"/>
                <w:highlight w:val="yellow"/>
                <w:lang w:val="en-US" w:eastAsia="zh-CN"/>
              </w:rPr>
              <w:t xml:space="preserve"> (contrast是什么？又没例子又没一致定义我读你妈？)</w:t>
            </w:r>
            <w:r>
              <w:rPr>
                <w:sz w:val="16"/>
              </w:rPr>
              <w:t xml:space="preserve"> is unrelated to the error under analysis</w:t>
            </w:r>
          </w:p>
        </w:tc>
      </w:tr>
      <w:tr w14:paraId="15E62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386" w:type="dxa"/>
          </w:tcPr>
          <w:p w14:paraId="3A97EA37">
            <w:pPr>
              <w:jc w:val="both"/>
            </w:pPr>
            <w:r>
              <w:rPr>
                <w:sz w:val="16"/>
              </w:rPr>
              <w:t>3</w:t>
            </w:r>
          </w:p>
        </w:tc>
        <w:tc>
          <w:tcPr>
            <w:tcW w:w="2880" w:type="dxa"/>
          </w:tcPr>
          <w:p w14:paraId="5A6F0FFA">
            <w:pPr>
              <w:jc w:val="both"/>
              <w:rPr>
                <w:rFonts w:hint="default" w:eastAsia="宋体"/>
                <w:lang w:val="en-US" w:eastAsia="zh-CN"/>
              </w:rPr>
            </w:pPr>
            <w:r>
              <w:rPr>
                <w:sz w:val="16"/>
              </w:rPr>
              <w:t xml:space="preserve">The rationale each annotation carries is </w:t>
            </w:r>
            <w:r>
              <w:rPr>
                <w:rFonts w:hint="eastAsia" w:eastAsia="宋体"/>
                <w:sz w:val="16"/>
                <w:lang w:val="en-US" w:eastAsia="zh-CN"/>
              </w:rPr>
              <w:t>not fully utalized.</w:t>
            </w:r>
          </w:p>
        </w:tc>
        <w:tc>
          <w:tcPr>
            <w:tcW w:w="6792" w:type="dxa"/>
          </w:tcPr>
          <w:p w14:paraId="634C8C87">
            <w:pPr>
              <w:jc w:val="both"/>
              <w:rPr>
                <w:rFonts w:hint="default" w:eastAsia="宋体"/>
                <w:lang w:val="en-US" w:eastAsia="zh-CN"/>
              </w:rPr>
            </w:pPr>
            <w:r>
              <w:rPr>
                <w:sz w:val="16"/>
              </w:rPr>
              <w:t xml:space="preserve">Every annotation names a rationale and the guideline section it applied, which would show which </w:t>
            </w:r>
            <w:r>
              <w:rPr>
                <w:rFonts w:hint="eastAsia" w:eastAsia="宋体"/>
                <w:sz w:val="16"/>
                <w:lang w:val="en-US" w:eastAsia="zh-CN"/>
              </w:rPr>
              <w:t xml:space="preserve">guideline </w:t>
            </w:r>
            <w:r>
              <w:rPr>
                <w:sz w:val="16"/>
              </w:rPr>
              <w:t xml:space="preserve">sections are used and which are never cited; </w:t>
            </w:r>
            <w:r>
              <w:rPr>
                <w:rFonts w:hint="eastAsia" w:eastAsia="宋体"/>
                <w:sz w:val="16"/>
                <w:lang w:val="en-US" w:eastAsia="zh-CN"/>
              </w:rPr>
              <w:t>no evidence they are fully used to make analysis.</w:t>
            </w:r>
          </w:p>
        </w:tc>
      </w:tr>
      <w:tr w14:paraId="6DA3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dxa"/>
          </w:tcPr>
          <w:p w14:paraId="71E80662">
            <w:pPr>
              <w:jc w:val="both"/>
            </w:pPr>
            <w:r>
              <w:rPr>
                <w:sz w:val="16"/>
              </w:rPr>
              <w:t>4</w:t>
            </w:r>
          </w:p>
        </w:tc>
        <w:tc>
          <w:tcPr>
            <w:tcW w:w="2880" w:type="dxa"/>
          </w:tcPr>
          <w:p w14:paraId="560B3760">
            <w:pPr>
              <w:jc w:val="both"/>
              <w:rPr>
                <w:rFonts w:hint="default" w:eastAsia="宋体"/>
                <w:lang w:val="en-US" w:eastAsia="zh-CN"/>
              </w:rPr>
            </w:pPr>
            <w:r>
              <w:rPr>
                <w:sz w:val="16"/>
              </w:rPr>
              <w:t xml:space="preserve">Development documents are sampled at random rather than </w:t>
            </w:r>
            <w:r>
              <w:rPr>
                <w:sz w:val="16"/>
                <w:highlight w:val="yellow"/>
              </w:rPr>
              <w:t>for coverage</w:t>
            </w:r>
            <w:r>
              <w:rPr>
                <w:rFonts w:hint="eastAsia" w:eastAsia="宋体"/>
                <w:sz w:val="16"/>
                <w:highlight w:val="yellow"/>
                <w:lang w:val="en-US" w:eastAsia="zh-CN"/>
              </w:rPr>
              <w:t xml:space="preserve"> (什么叫你妈的for converge?你会说人话？)</w:t>
            </w:r>
          </w:p>
        </w:tc>
        <w:tc>
          <w:tcPr>
            <w:tcW w:w="6792" w:type="dxa"/>
          </w:tcPr>
          <w:p w14:paraId="611EE845">
            <w:pPr>
              <w:jc w:val="both"/>
            </w:pPr>
            <w:r>
              <w:rPr>
                <w:sz w:val="16"/>
              </w:rPr>
              <w:t xml:space="preserve">M→O is 21% of </w:t>
            </w:r>
            <w:r>
              <w:rPr>
                <w:sz w:val="16"/>
                <w:highlight w:val="yellow"/>
              </w:rPr>
              <w:t>held-out</w:t>
            </w:r>
            <w:r>
              <w:rPr>
                <w:rFonts w:hint="eastAsia" w:eastAsia="宋体"/>
                <w:sz w:val="16"/>
                <w:highlight w:val="yellow"/>
                <w:lang w:eastAsia="zh-CN"/>
              </w:rPr>
              <w:t>（</w:t>
            </w:r>
            <w:r>
              <w:rPr>
                <w:rFonts w:hint="eastAsia" w:eastAsia="宋体"/>
                <w:sz w:val="16"/>
                <w:highlight w:val="yellow"/>
                <w:lang w:val="en-US" w:eastAsia="zh-CN"/>
              </w:rPr>
              <w:t>别再你妈用这个词了，你不会说val dataset？</w:t>
            </w:r>
            <w:r>
              <w:rPr>
                <w:rFonts w:hint="eastAsia" w:eastAsia="宋体"/>
                <w:sz w:val="16"/>
                <w:highlight w:val="yellow"/>
                <w:lang w:eastAsia="zh-CN"/>
              </w:rPr>
              <w:t>）</w:t>
            </w:r>
            <w:r>
              <w:rPr>
                <w:sz w:val="16"/>
              </w:rPr>
              <w:t xml:space="preserve"> discrepancies and 0% of the development set's, so the loop </w:t>
            </w:r>
            <w:r>
              <w:rPr>
                <w:sz w:val="16"/>
                <w:highlight w:val="yellow"/>
              </w:rPr>
              <w:t>never sees</w:t>
            </w:r>
            <w:r>
              <w:rPr>
                <w:rFonts w:hint="eastAsia" w:eastAsia="宋体"/>
                <w:sz w:val="16"/>
                <w:highlight w:val="yellow"/>
                <w:lang w:eastAsia="zh-CN"/>
              </w:rPr>
              <w:t>（</w:t>
            </w:r>
            <w:r>
              <w:rPr>
                <w:rFonts w:hint="eastAsia" w:eastAsia="宋体"/>
                <w:sz w:val="16"/>
                <w:highlight w:val="yellow"/>
                <w:lang w:val="en-US" w:eastAsia="zh-CN"/>
              </w:rPr>
              <w:t>为什么要see？直接看了有任何泛化性？用客观的陈述比如说dev集的分布和val分布不一致说明dev的数量太小不足以进行有效覆盖，自然引出后续的扩大dev set的操作</w:t>
            </w:r>
            <w:r>
              <w:rPr>
                <w:rFonts w:hint="eastAsia" w:eastAsia="宋体"/>
                <w:sz w:val="16"/>
                <w:highlight w:val="yellow"/>
                <w:lang w:eastAsia="zh-CN"/>
              </w:rPr>
              <w:t>）</w:t>
            </w:r>
            <w:r>
              <w:rPr>
                <w:sz w:val="16"/>
              </w:rPr>
              <w:t xml:space="preserve"> the largest error type it will be judged on</w:t>
            </w:r>
          </w:p>
        </w:tc>
      </w:tr>
      <w:tr w14:paraId="75B26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386" w:type="dxa"/>
          </w:tcPr>
          <w:p w14:paraId="07464284">
            <w:pPr>
              <w:jc w:val="both"/>
            </w:pPr>
            <w:r>
              <w:rPr>
                <w:sz w:val="16"/>
              </w:rPr>
              <w:t>5</w:t>
            </w:r>
          </w:p>
        </w:tc>
        <w:tc>
          <w:tcPr>
            <w:tcW w:w="2880" w:type="dxa"/>
          </w:tcPr>
          <w:p w14:paraId="36595AB3">
            <w:pPr>
              <w:jc w:val="both"/>
              <w:rPr>
                <w:rFonts w:hint="eastAsia" w:eastAsia="宋体"/>
                <w:lang w:eastAsia="zh-CN"/>
              </w:rPr>
            </w:pPr>
            <w:r>
              <w:rPr>
                <w:sz w:val="16"/>
                <w:highlight w:val="yellow"/>
              </w:rPr>
              <w:t>Every decision rests on a single annotation</w:t>
            </w:r>
            <w:r>
              <w:rPr>
                <w:rFonts w:hint="eastAsia" w:eastAsia="宋体"/>
                <w:sz w:val="16"/>
                <w:highlight w:val="yellow"/>
                <w:lang w:eastAsia="zh-CN"/>
              </w:rPr>
              <w:t>（</w:t>
            </w:r>
            <w:r>
              <w:rPr>
                <w:rFonts w:hint="eastAsia" w:eastAsia="宋体"/>
                <w:sz w:val="16"/>
                <w:highlight w:val="yellow"/>
                <w:lang w:val="en-US" w:eastAsia="zh-CN"/>
              </w:rPr>
              <w:t>说人话，你不会直接描述现象？</w:t>
            </w:r>
            <w:r>
              <w:rPr>
                <w:rFonts w:hint="eastAsia" w:eastAsia="宋体"/>
                <w:sz w:val="16"/>
                <w:highlight w:val="yellow"/>
                <w:lang w:eastAsia="zh-CN"/>
              </w:rPr>
              <w:t>）</w:t>
            </w:r>
          </w:p>
        </w:tc>
        <w:tc>
          <w:tcPr>
            <w:tcW w:w="6792" w:type="dxa"/>
          </w:tcPr>
          <w:p w14:paraId="2FF74DAE">
            <w:pPr>
              <w:jc w:val="both"/>
            </w:pPr>
            <w:r>
              <w:rPr>
                <w:sz w:val="16"/>
                <w:highlight w:val="yellow"/>
              </w:rPr>
              <w:t>Two annotations of the same documents return 59 and 56 true positives</w:t>
            </w:r>
            <w:r>
              <w:rPr>
                <w:rFonts w:hint="eastAsia" w:eastAsia="宋体"/>
                <w:sz w:val="16"/>
                <w:highlight w:val="yellow"/>
                <w:lang w:eastAsia="zh-CN"/>
              </w:rPr>
              <w:t>（</w:t>
            </w:r>
            <w:r>
              <w:rPr>
                <w:rFonts w:hint="eastAsia" w:eastAsia="宋体"/>
                <w:sz w:val="16"/>
                <w:highlight w:val="yellow"/>
                <w:lang w:val="en-US" w:eastAsia="zh-CN"/>
              </w:rPr>
              <w:t>这和你想说明的Candidate有什么联系？</w:t>
            </w:r>
            <w:r>
              <w:rPr>
                <w:rFonts w:hint="eastAsia" w:eastAsia="宋体"/>
                <w:sz w:val="16"/>
                <w:highlight w:val="yellow"/>
                <w:lang w:eastAsia="zh-CN"/>
              </w:rPr>
              <w:t>）</w:t>
            </w:r>
            <w:r>
              <w:rPr>
                <w:sz w:val="16"/>
              </w:rPr>
              <w:t>, and F1 over sixteen of them ranges 0.739 to 0.859, wider than the differences the loop acts on</w:t>
            </w:r>
          </w:p>
        </w:tc>
      </w:tr>
      <w:tr w14:paraId="03FF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6" w:type="dxa"/>
          </w:tcPr>
          <w:p w14:paraId="708F3579">
            <w:pPr>
              <w:jc w:val="both"/>
            </w:pPr>
            <w:r>
              <w:rPr>
                <w:sz w:val="16"/>
              </w:rPr>
              <w:t>6</w:t>
            </w:r>
          </w:p>
        </w:tc>
        <w:tc>
          <w:tcPr>
            <w:tcW w:w="2880" w:type="dxa"/>
          </w:tcPr>
          <w:p w14:paraId="48529749">
            <w:pPr>
              <w:jc w:val="both"/>
            </w:pPr>
            <w:r>
              <w:rPr>
                <w:sz w:val="16"/>
              </w:rPr>
              <w:t>One cluster is moderated per round, so repairs cause regressions elsewhere</w:t>
            </w:r>
          </w:p>
        </w:tc>
        <w:tc>
          <w:tcPr>
            <w:tcW w:w="6792" w:type="dxa"/>
          </w:tcPr>
          <w:p w14:paraId="0394069C">
            <w:pPr>
              <w:jc w:val="both"/>
            </w:pPr>
            <w:r>
              <w:rPr>
                <w:sz w:val="16"/>
              </w:rPr>
              <w:t>Each round repairs its target but regresses other cells; discrepancies fall only from 18 to 11 over three rounds (Figure 2)</w:t>
            </w:r>
          </w:p>
        </w:tc>
      </w:tr>
    </w:tbl>
    <w:p w14:paraId="76B3D41E">
      <w:pPr>
        <w:spacing w:after="40"/>
        <w:jc w:val="center"/>
      </w:pPr>
      <w:r>
        <w:rPr>
          <w:b w:val="0"/>
          <w:i w:val="0"/>
          <w:iCs/>
          <w:sz w:val="16"/>
        </w:rPr>
        <w:t>Table 1. Six candidate improvements. Only candidate 1 is characterized experimentally in this report.</w:t>
      </w:r>
    </w:p>
    <w:p w14:paraId="4F7EA1C2">
      <w:pPr>
        <w:spacing w:after="60"/>
        <w:jc w:val="left"/>
      </w:pPr>
      <w:r>
        <w:rPr>
          <w:b/>
          <w:i w:val="0"/>
          <w:sz w:val="20"/>
        </w:rPr>
        <w:t>3. Current Results: Verified Examples Are Copied Into the Guideline</w:t>
      </w:r>
    </w:p>
    <w:p w14:paraId="3A73BDC3">
      <w:pPr>
        <w:spacing w:after="80"/>
        <w:jc w:val="both"/>
      </w:pPr>
      <w:r>
        <w:rPr>
          <w:b w:val="0"/>
          <w:i w:val="0"/>
          <w:sz w:val="20"/>
        </w:rPr>
        <w:t xml:space="preserve">The verified examples </w:t>
      </w:r>
      <w:commentRangeStart w:id="13"/>
      <w:r>
        <w:rPr>
          <w:b w:val="0"/>
          <w:i w:val="0"/>
          <w:sz w:val="20"/>
        </w:rPr>
        <w:t>reach the rewriting stage as five development documents quoted in full</w:t>
      </w:r>
      <w:commentRangeEnd w:id="13"/>
      <w:r>
        <w:commentReference w:id="13"/>
      </w:r>
      <w:r>
        <w:rPr>
          <w:b w:val="0"/>
          <w:i w:val="0"/>
          <w:sz w:val="20"/>
        </w:rPr>
        <w:t xml:space="preserve">, together with the true positives found in them. Their purpose is to prevent regression, but nothing in the prompt distinguishes quoting a document as a constraint from </w:t>
      </w:r>
      <w:commentRangeStart w:id="14"/>
      <w:r>
        <w:rPr>
          <w:b w:val="0"/>
          <w:i w:val="0"/>
          <w:sz w:val="20"/>
        </w:rPr>
        <w:t>quoting it as material</w:t>
      </w:r>
      <w:commentRangeEnd w:id="14"/>
      <w:r>
        <w:commentReference w:id="14"/>
      </w:r>
      <w:r>
        <w:rPr>
          <w:b w:val="0"/>
          <w:i w:val="0"/>
          <w:sz w:val="20"/>
        </w:rPr>
        <w:t>, and the model does the latter: of the 52 lines round 1 adds to the guideline, 38 are traceable to those five documents.</w:t>
      </w:r>
    </w:p>
    <w:p w14:paraId="474B6A18">
      <w:pPr>
        <w:spacing w:after="80"/>
        <w:jc w:val="both"/>
      </w:pPr>
      <w:r>
        <w:rPr>
          <w:b w:val="0"/>
          <w:i w:val="0"/>
          <w:sz w:val="20"/>
        </w:rPr>
        <w:t>Two structurally different interventions were run against this. The first withholds the verified examples, so the rewriting stage never sees the documents. The second supplies them as before, letting the model consult the true positives to see which cases must not break, but forbids transcription: rules inferred from them must be stated in abstract linguistic terms and any illustration must be the model's own invention.</w:t>
      </w:r>
    </w:p>
    <w:p w14:paraId="6A6B9BF1">
      <w:pPr>
        <w:spacing w:after="80"/>
        <w:jc w:val="both"/>
      </w:pPr>
      <w:commentRangeStart w:id="15"/>
      <w:r>
        <w:rPr>
          <w:b w:val="0"/>
          <w:i w:val="0"/>
          <w:sz w:val="20"/>
        </w:rPr>
        <w:t>Both eliminate the copying completely, and the second demonstrably obeys rather than paraphrases</w:t>
      </w:r>
      <w:commentRangeEnd w:id="15"/>
      <w:r>
        <w:commentReference w:id="15"/>
      </w:r>
      <w:r>
        <w:rPr>
          <w:b w:val="0"/>
          <w:i w:val="0"/>
          <w:sz w:val="20"/>
        </w:rPr>
        <w:t xml:space="preserve">: </w:t>
      </w:r>
      <w:commentRangeStart w:id="16"/>
      <w:r>
        <w:rPr>
          <w:b w:val="0"/>
          <w:i w:val="0"/>
          <w:sz w:val="20"/>
        </w:rPr>
        <w:t>the phrases it invents appear nowhere in the development documents.</w:t>
      </w:r>
      <w:commentRangeEnd w:id="16"/>
      <w:r>
        <w:commentReference w:id="16"/>
      </w:r>
      <w:r>
        <w:rPr>
          <w:b w:val="0"/>
          <w:i w:val="0"/>
          <w:sz w:val="20"/>
        </w:rPr>
        <w:t xml:space="preserve"> Both also leave the loop short of the threshold. Differing in mechanism yet agreeing in outcome, they locate the dependency: guarding against regression and copying the documents are one act here, and the development-set gain requires it.</w:t>
      </w:r>
    </w:p>
    <w:p w14:paraId="251DEBCE">
      <w:pPr>
        <w:spacing w:after="40"/>
        <w:jc w:val="left"/>
      </w:pPr>
      <w:r>
        <w:rPr>
          <w:b w:val="0"/>
          <w:i/>
          <w:sz w:val="16"/>
        </w:rPr>
        <w:t>Table 2. Development F1 and copied fraction under three conditions, NCBI Disease with GPT-5.4, ten development documents. Copying is the share of added guideline lines traceable to the documents supplied as verified examples, measured on round 1.</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7BA4D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195" w:type="dxa"/>
          </w:tcPr>
          <w:p w14:paraId="614B1361">
            <w:r>
              <w:rPr>
                <w:b/>
                <w:sz w:val="16"/>
              </w:rPr>
              <w:t>Condition</w:t>
            </w:r>
          </w:p>
        </w:tc>
        <w:tc>
          <w:tcPr>
            <w:tcW w:w="1814" w:type="dxa"/>
          </w:tcPr>
          <w:p w14:paraId="251784C6">
            <w:r>
              <w:rPr>
                <w:b/>
                <w:sz w:val="16"/>
              </w:rPr>
              <w:t>Development F1</w:t>
            </w:r>
          </w:p>
        </w:tc>
        <w:tc>
          <w:tcPr>
            <w:tcW w:w="1701" w:type="dxa"/>
          </w:tcPr>
          <w:p w14:paraId="3743A0FB">
            <w:r>
              <w:rPr>
                <w:b/>
                <w:sz w:val="16"/>
              </w:rPr>
              <w:t>Threshold reached</w:t>
            </w:r>
          </w:p>
        </w:tc>
        <w:tc>
          <w:tcPr>
            <w:tcW w:w="1361" w:type="dxa"/>
          </w:tcPr>
          <w:p w14:paraId="467AE389">
            <w:r>
              <w:rPr>
                <w:b/>
                <w:sz w:val="16"/>
              </w:rPr>
              <w:t>Copying</w:t>
            </w:r>
          </w:p>
        </w:tc>
      </w:tr>
      <w:tr w14:paraId="3C0E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Pr>
          <w:p w14:paraId="4DEB9C9F">
            <w:r>
              <w:rPr>
                <w:sz w:val="16"/>
              </w:rPr>
              <w:t>Verified examples supplied, as published</w:t>
            </w:r>
          </w:p>
        </w:tc>
        <w:tc>
          <w:tcPr>
            <w:tcW w:w="1814" w:type="dxa"/>
          </w:tcPr>
          <w:p w14:paraId="0477F10E">
            <w:r>
              <w:rPr>
                <w:sz w:val="16"/>
              </w:rPr>
              <w:t>0.797 → 0.909</w:t>
            </w:r>
          </w:p>
        </w:tc>
        <w:tc>
          <w:tcPr>
            <w:tcW w:w="1701" w:type="dxa"/>
          </w:tcPr>
          <w:p w14:paraId="34DC8163">
            <w:r>
              <w:rPr>
                <w:sz w:val="16"/>
              </w:rPr>
              <w:t>yes</w:t>
            </w:r>
          </w:p>
        </w:tc>
        <w:tc>
          <w:tcPr>
            <w:tcW w:w="1361" w:type="dxa"/>
          </w:tcPr>
          <w:p w14:paraId="13E58CBB">
            <w:r>
              <w:rPr>
                <w:sz w:val="16"/>
              </w:rPr>
              <w:t>38/52 = 73%</w:t>
            </w:r>
          </w:p>
        </w:tc>
      </w:tr>
      <w:tr w14:paraId="322FA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Pr>
          <w:p w14:paraId="2CB09A45">
            <w:r>
              <w:rPr>
                <w:sz w:val="16"/>
              </w:rPr>
              <w:t>Verified examples withheld</w:t>
            </w:r>
          </w:p>
        </w:tc>
        <w:tc>
          <w:tcPr>
            <w:tcW w:w="1814" w:type="dxa"/>
          </w:tcPr>
          <w:p w14:paraId="28B61A69">
            <w:r>
              <w:rPr>
                <w:sz w:val="16"/>
              </w:rPr>
              <w:t>0.797 → 0.837</w:t>
            </w:r>
          </w:p>
        </w:tc>
        <w:tc>
          <w:tcPr>
            <w:tcW w:w="1701" w:type="dxa"/>
          </w:tcPr>
          <w:p w14:paraId="12BFC6CE">
            <w:r>
              <w:rPr>
                <w:sz w:val="16"/>
              </w:rPr>
              <w:t>no</w:t>
            </w:r>
          </w:p>
        </w:tc>
        <w:tc>
          <w:tcPr>
            <w:tcW w:w="1361" w:type="dxa"/>
          </w:tcPr>
          <w:p w14:paraId="038232F8">
            <w:r>
              <w:rPr>
                <w:sz w:val="16"/>
              </w:rPr>
              <w:t>0/32 = 0%</w:t>
            </w:r>
          </w:p>
        </w:tc>
      </w:tr>
      <w:tr w14:paraId="5D974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5" w:type="dxa"/>
          </w:tcPr>
          <w:p w14:paraId="39359904">
            <w:r>
              <w:rPr>
                <w:sz w:val="16"/>
              </w:rPr>
              <w:t>Verified examples supplied, transcription forbidden</w:t>
            </w:r>
          </w:p>
        </w:tc>
        <w:tc>
          <w:tcPr>
            <w:tcW w:w="1814" w:type="dxa"/>
          </w:tcPr>
          <w:p w14:paraId="5A2FCF15">
            <w:r>
              <w:rPr>
                <w:sz w:val="16"/>
              </w:rPr>
              <w:t>0.823 → 0.833</w:t>
            </w:r>
          </w:p>
        </w:tc>
        <w:tc>
          <w:tcPr>
            <w:tcW w:w="1701" w:type="dxa"/>
          </w:tcPr>
          <w:p w14:paraId="3DD6F34F">
            <w:r>
              <w:rPr>
                <w:sz w:val="16"/>
              </w:rPr>
              <w:t>no</w:t>
            </w:r>
          </w:p>
        </w:tc>
        <w:tc>
          <w:tcPr>
            <w:tcW w:w="1361" w:type="dxa"/>
          </w:tcPr>
          <w:p w14:paraId="17D08056">
            <w:r>
              <w:rPr>
                <w:sz w:val="16"/>
              </w:rPr>
              <w:t>0/25 = 0%</w:t>
            </w:r>
          </w:p>
        </w:tc>
      </w:tr>
    </w:tbl>
    <w:p w14:paraId="3F5249DA">
      <w:pPr>
        <w:spacing w:after="120"/>
        <w:jc w:val="left"/>
      </w:pPr>
    </w:p>
    <w:p w14:paraId="66521FAC">
      <w:pPr>
        <w:spacing w:after="60"/>
        <w:jc w:val="left"/>
      </w:pPr>
      <w:r>
        <w:rPr>
          <w:b/>
          <w:i w:val="0"/>
          <w:sz w:val="20"/>
        </w:rPr>
        <w:t>4. Discussion and Future Work</w:t>
      </w:r>
    </w:p>
    <w:p w14:paraId="6B255E2E">
      <w:pPr>
        <w:spacing w:after="80"/>
        <w:jc w:val="both"/>
      </w:pPr>
      <w:r>
        <w:rPr>
          <w:b w:val="0"/>
          <w:i w:val="0"/>
          <w:sz w:val="20"/>
        </w:rPr>
        <w:t xml:space="preserve">Candidate 1 is settled in the negative. The verified examples cannot simply be withheld, </w:t>
      </w:r>
      <w:commentRangeStart w:id="17"/>
      <w:r>
        <w:rPr>
          <w:b w:val="0"/>
          <w:i w:val="0"/>
          <w:sz w:val="20"/>
        </w:rPr>
        <w:t>being the method's only protection against a rewrite that breaks working cases;</w:t>
      </w:r>
      <w:commentRangeEnd w:id="17"/>
      <w:r>
        <w:commentReference w:id="17"/>
      </w:r>
      <w:r>
        <w:rPr>
          <w:b w:val="0"/>
          <w:i w:val="0"/>
          <w:sz w:val="20"/>
        </w:rPr>
        <w:t xml:space="preserve"> removing them stops the loop rather than </w:t>
      </w:r>
      <w:commentRangeStart w:id="18"/>
      <w:r>
        <w:rPr>
          <w:b w:val="0"/>
          <w:i w:val="0"/>
          <w:sz w:val="20"/>
        </w:rPr>
        <w:t>freeing it</w:t>
      </w:r>
      <w:commentRangeEnd w:id="18"/>
      <w:r>
        <w:commentReference w:id="18"/>
      </w:r>
      <w:r>
        <w:rPr>
          <w:b w:val="0"/>
          <w:i w:val="0"/>
          <w:sz w:val="20"/>
        </w:rPr>
        <w:t xml:space="preserve">. We are now testing designs that </w:t>
      </w:r>
      <w:commentRangeStart w:id="19"/>
      <w:r>
        <w:rPr>
          <w:b w:val="0"/>
          <w:i w:val="0"/>
          <w:sz w:val="20"/>
        </w:rPr>
        <w:t>keep the protection</w:t>
      </w:r>
      <w:commentRangeEnd w:id="19"/>
      <w:r>
        <w:commentReference w:id="19"/>
      </w:r>
      <w:r>
        <w:rPr>
          <w:b w:val="0"/>
          <w:i w:val="0"/>
          <w:sz w:val="20"/>
        </w:rPr>
        <w:t xml:space="preserve"> without the copying. The remaining candidates divide into two kinds.</w:t>
      </w:r>
    </w:p>
    <w:p w14:paraId="6455697A">
      <w:pPr>
        <w:spacing w:after="80"/>
        <w:jc w:val="both"/>
      </w:pPr>
      <w:commentRangeStart w:id="20"/>
      <w:r>
        <w:rPr>
          <w:b w:val="0"/>
          <w:i w:val="0"/>
          <w:sz w:val="20"/>
        </w:rPr>
        <w:t>Candidates 2, 3 and 6 concern what each stage is given and how much it repairs per round.</w:t>
      </w:r>
      <w:commentRangeEnd w:id="20"/>
      <w:r>
        <w:commentReference w:id="20"/>
      </w:r>
      <w:r>
        <w:rPr>
          <w:b w:val="0"/>
          <w:i w:val="0"/>
          <w:sz w:val="20"/>
        </w:rPr>
        <w:t xml:space="preserve"> Figure 2 shows why the last matters: moderating one cluster at a time removes seven discrepancies over three rounds, 18 to 11, because every round also causes regressions elsewhere. Round 1 cuts its target S→D from 6 to 2 but raises both D→O and the S boundary errors by one; round 2 cuts those boundary errors from 3 to 1 and pushes S→D back up to 3; round 3 repairs three cells and adds an S→O. Moderating the top k clusters jointly would let one rewrite be checked against several error types at once.</w:t>
      </w:r>
    </w:p>
    <w:p w14:paraId="53ECC7A8">
      <w:pPr>
        <w:spacing w:after="40"/>
        <w:jc w:val="center"/>
        <w:rPr>
          <w:rFonts w:hint="eastAsia" w:eastAsia="宋体"/>
          <w:lang w:eastAsia="zh-CN"/>
        </w:rPr>
      </w:pPr>
      <w:r>
        <w:rPr>
          <w:rFonts w:hint="eastAsia" w:eastAsia="宋体"/>
          <w:lang w:eastAsia="zh-CN"/>
        </w:rPr>
        <w:drawing>
          <wp:inline distT="0" distB="0" distL="114300" distR="114300">
            <wp:extent cx="6263005" cy="1193800"/>
            <wp:effectExtent l="0" t="0" r="635" b="10160"/>
            <wp:docPr id="2" name="图片 2" descr="discrepancy_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iscrepancy_matrice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6263005" cy="1193800"/>
                    </a:xfrm>
                    <a:prstGeom prst="rect">
                      <a:avLst/>
                    </a:prstGeom>
                  </pic:spPr>
                </pic:pic>
              </a:graphicData>
            </a:graphic>
          </wp:inline>
        </w:drawing>
      </w:r>
    </w:p>
    <w:p w14:paraId="08CE0369">
      <w:pPr>
        <w:spacing w:after="120"/>
        <w:jc w:val="left"/>
        <w:rPr>
          <w:i w:val="0"/>
          <w:iCs/>
        </w:rPr>
      </w:pPr>
      <w:r>
        <w:rPr>
          <w:b w:val="0"/>
          <w:i w:val="0"/>
          <w:iCs/>
          <w:sz w:val="16"/>
        </w:rPr>
        <w:t>Figure 2. Confusion matrices over moderation iterations (k = 0, ..., 3), development set, published configuration. Rows correspond to the gold labels and columns to the model predictions. The cells of the same gold and prediction labels show the number of span boundary mismatches. The clusters targeted in rounds 1 to 4 are S→D (6), S→S (3), D→O (3) and S→O (3). C = CompositeMention, D = DiseaseClass, M = Modifier, S = SpecificDisease, O = No Entity.</w:t>
      </w:r>
    </w:p>
    <w:p w14:paraId="3BCC0E28">
      <w:pPr>
        <w:spacing w:after="80"/>
        <w:jc w:val="both"/>
      </w:pPr>
      <w:commentRangeStart w:id="21"/>
      <w:r>
        <w:rPr>
          <w:b w:val="0"/>
          <w:i w:val="0"/>
          <w:sz w:val="20"/>
        </w:rPr>
        <w:t>Candidates 4 and 5 concern what the loop decides on. Its accept-or-revert test compares two single annotations, and sixteen annotations of the same documents under one unchanged guideline range from 0.739 to 0.859, so the test resolves less than the differences it is asked to judge. That noise cannot be configured away: on reasoning models, whose traces are sampled independently of the output layer, DeepSeek-V4 deviates by 0.0261 at temperature 0 against 0.0147 at its default. It can be averaged down instead. The splits are nested, so one set of repeated annotations measures every size at once, and the deviation falls from 0.0150 at ten documents to 0.0092 at thirty. Enlarging the development set, and choosing its documents so their error types match the held-out set's, is therefore the next direction, followed by replication on BC5CDR and BioRED.</w:t>
      </w:r>
      <w:commentRangeEnd w:id="21"/>
      <w:r>
        <w:commentReference w:id="21"/>
      </w:r>
    </w:p>
    <w:p w14:paraId="18939FAF">
      <w:pPr>
        <w:spacing w:after="60"/>
        <w:jc w:val="left"/>
      </w:pPr>
      <w:r>
        <w:rPr>
          <w:b/>
          <w:i w:val="0"/>
          <w:sz w:val="20"/>
        </w:rPr>
        <w:t>References</w:t>
      </w:r>
    </w:p>
    <w:p w14:paraId="3D44B4BA">
      <w:pPr>
        <w:spacing w:after="20"/>
        <w:jc w:val="left"/>
      </w:pPr>
      <w:r>
        <w:rPr>
          <w:b w:val="0"/>
          <w:i w:val="0"/>
          <w:sz w:val="16"/>
        </w:rPr>
        <w:t>[1] Refining and Reusing Annotation Guidelines for LLM Annotation.</w:t>
      </w:r>
    </w:p>
    <w:p w14:paraId="29D5D4CA">
      <w:pPr>
        <w:spacing w:after="20"/>
        <w:jc w:val="left"/>
      </w:pPr>
      <w:r>
        <w:rPr>
          <w:b w:val="0"/>
          <w:i w:val="0"/>
          <w:sz w:val="16"/>
        </w:rPr>
        <w:t>[2] R. I. Dogan, R. Leaman, Z. Lu. NCBI Disease Corpus. J. Biomed. Inform., 47:1-10, 2014.</w:t>
      </w:r>
    </w:p>
    <w:sectPr>
      <w:pgSz w:w="11906" w:h="16838"/>
      <w:pgMar w:top="1020" w:right="1020" w:bottom="1020" w:left="102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yu" w:date="2026-08-24T15:30:59Z" w:initials="">
    <w:p w14:paraId="56D05214">
      <w:pPr>
        <w:pStyle w:val="17"/>
        <w:rPr>
          <w:rFonts w:hint="default" w:eastAsia="宋体"/>
          <w:lang w:val="en-US" w:eastAsia="zh-CN"/>
        </w:rPr>
      </w:pPr>
      <w:r>
        <w:rPr>
          <w:rFonts w:hint="eastAsia" w:eastAsia="宋体"/>
          <w:lang w:val="en-US" w:eastAsia="zh-CN"/>
        </w:rPr>
        <w:t>显式说明named entity recognition (NER)</w:t>
      </w:r>
    </w:p>
  </w:comment>
  <w:comment w:id="1" w:author="zhyu" w:date="2026-08-24T15:32:16Z" w:initials="">
    <w:p w14:paraId="648387AB">
      <w:pPr>
        <w:pStyle w:val="17"/>
        <w:rPr>
          <w:rFonts w:hint="default" w:eastAsia="宋体"/>
          <w:lang w:val="en-US" w:eastAsia="zh-CN"/>
        </w:rPr>
      </w:pPr>
      <w:r>
        <w:rPr>
          <w:rFonts w:hint="eastAsia" w:eastAsia="宋体"/>
          <w:lang w:val="en-US" w:eastAsia="zh-CN"/>
        </w:rPr>
        <w:t>突兀，什么叫guideline被adjusted？Adjust的目的是什么？</w:t>
      </w:r>
    </w:p>
  </w:comment>
  <w:comment w:id="2" w:author="zhyu" w:date="2026-08-24T15:33:41Z" w:initials="">
    <w:p w14:paraId="7E55D7BB">
      <w:pPr>
        <w:pStyle w:val="17"/>
        <w:rPr>
          <w:rFonts w:hint="default" w:eastAsia="宋体"/>
          <w:lang w:val="en-US" w:eastAsia="zh-CN"/>
        </w:rPr>
      </w:pPr>
      <w:r>
        <w:rPr>
          <w:rFonts w:hint="eastAsia" w:eastAsia="宋体"/>
          <w:lang w:val="en-US" w:eastAsia="zh-CN"/>
        </w:rPr>
        <w:t>用来解释这个过程我想直接把Figure 1提升到Introduction章节的末尾并在这段描述中注明。</w:t>
      </w:r>
    </w:p>
  </w:comment>
  <w:comment w:id="3" w:author="zhyu" w:date="2026-08-24T15:34:44Z" w:initials="">
    <w:p w14:paraId="261083B1">
      <w:pPr>
        <w:pStyle w:val="17"/>
        <w:rPr>
          <w:rFonts w:hint="default" w:eastAsia="宋体"/>
          <w:lang w:val="en-US" w:eastAsia="zh-CN"/>
        </w:rPr>
      </w:pPr>
      <w:r>
        <w:rPr>
          <w:rFonts w:hint="eastAsia" w:eastAsia="宋体"/>
          <w:lang w:val="en-US" w:eastAsia="zh-CN"/>
        </w:rPr>
        <w:t>不要用这种不容易理解的说法，全篇统一，如果这里指代的是val dataset，那么你需要提前定义val dataset并在后续所有地方用到这个概念的时候用val dataset而不是生造一个词</w:t>
      </w:r>
    </w:p>
  </w:comment>
  <w:comment w:id="4" w:author="zhyu" w:date="2026-08-24T15:36:56Z" w:initials="">
    <w:p w14:paraId="2D61BB28">
      <w:pPr>
        <w:pStyle w:val="17"/>
        <w:rPr>
          <w:rFonts w:hint="default" w:eastAsia="宋体"/>
          <w:lang w:val="en-US" w:eastAsia="zh-CN"/>
        </w:rPr>
      </w:pPr>
      <w:r>
        <w:rPr>
          <w:rFonts w:hint="eastAsia" w:eastAsia="宋体"/>
          <w:lang w:val="en-US" w:eastAsia="zh-CN"/>
        </w:rPr>
        <w:t>前面都没提过dev dataset，这里说这些干什么？？？没读过方法论谁能理解你要说什么？你就说从现有方法论中检出了一些candidates，不就行了？</w:t>
      </w:r>
    </w:p>
  </w:comment>
  <w:comment w:id="5" w:author="zhyu" w:date="2026-08-24T15:27:35Z" w:initials="">
    <w:p w14:paraId="259541BD">
      <w:pPr>
        <w:pStyle w:val="17"/>
        <w:rPr>
          <w:rFonts w:hint="default" w:eastAsia="宋体"/>
          <w:lang w:val="en-US" w:eastAsia="zh-CN"/>
        </w:rPr>
      </w:pPr>
      <w:r>
        <w:rPr>
          <w:rFonts w:hint="eastAsia" w:eastAsia="宋体"/>
          <w:lang w:val="en-US" w:eastAsia="zh-CN"/>
        </w:rPr>
        <w:t>Candidate of what??</w:t>
      </w:r>
    </w:p>
  </w:comment>
  <w:comment w:id="6" w:author="zhyu" w:date="2026-08-24T15:38:22Z" w:initials="">
    <w:p w14:paraId="53298240">
      <w:pPr>
        <w:pStyle w:val="17"/>
        <w:rPr>
          <w:rFonts w:hint="eastAsia" w:eastAsia="宋体"/>
          <w:lang w:val="en-US" w:eastAsia="zh-CN"/>
        </w:rPr>
      </w:pPr>
      <w:r>
        <w:rPr>
          <w:rFonts w:hint="eastAsia" w:eastAsia="宋体"/>
          <w:lang w:val="en-US" w:eastAsia="zh-CN"/>
        </w:rPr>
        <w:t>什么玩意？</w:t>
      </w:r>
    </w:p>
  </w:comment>
  <w:comment w:id="7" w:author="zhyu" w:date="2026-08-24T15:40:02Z" w:initials="">
    <w:p w14:paraId="0678C6EB">
      <w:pPr>
        <w:pStyle w:val="17"/>
        <w:rPr>
          <w:rFonts w:hint="default" w:eastAsia="宋体"/>
          <w:lang w:val="en-US" w:eastAsia="zh-CN"/>
        </w:rPr>
      </w:pPr>
      <w:r>
        <w:rPr>
          <w:rFonts w:hint="eastAsia" w:eastAsia="宋体"/>
          <w:lang w:val="en-US" w:eastAsia="zh-CN"/>
        </w:rPr>
        <w:t>你会不会按照顺序来说？流程图给你了乱说什么？</w:t>
      </w:r>
    </w:p>
  </w:comment>
  <w:comment w:id="8" w:author="zhyu" w:date="2026-08-24T15:40:42Z" w:initials="">
    <w:p w14:paraId="49B327EE">
      <w:pPr>
        <w:pStyle w:val="17"/>
        <w:rPr>
          <w:rFonts w:hint="default" w:eastAsia="宋体"/>
          <w:lang w:val="en-US" w:eastAsia="zh-CN"/>
        </w:rPr>
      </w:pPr>
      <w:r>
        <w:rPr>
          <w:rFonts w:hint="eastAsia" w:eastAsia="宋体"/>
          <w:lang w:val="en-US" w:eastAsia="zh-CN"/>
        </w:rPr>
        <w:t>这是什么？没告诉你要提前定义？</w:t>
      </w:r>
    </w:p>
  </w:comment>
  <w:comment w:id="9" w:author="zhyu" w:date="2026-08-24T15:41:03Z" w:initials="">
    <w:p w14:paraId="32E107CD">
      <w:pPr>
        <w:pStyle w:val="17"/>
        <w:rPr>
          <w:rFonts w:hint="eastAsia" w:eastAsia="宋体"/>
          <w:lang w:val="en-US" w:eastAsia="zh-CN"/>
        </w:rPr>
      </w:pPr>
      <w:r>
        <w:rPr>
          <w:rFonts w:hint="eastAsia" w:eastAsia="宋体"/>
          <w:lang w:val="en-US" w:eastAsia="zh-CN"/>
        </w:rPr>
        <w:t>这是什么？</w:t>
      </w:r>
    </w:p>
  </w:comment>
  <w:comment w:id="10" w:author="zhyu" w:date="2026-08-24T15:42:21Z" w:initials="">
    <w:p w14:paraId="47275516">
      <w:pPr>
        <w:pStyle w:val="17"/>
        <w:rPr>
          <w:rFonts w:hint="default" w:eastAsia="宋体"/>
          <w:lang w:val="en-US" w:eastAsia="zh-CN"/>
        </w:rPr>
      </w:pPr>
      <w:r>
        <w:rPr>
          <w:rFonts w:hint="eastAsia" w:eastAsia="宋体"/>
          <w:lang w:val="en-US" w:eastAsia="zh-CN"/>
        </w:rPr>
        <w:t>什么叫copying？</w:t>
      </w:r>
    </w:p>
  </w:comment>
  <w:comment w:id="11" w:author="zhyu" w:date="2026-08-24T15:42:31Z" w:initials="">
    <w:p w14:paraId="33B3D970">
      <w:pPr>
        <w:pStyle w:val="17"/>
        <w:rPr>
          <w:rFonts w:hint="default" w:eastAsia="宋体"/>
          <w:lang w:val="en-US" w:eastAsia="zh-CN"/>
        </w:rPr>
      </w:pPr>
      <w:r>
        <w:rPr>
          <w:rFonts w:hint="eastAsia" w:eastAsia="宋体"/>
          <w:lang w:val="en-US" w:eastAsia="zh-CN"/>
        </w:rPr>
        <w:t>什么叫stability？这两个定义的指标在后续的candidates表中完全没有被用到你为什么要把这两块放在一起？？？</w:t>
      </w:r>
    </w:p>
  </w:comment>
  <w:comment w:id="12" w:author="zhyu" w:date="2026-08-24T15:43:51Z" w:initials="">
    <w:p w14:paraId="399D00DF">
      <w:pPr>
        <w:pStyle w:val="17"/>
        <w:rPr>
          <w:rFonts w:hint="default" w:eastAsia="宋体"/>
          <w:lang w:val="en-US" w:eastAsia="zh-CN"/>
        </w:rPr>
      </w:pPr>
      <w:r>
        <w:rPr>
          <w:rFonts w:hint="eastAsia" w:eastAsia="宋体"/>
          <w:lang w:val="en-US" w:eastAsia="zh-CN"/>
        </w:rPr>
        <w:t>Them指代的是什么？？？你上面定义的难道不是metrics?</w:t>
      </w:r>
    </w:p>
  </w:comment>
  <w:comment w:id="13" w:author="zhyu" w:date="2026-08-24T15:54:02Z" w:initials="">
    <w:p w14:paraId="0F36A1E2">
      <w:pPr>
        <w:pStyle w:val="17"/>
        <w:rPr>
          <w:rFonts w:hint="default" w:eastAsia="宋体"/>
          <w:lang w:val="en-US" w:eastAsia="zh-CN"/>
        </w:rPr>
      </w:pPr>
      <w:r>
        <w:rPr>
          <w:rFonts w:hint="eastAsia" w:eastAsia="宋体"/>
          <w:lang w:val="en-US" w:eastAsia="zh-CN"/>
        </w:rPr>
        <w:t>定义都不定义听不懂你想说什么</w:t>
      </w:r>
    </w:p>
  </w:comment>
  <w:comment w:id="14" w:author="zhyu" w:date="2026-08-24T15:54:52Z" w:initials="">
    <w:p w14:paraId="33252AA6">
      <w:pPr>
        <w:pStyle w:val="17"/>
        <w:rPr>
          <w:rFonts w:hint="default" w:eastAsia="宋体"/>
          <w:lang w:val="en-US" w:eastAsia="zh-CN"/>
        </w:rPr>
      </w:pPr>
      <w:r>
        <w:rPr>
          <w:rFonts w:hint="eastAsia" w:eastAsia="宋体"/>
          <w:lang w:val="en-US" w:eastAsia="zh-CN"/>
        </w:rPr>
        <w:t>什么叫这个？说直接把TPs hard coding进改进后的guideline中你会死？？？说的容易理解这么难？</w:t>
      </w:r>
    </w:p>
  </w:comment>
  <w:comment w:id="15" w:author="zhyu" w:date="2026-08-24T15:56:33Z" w:initials="">
    <w:p w14:paraId="558BA323">
      <w:pPr>
        <w:pStyle w:val="17"/>
        <w:rPr>
          <w:rFonts w:hint="eastAsia" w:eastAsia="宋体"/>
          <w:lang w:val="en-US" w:eastAsia="zh-CN"/>
        </w:rPr>
      </w:pPr>
      <w:r>
        <w:rPr>
          <w:rFonts w:hint="eastAsia" w:eastAsia="宋体"/>
          <w:lang w:val="en-US" w:eastAsia="zh-CN"/>
        </w:rPr>
        <w:t>说人话</w:t>
      </w:r>
    </w:p>
  </w:comment>
  <w:comment w:id="16" w:author="zhyu" w:date="2026-08-24T15:56:48Z" w:initials="">
    <w:p w14:paraId="2E901B2F">
      <w:pPr>
        <w:pStyle w:val="17"/>
        <w:rPr>
          <w:rFonts w:hint="eastAsia" w:eastAsia="宋体"/>
          <w:lang w:val="en-US" w:eastAsia="zh-CN"/>
        </w:rPr>
      </w:pPr>
      <w:r>
        <w:rPr>
          <w:rFonts w:hint="eastAsia" w:eastAsia="宋体"/>
          <w:lang w:val="en-US" w:eastAsia="zh-CN"/>
        </w:rPr>
        <w:t>说人话</w:t>
      </w:r>
    </w:p>
  </w:comment>
  <w:comment w:id="17" w:author="zhyu" w:date="2026-08-24T15:58:52Z" w:initials="">
    <w:p w14:paraId="0A174726">
      <w:pPr>
        <w:pStyle w:val="17"/>
        <w:rPr>
          <w:rFonts w:hint="default" w:eastAsia="宋体"/>
          <w:lang w:val="en-US" w:eastAsia="zh-CN"/>
        </w:rPr>
      </w:pPr>
      <w:r>
        <w:rPr>
          <w:rFonts w:hint="eastAsia" w:eastAsia="宋体"/>
          <w:lang w:val="en-US" w:eastAsia="zh-CN"/>
        </w:rPr>
        <w:t>什么叫working cases？同样的概念这么别名，要我强调多少次？</w:t>
      </w:r>
    </w:p>
  </w:comment>
  <w:comment w:id="18" w:author="zhyu" w:date="2026-08-24T15:59:31Z" w:initials="">
    <w:p w14:paraId="41B35179">
      <w:pPr>
        <w:pStyle w:val="17"/>
        <w:rPr>
          <w:rFonts w:hint="default" w:eastAsia="宋体"/>
          <w:lang w:val="en-US" w:eastAsia="zh-CN"/>
        </w:rPr>
      </w:pPr>
      <w:r>
        <w:rPr>
          <w:rFonts w:hint="eastAsia" w:eastAsia="宋体"/>
          <w:lang w:val="en-US" w:eastAsia="zh-CN"/>
        </w:rPr>
        <w:t>这是什么死妈表达？</w:t>
      </w:r>
    </w:p>
  </w:comment>
  <w:comment w:id="19" w:author="zhyu" w:date="2026-08-24T15:59:52Z" w:initials="">
    <w:p w14:paraId="71D9E210">
      <w:pPr>
        <w:pStyle w:val="17"/>
        <w:rPr>
          <w:rFonts w:hint="default" w:eastAsia="宋体"/>
          <w:lang w:val="en-US" w:eastAsia="zh-CN"/>
        </w:rPr>
      </w:pPr>
      <w:r>
        <w:rPr>
          <w:rFonts w:hint="eastAsia" w:eastAsia="宋体"/>
          <w:lang w:val="en-US" w:eastAsia="zh-CN"/>
        </w:rPr>
        <w:t>不要用这种说法，换成限制回归</w:t>
      </w:r>
    </w:p>
  </w:comment>
  <w:comment w:id="20" w:author="zhyu" w:date="2026-08-24T16:00:51Z" w:initials="">
    <w:p w14:paraId="40726465">
      <w:pPr>
        <w:pStyle w:val="17"/>
        <w:rPr>
          <w:rFonts w:hint="default" w:eastAsia="宋体"/>
          <w:lang w:val="en-US" w:eastAsia="zh-CN"/>
        </w:rPr>
      </w:pPr>
      <w:r>
        <w:rPr>
          <w:rFonts w:hint="eastAsia" w:eastAsia="宋体"/>
          <w:lang w:val="en-US" w:eastAsia="zh-CN"/>
        </w:rPr>
        <w:t>你在硬概括什么？？？这三个之间有几把关联？没有做的一下带过，做了discrepancy analysis的就列出矩阵详细说，很难理解？</w:t>
      </w:r>
    </w:p>
  </w:comment>
  <w:comment w:id="21" w:author="zhyu" w:date="2026-08-24T16:02:09Z" w:initials="">
    <w:p w14:paraId="09F80C07">
      <w:pPr>
        <w:pStyle w:val="17"/>
        <w:rPr>
          <w:rFonts w:hint="default" w:eastAsia="宋体"/>
          <w:lang w:val="en-US" w:eastAsia="zh-CN"/>
        </w:rPr>
      </w:pPr>
      <w:r>
        <w:rPr>
          <w:rFonts w:hint="eastAsia" w:eastAsia="宋体"/>
          <w:lang w:val="en-US" w:eastAsia="zh-CN"/>
        </w:rPr>
        <w:t>简单说：因为我的实验观测到了标注的随机性和噪音，罗列一下结果。至于</w:t>
      </w:r>
      <w:bookmarkStart w:id="0" w:name="_GoBack"/>
      <w:bookmarkEnd w:id="0"/>
      <w:r>
        <w:rPr>
          <w:rFonts w:hint="eastAsia" w:eastAsia="宋体"/>
          <w:lang w:val="en-US" w:eastAsia="zh-CN"/>
        </w:rPr>
        <w:t>4和5（这里需要概括4和5是什么，不要直接用candidates4这种表达，没人有时间回过头去找一次）。</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6D05214" w15:done="0"/>
  <w15:commentEx w15:paraId="648387AB" w15:done="0"/>
  <w15:commentEx w15:paraId="7E55D7BB" w15:done="0"/>
  <w15:commentEx w15:paraId="261083B1" w15:done="0"/>
  <w15:commentEx w15:paraId="2D61BB28" w15:done="0"/>
  <w15:commentEx w15:paraId="259541BD" w15:done="0"/>
  <w15:commentEx w15:paraId="53298240" w15:done="0"/>
  <w15:commentEx w15:paraId="0678C6EB" w15:done="0"/>
  <w15:commentEx w15:paraId="49B327EE" w15:done="0"/>
  <w15:commentEx w15:paraId="32E107CD" w15:done="0"/>
  <w15:commentEx w15:paraId="47275516" w15:done="0"/>
  <w15:commentEx w15:paraId="33B3D970" w15:done="0"/>
  <w15:commentEx w15:paraId="399D00DF" w15:done="0"/>
  <w15:commentEx w15:paraId="0F36A1E2" w15:done="0"/>
  <w15:commentEx w15:paraId="33252AA6" w15:done="0"/>
  <w15:commentEx w15:paraId="558BA323" w15:done="0"/>
  <w15:commentEx w15:paraId="2E901B2F" w15:done="0"/>
  <w15:commentEx w15:paraId="0A174726" w15:done="0"/>
  <w15:commentEx w15:paraId="41B35179" w15:done="0"/>
  <w15:commentEx w15:paraId="71D9E210" w15:done="0"/>
  <w15:commentEx w15:paraId="40726465" w15:done="0"/>
  <w15:commentEx w15:paraId="09F80C0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yu">
    <w15:presenceInfo w15:providerId="WPS Office" w15:userId="3835053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D076A"/>
    <w:rsid w:val="290125E9"/>
    <w:rsid w:val="4C62652B"/>
    <w:rsid w:val="6277056E"/>
    <w:rsid w:val="702A5911"/>
    <w:rsid w:val="799D7E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MS Mincho" w:cstheme="minorBidi"/>
      <w:sz w:val="20"/>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7"/>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5"/>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7"/>
    <w:unhideWhenUsed/>
    <w:uiPriority w:val="99"/>
    <w:pPr>
      <w:tabs>
        <w:tab w:val="center" w:pos="4680"/>
        <w:tab w:val="right" w:pos="9360"/>
      </w:tabs>
      <w:spacing w:after="0" w:line="240" w:lineRule="auto"/>
    </w:pPr>
  </w:style>
  <w:style w:type="paragraph" w:styleId="26">
    <w:name w:val="header"/>
    <w:basedOn w:val="1"/>
    <w:link w:val="136"/>
    <w:unhideWhenUsed/>
    <w:uiPriority w:val="99"/>
    <w:pPr>
      <w:tabs>
        <w:tab w:val="center" w:pos="4680"/>
        <w:tab w:val="right" w:pos="9360"/>
      </w:tabs>
      <w:spacing w:after="0" w:line="240" w:lineRule="auto"/>
    </w:pPr>
  </w:style>
  <w:style w:type="paragraph" w:styleId="27">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6"/>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6"/>
    <w:uiPriority w:val="99"/>
  </w:style>
  <w:style w:type="character" w:customStyle="1" w:styleId="137">
    <w:name w:val="Footer Char"/>
    <w:basedOn w:val="133"/>
    <w:link w:val="25"/>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20"/>
    <w:uiPriority w:val="99"/>
  </w:style>
  <w:style w:type="character" w:customStyle="1" w:styleId="146">
    <w:name w:val="Body Text 2 Char"/>
    <w:basedOn w:val="133"/>
    <w:link w:val="29"/>
    <w:uiPriority w:val="99"/>
  </w:style>
  <w:style w:type="character" w:customStyle="1" w:styleId="147">
    <w:name w:val="Body Text 3 Char"/>
    <w:basedOn w:val="133"/>
    <w:link w:val="18"/>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sv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sv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1544</Words>
  <Characters>7810</Characters>
  <Lines>0</Lines>
  <Paragraphs>0</Paragraphs>
  <TotalTime>42</TotalTime>
  <ScaleCrop>false</ScaleCrop>
  <LinksUpToDate>false</LinksUpToDate>
  <CharactersWithSpaces>9251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zhyu</cp:lastModifiedBy>
  <dcterms:modified xsi:type="dcterms:W3CDTF">2026-08-24T07:03:39Z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eyJoZGlkIjoiMzhjOGQ0NWZmOTAxYjAyMTAxNzVhYjVhZGVmNjJjNzEiLCJ1c2VySWQiOiIzOTY3NjIwMzYifQ==</vt:lpwstr>
  </property>
  <property fmtid="{D5CDD505-2E9C-101B-9397-08002B2CF9AE}" pid="3" name="KSOProductBuildVer">
    <vt:lpwstr>2052-12.1.0.28043</vt:lpwstr>
  </property>
  <property fmtid="{D5CDD505-2E9C-101B-9397-08002B2CF9AE}" pid="4" name="ICV">
    <vt:lpwstr>70729295CE854F129201AADB8E95E8AF_12</vt:lpwstr>
  </property>
</Properties>
</file>