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8B4CF8">
      <w:pPr>
        <w:pStyle w:val="83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153375</wp:posOffset>
                </wp:positionH>
                <wp:positionV relativeFrom="paragraph">
                  <wp:posOffset>-547275</wp:posOffset>
                </wp:positionV>
                <wp:extent cx="5324475" cy="400050"/>
                <wp:effectExtent l="0" t="0" r="0" b="0"/>
                <wp:wrapNone/>
                <wp:docPr id="1" name=""/>
                <wp:cNvGraphicFramePr/>
                <a:graphic xmlns:a="http://schemas.openxmlformats.org/drawingml/2006/main">
                  <a:graphicData uri="http://schemas.microsoft.com/office/word/2010/wordprocessingShape">
                    <wps:wsp>
                      <wps:cNvPr id="916299374" name=""/>
                      <wps:cNvSpPr txBox="1"/>
                      <wps:spPr bwMode="auto">
                        <a:xfrm rot="0" flipH="0" flipV="0">
                          <a:off x="0" y="0"/>
                          <a:ext cx="5324474" cy="400050"/>
                        </a:xfrm>
                        <a:prstGeom prst="rect">
                          <a:avLst/>
                        </a:prstGeom>
                        <a:solidFill>
                          <a:schemeClr val="lt1"/>
                        </a:solidFill>
                        <a:ln w="6350">
                          <a:solidFill>
                            <a:prstClr val="black"/>
                          </a:solidFill>
                        </a:ln>
                      </wps:spPr>
                      <wps:txbx>
                        <w:txbxContent>
                          <w:p w14:paraId="1D84D034">
                            <w:pPr>
                              <w:pBdr/>
                              <w:spacing/>
                              <w:ind/>
                              <w:rPr/>
                            </w:pPr>
                            <w:r>
                              <w:t xml:space="preserve">Object I’m counting on. The exp results I selected.</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0" o:spid="_x0000_s0" o:spt="202" type="#_x0000_t202" style="position:absolute;z-index:2048;o:allowoverlap:true;o:allowincell:true;mso-position-horizontal-relative:text;margin-left:12.08pt;mso-position-horizontal:absolute;mso-position-vertical-relative:text;margin-top:-43.09pt;mso-position-vertical:absolute;width:419.25pt;height:31.50pt;mso-wrap-distance-left:9.07pt;mso-wrap-distance-top:0.00pt;mso-wrap-distance-right:9.07pt;mso-wrap-distance-bottom:0.00pt;rotation:0;v-text-anchor:top;visibility:visible;" fillcolor="#FFFFFF" strokecolor="#000000" strokeweight="0.50pt">
                <v:textbox inset="0,0,0,0">
                  <w:txbxContent>
                    <w:p w14:paraId="1D84D034">
                      <w:pPr>
                        <w:pBdr/>
                        <w:spacing/>
                        <w:ind/>
                        <w:rPr/>
                      </w:pPr>
                      <w:r>
                        <w:t xml:space="preserve">Object I’m counting on. The exp results I selected.</w:t>
                      </w:r>
                      <w:r/>
                    </w:p>
                  </w:txbxContent>
                </v:textbox>
              </v:shape>
            </w:pict>
          </mc:Fallback>
        </mc:AlternateContent>
      </w:r>
      <w:r>
        <w:rPr>
          <w:rFonts w:ascii="Times New Roman" w:hAnsi="Times New Roman" w:eastAsia="Times New Roman" w:cs="Times New Roman"/>
          <w:b/>
          <w:color w:val="000000"/>
          <w:sz w:val="36"/>
        </w:rPr>
        <w:t xml:space="preserve">1. Rule used</w:t>
      </w:r>
      <w:r/>
    </w:p>
    <w:p w14:paraId="6DD395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every newly added guideline item, ask one question:</w:t>
      </w:r>
      <w:r/>
    </w:p>
    <w:p w14:paraId="7FFE72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If you remove the specific example sentences and entity names, does the item still say under what condition it applies and how to label it?</w:t>
      </w:r>
      <w:r/>
    </w:p>
    <w:p w14:paraId="69BE76F7">
      <w:pPr>
        <w:pStyle w:val="89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Yes</w:t>
      </w:r>
      <w:r>
        <w:rPr>
          <w:rFonts w:ascii="Times New Roman" w:hAnsi="Times New Roman" w:eastAsia="Times New Roman" w:cs="Times New Roman"/>
          <w:color w:val="000000"/>
          <w:sz w:val="24"/>
        </w:rPr>
        <w:t xml:space="preserve">: abstract</w:t>
      </w:r>
      <w:r/>
    </w:p>
    <w:p w14:paraId="6E88F7AD">
      <w:pPr>
        <w:pStyle w:val="89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No, it only gives the answer for one specific example</w:t>
      </w:r>
      <w:r>
        <w:rPr>
          <w:rFonts w:ascii="Times New Roman" w:hAnsi="Times New Roman" w:eastAsia="Times New Roman" w:cs="Times New Roman"/>
          <w:color w:val="000000"/>
          <w:sz w:val="24"/>
        </w:rPr>
        <w:t xml:space="preserve">: hard coding</w:t>
      </w:r>
      <w:r/>
    </w:p>
    <w:p w14:paraId="5FC7B5C1">
      <w:pPr>
        <w:pStyle w:val="89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Not sure</w:t>
      </w:r>
      <w:r>
        <w:rPr>
          <w:rFonts w:ascii="Times New Roman" w:hAnsi="Times New Roman" w:eastAsia="Times New Roman" w:cs="Times New Roman"/>
          <w:color w:val="000000"/>
          <w:sz w:val="24"/>
        </w:rPr>
        <w:t xml:space="preserve">: leave it unclassified, do not force a label</w:t>
      </w:r>
      <w:r/>
    </w:p>
    <w:p w14:paraId="57FC93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item is not hard coding just because it has an example attached. It only counts as hard coding when the example or the named entity is the whole content, so that removing it leaves nothing.</w:t>
      </w:r>
      <w:r/>
    </w:p>
    <w:p w14:paraId="02F3DB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applied this rule to every item added across the four rounds, then checked and corrected the results by hand.</w:t>
      </w:r>
      <w:r/>
    </w:p>
    <w:p w14:paraId="24BB76E3">
      <w:pPr>
        <w:pStyle w:val="83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Result</w:t>
      </w:r>
      <w:r/>
    </w:p>
    <w:tbl>
      <w:tblPr>
        <w:tblStyle w:val="70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536"/>
        <w:gridCol w:w="3402"/>
      </w:tblGrid>
      <w:tr>
        <w:trPr/>
        <w:tc>
          <w:tcPr>
            <w:tcBorders/>
            <w:tcMar>
              <w:left w:w="15" w:type="dxa"/>
              <w:top w:w="15" w:type="dxa"/>
              <w:right w:w="15" w:type="dxa"/>
              <w:bottom w:w="15" w:type="dxa"/>
            </w:tcMar>
            <w:tcW w:w="1536" w:type="dxa"/>
            <w:vAlign w:val="center"/>
          </w:tcPr>
          <w:p w14:paraId="6461568D">
            <w:pPr>
              <w:pBdr/>
              <w:spacing w:after="0" w:before="0" w:line="240" w:lineRule="auto"/>
              <w:ind/>
              <w:jc w:val="center"/>
              <w:rPr/>
            </w:pPr>
            <w:r>
              <w:rPr>
                <w:rFonts w:ascii="Times New Roman" w:hAnsi="Times New Roman" w:eastAsia="Times New Roman" w:cs="Times New Roman"/>
                <w:b/>
                <w:color w:val="000000"/>
                <w:sz w:val="24"/>
              </w:rPr>
              <w:t xml:space="preserve">Category</w:t>
            </w:r>
            <w:r/>
          </w:p>
        </w:tc>
        <w:tc>
          <w:tcPr>
            <w:tcBorders/>
            <w:tcMar>
              <w:left w:w="15" w:type="dxa"/>
              <w:top w:w="15" w:type="dxa"/>
              <w:right w:w="15" w:type="dxa"/>
              <w:bottom w:w="15" w:type="dxa"/>
            </w:tcMar>
            <w:tcW w:w="3402" w:type="dxa"/>
            <w:vAlign w:val="center"/>
          </w:tcPr>
          <w:p w14:paraId="09DED009">
            <w:pPr>
              <w:pBdr/>
              <w:spacing w:after="0" w:before="0" w:line="240" w:lineRule="auto"/>
              <w:ind/>
              <w:jc w:val="center"/>
              <w:rPr/>
            </w:pPr>
            <w:r>
              <w:rPr>
                <w:rFonts w:ascii="Times New Roman" w:hAnsi="Times New Roman" w:eastAsia="Times New Roman" w:cs="Times New Roman"/>
                <w:b/>
                <w:color w:val="000000"/>
                <w:sz w:val="24"/>
              </w:rPr>
              <w:t xml:space="preserve">Count</w:t>
            </w:r>
            <w:r/>
          </w:p>
        </w:tc>
      </w:tr>
      <w:tr>
        <w:trPr/>
        <w:tc>
          <w:tcPr>
            <w:tcBorders/>
            <w:tcMar>
              <w:left w:w="15" w:type="dxa"/>
              <w:top w:w="15" w:type="dxa"/>
              <w:right w:w="15" w:type="dxa"/>
              <w:bottom w:w="15" w:type="dxa"/>
            </w:tcMar>
            <w:tcW w:w="1536" w:type="dxa"/>
            <w:vAlign w:val="center"/>
          </w:tcPr>
          <w:p w14:paraId="5D1E5528">
            <w:pPr>
              <w:pBdr/>
              <w:spacing w:after="0" w:before="0" w:line="240" w:lineRule="auto"/>
              <w:ind/>
              <w:rPr/>
            </w:pPr>
            <w:r>
              <w:rPr>
                <w:rFonts w:ascii="Times New Roman" w:hAnsi="Times New Roman" w:eastAsia="Times New Roman" w:cs="Times New Roman"/>
                <w:color w:val="000000"/>
                <w:sz w:val="24"/>
              </w:rPr>
              <w:t xml:space="preserve">Abstract</w:t>
            </w:r>
            <w:r/>
          </w:p>
        </w:tc>
        <w:tc>
          <w:tcPr>
            <w:tcBorders/>
            <w:tcMar>
              <w:left w:w="15" w:type="dxa"/>
              <w:top w:w="15" w:type="dxa"/>
              <w:right w:w="15" w:type="dxa"/>
              <w:bottom w:w="15" w:type="dxa"/>
            </w:tcMar>
            <w:tcW w:w="3402" w:type="dxa"/>
            <w:vAlign w:val="center"/>
          </w:tcPr>
          <w:p w14:paraId="2F356A24">
            <w:pPr>
              <w:pBdr/>
              <w:spacing w:after="0" w:before="0" w:line="240" w:lineRule="auto"/>
              <w:ind/>
              <w:rPr/>
            </w:pPr>
            <w:r>
              <w:rPr>
                <w:rFonts w:ascii="Times New Roman" w:hAnsi="Times New Roman" w:eastAsia="Times New Roman" w:cs="Times New Roman"/>
                <w:color w:val="000000"/>
                <w:sz w:val="24"/>
              </w:rPr>
              <w:t xml:space="preserve">36</w:t>
            </w:r>
            <w:r/>
          </w:p>
        </w:tc>
      </w:tr>
      <w:tr>
        <w:trPr/>
        <w:tc>
          <w:tcPr>
            <w:tcBorders/>
            <w:tcMar>
              <w:left w:w="15" w:type="dxa"/>
              <w:top w:w="15" w:type="dxa"/>
              <w:right w:w="15" w:type="dxa"/>
              <w:bottom w:w="15" w:type="dxa"/>
            </w:tcMar>
            <w:tcW w:w="1536" w:type="dxa"/>
            <w:vAlign w:val="center"/>
          </w:tcPr>
          <w:p w14:paraId="24B843E6">
            <w:pPr>
              <w:pBdr/>
              <w:spacing w:after="0" w:before="0" w:line="240" w:lineRule="auto"/>
              <w:ind/>
              <w:rPr/>
            </w:pPr>
            <w:r>
              <w:rPr>
                <w:rFonts w:ascii="Times New Roman" w:hAnsi="Times New Roman" w:eastAsia="Times New Roman" w:cs="Times New Roman"/>
                <w:color w:val="000000"/>
                <w:sz w:val="24"/>
              </w:rPr>
              <w:t xml:space="preserve">Hard coding</w:t>
            </w:r>
            <w:r/>
          </w:p>
        </w:tc>
        <w:tc>
          <w:tcPr>
            <w:tcBorders/>
            <w:tcMar>
              <w:left w:w="15" w:type="dxa"/>
              <w:top w:w="15" w:type="dxa"/>
              <w:right w:w="15" w:type="dxa"/>
              <w:bottom w:w="15" w:type="dxa"/>
            </w:tcMar>
            <w:tcW w:w="3402" w:type="dxa"/>
            <w:vAlign w:val="center"/>
          </w:tcPr>
          <w:p w14:paraId="031B2F6D">
            <w:pPr>
              <w:pBdr/>
              <w:spacing w:after="0" w:before="0" w:line="240" w:lineRule="auto"/>
              <w:ind/>
              <w:rPr/>
            </w:pPr>
            <w:r>
              <w:rPr>
                <w:rFonts w:ascii="Times New Roman" w:hAnsi="Times New Roman" w:eastAsia="Times New Roman" w:cs="Times New Roman"/>
                <w:color w:val="000000"/>
                <w:sz w:val="24"/>
              </w:rPr>
              <w:t xml:space="preserve">26</w:t>
            </w:r>
            <w:r/>
          </w:p>
        </w:tc>
      </w:tr>
    </w:tbl>
    <w:p w14:paraId="1DE711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(About 9 more lines were only renumbering or other non-substantive edits. These are not real newly added items, so they were not counted.)</w:t>
      </w:r>
      <w:r/>
    </w:p>
    <w:p w14:paraId="737A10DB">
      <w:pPr>
        <w:pStyle w:val="83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One example of each</w:t>
      </w:r>
      <w:r/>
    </w:p>
    <w:p w14:paraId="60D730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Hard coding:</w:t>
      </w:r>
      <w:r/>
    </w:p>
    <w:p w14:paraId="3B9F23CF">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b/>
          <w:bCs/>
          <w:strike w:val="0"/>
          <w:color w:val="ff0000"/>
          <w:sz w:val="20"/>
          <w:szCs w:val="20"/>
        </w:rPr>
      </w:pPr>
      <w:r>
        <w:rPr>
          <w:rFonts w:ascii="Courier New" w:hAnsi="Courier New" w:eastAsia="Courier New" w:cs="Courier New"/>
          <w:strike w:val="0"/>
          <w:color w:val="000000"/>
          <w:sz w:val="20"/>
        </w:rPr>
        <w:t xml:space="preserve">- "</w:t>
      </w:r>
      <w:r>
        <w:rPr>
          <w:rFonts w:ascii="Courier New" w:hAnsi="Courier New" w:eastAsia="Courier New" w:cs="Courier New"/>
          <w:strike w:val="0"/>
          <w:color w:val="000000"/>
          <w:sz w:val="20"/>
        </w:rPr>
        <w:t xml:space="preserve">ovarian cancer</w:t>
      </w:r>
      <w:r>
        <w:rPr>
          <w:rFonts w:ascii="Courier New" w:hAnsi="Courier New" w:eastAsia="Courier New" w:cs="Courier New"/>
          <w:strike w:val="0"/>
          <w:color w:val="000000"/>
          <w:sz w:val="20"/>
        </w:rPr>
        <w:t xml:space="preserve">—&gt;</w:t>
      </w:r>
      <w:r>
        <w:rPr>
          <w:rFonts w:ascii="Courier New" w:hAnsi="Courier New" w:eastAsia="Courier New" w:cs="Courier New"/>
          <w:strike w:val="0"/>
          <w:color w:val="000000"/>
          <w:sz w:val="20"/>
        </w:rPr>
        <w:t xml:space="preserve">OO</w:t>
      </w:r>
      <w:r>
        <w:rPr>
          <w:rFonts w:ascii="Courier New" w:hAnsi="Courier New" w:eastAsia="Courier New" w:cs="Courier New"/>
          <w:strike w:val="0"/>
          <w:color w:val="000000"/>
          <w:sz w:val="20"/>
        </w:rPr>
        <w:t xml:space="preserve">" in "</w:t>
      </w:r>
      <w:r>
        <w:rPr>
          <w:rFonts w:ascii="Courier New" w:hAnsi="Courier New" w:eastAsia="Courier New" w:cs="Courier New"/>
          <w:strike w:val="0"/>
          <w:color w:val="000000"/>
          <w:sz w:val="20"/>
        </w:rPr>
        <w:t xml:space="preserve">ovarian cancer</w:t>
      </w:r>
      <w:r>
        <w:rPr>
          <w:rFonts w:ascii="Courier New" w:hAnsi="Courier New" w:eastAsia="Courier New" w:cs="Courier New"/>
          <w:strike w:val="0"/>
          <w:color w:val="000000"/>
          <w:sz w:val="20"/>
        </w:rPr>
        <w:t xml:space="preserve">—&gt;</w:t>
      </w:r>
      <w:r>
        <w:rPr>
          <w:rFonts w:ascii="Courier New" w:hAnsi="Courier New" w:eastAsia="Courier New" w:cs="Courier New"/>
          <w:strike w:val="0"/>
          <w:color w:val="000000"/>
          <w:sz w:val="20"/>
        </w:rPr>
        <w:t xml:space="preserve">OO</w:t>
      </w:r>
      <w:r>
        <w:rPr>
          <w:rFonts w:ascii="Courier New" w:hAnsi="Courier New" w:eastAsia="Courier New" w:cs="Courier New"/>
          <w:strike w:val="0"/>
          <w:color w:val="000000"/>
          <w:sz w:val="20"/>
        </w:rPr>
        <w:t xml:space="preserve"> cases" = **Modifier** </w:t>
      </w:r>
      <w:r>
        <w:rPr>
          <w:rFonts w:ascii="Courier New" w:hAnsi="Courier New" w:eastAsia="Courier New" w:cs="Courier New"/>
          <w:b/>
          <w:bCs/>
          <w:strike w:val="0"/>
          <w:color w:val="ff0000"/>
          <w:sz w:val="20"/>
        </w:rPr>
        <w:t xml:space="preserve">(</w:t>
      </w:r>
      <w:r>
        <w:rPr>
          <w:rFonts w:ascii="Courier New" w:hAnsi="Courier New" w:eastAsia="Courier New" w:cs="Courier New"/>
          <w:b/>
          <w:bCs/>
          <w:strike w:val="0"/>
          <w:color w:val="ff0000"/>
          <w:sz w:val="20"/>
        </w:rPr>
        <w:t xml:space="preserve">How to fix: add more instruction for LLM to abstract this specific rule into general rule. </w:t>
      </w:r>
      <w:r>
        <w:rPr>
          <w:rFonts w:ascii="Courier New" w:hAnsi="Courier New" w:eastAsia="Courier New" w:cs="Courier New"/>
          <w:b/>
          <w:bCs/>
          <w:strike w:val="0"/>
          <w:color w:val="ff0000"/>
          <w:sz w:val="20"/>
        </w:rPr>
      </w:r>
    </w:p>
    <w:p w14:paraId="36232D67">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b/>
          <w:bCs/>
          <w:strike w:val="0"/>
          <w:color w:val="ff0000"/>
          <w:sz w:val="20"/>
          <w:szCs w:val="20"/>
        </w:rPr>
      </w:pPr>
      <w:r>
        <w:rPr>
          <w:rFonts w:ascii="Courier New" w:hAnsi="Courier New" w:eastAsia="Courier New" w:cs="Courier New"/>
          <w:b/>
          <w:bCs/>
          <w:strike w:val="0"/>
          <w:color w:val="ff0000"/>
          <w:sz w:val="20"/>
          <w:highlight w:val="none"/>
        </w:rPr>
        <w:t xml:space="preserve">To test whether the one is hard coding, need to check cases other than the following provided examples are annotated correctly or not? If they can be annotated correctly, this means LLM learned general pattern info from specfic examples.</w:t>
      </w:r>
      <w:r>
        <w:rPr>
          <w:rFonts w:ascii="Courier New" w:hAnsi="Courier New" w:eastAsia="Courier New" w:cs="Courier New"/>
          <w:b/>
          <w:bCs/>
          <w:strike w:val="0"/>
          <w:color w:val="ff0000"/>
          <w:sz w:val="20"/>
          <w:highlight w:val="none"/>
        </w:rPr>
      </w:r>
      <w:r>
        <w:rPr>
          <w:rFonts w:ascii="Courier New" w:hAnsi="Courier New" w:eastAsia="Courier New" w:cs="Courier New"/>
          <w:b/>
          <w:bCs/>
          <w:strike w:val="0"/>
          <w:color w:val="ff0000"/>
          <w:sz w:val="20"/>
          <w:highlight w:val="none"/>
        </w:rPr>
      </w:r>
    </w:p>
    <w:p w14:paraId="0C646A6A">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b/>
          <w:bCs/>
          <w:strike w:val="0"/>
          <w:color w:val="ff0000"/>
          <w:sz w:val="20"/>
          <w:szCs w:val="20"/>
          <w:highlight w:val="none"/>
        </w:rPr>
      </w:pPr>
      <w:r>
        <w:rPr>
          <w:rFonts w:ascii="Courier New" w:hAnsi="Courier New" w:eastAsia="Courier New" w:cs="Courier New"/>
          <w:b/>
          <w:bCs/>
          <w:strike w:val="0"/>
          <w:color w:val="ff0000"/>
          <w:sz w:val="20"/>
        </w:rPr>
      </w:r>
      <w:r>
        <w:rPr>
          <w:rFonts w:ascii="Courier New" w:hAnsi="Courier New" w:eastAsia="Courier New" w:cs="Courier New"/>
          <w:b/>
          <w:bCs/>
          <w:strike w:val="0"/>
          <w:color w:val="ff0000"/>
          <w:sz w:val="20"/>
        </w:rPr>
        <w:t xml:space="preserve">**Additional examples**  </w:t>
      </w:r>
      <w:r/>
      <w:r/>
    </w:p>
    <w:p w14:paraId="0B57F1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bCs/>
          <w:strike w:val="0"/>
          <w:color w:val="ff0000"/>
          <w:sz w:val="20"/>
        </w:rPr>
        <w:t xml:space="preserve">- “ovarian cancer” in “ovarian cancer cases” = **Modifier**  </w:t>
      </w:r>
      <w:r/>
    </w:p>
    <w:p w14:paraId="4F728C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bCs/>
          <w:strike w:val="0"/>
          <w:color w:val="ff0000"/>
          <w:sz w:val="20"/>
        </w:rPr>
        <w:t xml:space="preserve">- “ovarian cancer” in “ovarian cancer population” = **Modifier**  </w:t>
      </w:r>
      <w:r/>
    </w:p>
    <w:p w14:paraId="605042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bCs/>
          <w:strike w:val="0"/>
          <w:color w:val="ff0000"/>
          <w:sz w:val="20"/>
        </w:rPr>
        <w:t xml:space="preserve">- “ovarian cancer” in “ovarian cancer study” = **Modifier**  </w:t>
      </w:r>
      <w:r/>
    </w:p>
    <w:p w14:paraId="3C270D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bCs/>
          <w:strike w:val="0"/>
          <w:color w:val="ff0000"/>
          <w:sz w:val="20"/>
        </w:rPr>
        <w:t xml:space="preserve">- “ovarian cancer” in “ovarian cancer risk” = **Modifier**  </w:t>
      </w:r>
      <w:r/>
    </w:p>
    <w:p w14:paraId="74511F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bCs/>
          <w:strike w:val="0"/>
          <w:color w:val="ff0000"/>
          <w:sz w:val="20"/>
        </w:rPr>
        <w:t xml:space="preserve">- “fragile X syndrome” in “fragile X syndrome patients” = **Modifier**  </w:t>
      </w:r>
      <w:r/>
    </w:p>
    <w:p w14:paraId="09FC7078">
      <w:pPr>
        <w:pBdr>
          <w:top w:val="none" w:color="000000" w:sz="4" w:space="0"/>
          <w:left w:val="none" w:color="000000" w:sz="4" w:space="0"/>
          <w:bottom w:val="none" w:color="000000" w:sz="4" w:space="0"/>
          <w:right w:val="none" w:color="000000" w:sz="4" w:space="0"/>
        </w:pBdr>
        <w:spacing/>
        <w:ind w:right="0" w:firstLine="0" w:left="0"/>
        <w:rPr>
          <w:strike w:val="0"/>
        </w:rPr>
      </w:pPr>
      <w:r>
        <w:rPr>
          <w:rFonts w:ascii="Courier New" w:hAnsi="Courier New" w:eastAsia="Courier New" w:cs="Courier New"/>
          <w:b/>
          <w:bCs/>
          <w:strike w:val="0"/>
          <w:color w:val="ff0000"/>
          <w:sz w:val="20"/>
        </w:rPr>
        <w:t xml:space="preserve">- “Wiskott-Aldrich syndrome” in “Wiskott-Aldrich syndrome protein” = **Modifier**</w:t>
      </w:r>
      <w:r/>
      <w:r>
        <w:rPr>
          <w:rFonts w:ascii="Courier New" w:hAnsi="Courier New" w:eastAsia="Courier New" w:cs="Courier New"/>
          <w:b/>
          <w:bCs/>
          <w:strike w:val="0"/>
          <w:color w:val="ff0000"/>
          <w:sz w:val="20"/>
        </w:rPr>
      </w:r>
      <w:r>
        <w:rPr>
          <w:rFonts w:ascii="Courier New" w:hAnsi="Courier New" w:eastAsia="Courier New" w:cs="Courier New"/>
          <w:b/>
          <w:bCs/>
          <w:strike w:val="0"/>
          <w:color w:val="ff0000"/>
          <w:sz w:val="20"/>
        </w:rPr>
        <w:t xml:space="preserve">)</w:t>
      </w:r>
      <w:r>
        <w:rPr>
          <w:strike w:val="0"/>
        </w:rPr>
      </w:r>
      <w:r/>
    </w:p>
    <w:p w14:paraId="63CAB5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Remove the two specific strings, "ovarian cancer" and "ovarian cancer cases," and nothing is left. It does not say what kind of string, in what kind of structure, counts as a Modifier. It only gives the answer for this one case.</w:t>
      </w:r>
      <w:r/>
    </w:p>
    <w:p w14:paraId="453288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Abstract:</w:t>
      </w:r>
      <w:r/>
    </w:p>
    <w:p w14:paraId="1C478F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 noun phrase headed by a generic pathology term </w:t>
      </w:r>
      <w:r>
        <w:rPr>
          <w:rFonts w:ascii="Courier New" w:hAnsi="Courier New" w:eastAsia="Courier New" w:cs="Courier New"/>
          <w:strike/>
          <w:color w:val="000000"/>
          <w:sz w:val="20"/>
        </w:rPr>
        <w:t xml:space="preserve">(e.g., "disease," "disorder," "cancer," "tumor," "deficiency," "infection," "telangiectasis")</w:t>
      </w:r>
      <w:r>
        <w:rPr>
          <w:rFonts w:ascii="Courier New" w:hAnsi="Courier New" w:eastAsia="Courier New" w:cs="Courier New"/>
          <w:color w:val="000000"/>
          <w:sz w:val="20"/>
        </w:rPr>
        <w:t xml:space="preserve"> is not automatically a Disease Class. If the full mention is used referentially to denote an instantiated diagn</w:t>
      </w:r>
      <w:r>
        <w:rPr>
          <w:rFonts w:ascii="Courier New" w:hAnsi="Courier New" w:eastAsia="Courier New" w:cs="Courier New"/>
          <w:color w:val="000000"/>
          <w:sz w:val="20"/>
        </w:rPr>
        <w:t xml:space="preserve">osis or a contextually narrowed subtype, annotate it as Specific Disease.</w:t>
      </w:r>
      <w:r>
        <w:t xml:space="preserve"> </w:t>
      </w:r>
      <w:r>
        <w:rPr>
          <w:color w:val="ff0000"/>
        </w:rPr>
        <w:t xml:space="preserve">(Check how this abstract rule effects the annotation cases, list the specific example.)</w:t>
      </w:r>
      <w:r/>
    </w:p>
    <w:p w14:paraId="38BEFC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item also has quoted words in it, but remove the list in parentheses and the rule still holds: a noun phrase headed by a generic pathology term is annotated as Specific Disease when it is used referentially. The quoted words are only there to show wha</w:t>
      </w:r>
      <w:r>
        <w:rPr>
          <w:rFonts w:ascii="Times New Roman" w:hAnsi="Times New Roman" w:eastAsia="Times New Roman" w:cs="Times New Roman"/>
          <w:color w:val="000000"/>
          <w:sz w:val="24"/>
        </w:rPr>
        <w:t xml:space="preserve">t counts as a generic pathology term. They are not the rule itself. This is the clear case of an item that carries an example without being hard coding.</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82F6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onlyoffice/9.4.1.15</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Anonymous</cp:lastModifiedBy>
  <cp:revision>2</cp:revision>
  <dcterms:modified xsi:type="dcterms:W3CDTF">2026-09-24T06:13:47Z</dcterms:modified>
</cp:coreProperties>
</file>