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line="312" w:lineRule="auto"/>
        <w:jc w:val="center"/>
      </w:pPr>
      <w:r>
        <w:rPr>
          <w:rFonts w:ascii="Times New Roman" w:hAnsi="Times New Roman"/>
          <w:b/>
          <w:i w:val="0"/>
          <w:sz w:val="30"/>
        </w:rPr>
        <w:t>ĐỀ CƯƠNG ĐỀ TÀI ĐỒ ÁN CHUYÊN NGÀNH</w:t>
      </w:r>
    </w:p>
    <w:p>
      <w:pPr>
        <w:spacing w:before="120" w:after="80" w:line="312" w:lineRule="auto"/>
        <w:jc w:val="left"/>
      </w:pPr>
      <w:r>
        <w:rPr>
          <w:rFonts w:ascii="Times New Roman" w:hAnsi="Times New Roman"/>
          <w:b/>
          <w:i w:val="0"/>
          <w:sz w:val="24"/>
        </w:rPr>
        <w:t>THÔNG TIN CHUNG:</w:t>
      </w:r>
    </w:p>
    <w:p>
      <w:pPr>
        <w:spacing w:before="0" w:after="40" w:line="312" w:lineRule="auto"/>
        <w:ind w:left="360"/>
        <w:jc w:val="left"/>
      </w:pPr>
      <w:r>
        <w:rPr>
          <w:rFonts w:ascii="Times New Roman" w:hAnsi="Times New Roman"/>
          <w:b w:val="0"/>
          <w:i w:val="0"/>
          <w:sz w:val="24"/>
        </w:rPr>
        <w:t>Sinh viên/Nhóm thực hiện:</w:t>
      </w:r>
    </w:p>
    <w:p>
      <w:pPr>
        <w:spacing w:before="0" w:after="40" w:line="288" w:lineRule="auto"/>
        <w:ind w:left="720"/>
      </w:pPr>
      <w:r>
        <w:rPr>
          <w:rFonts w:ascii="Times New Roman" w:hAnsi="Times New Roman"/>
          <w:sz w:val="24"/>
        </w:rPr>
        <w:t xml:space="preserve">Nguyễn Phi Phúc         </w:t>
      </w:r>
      <w:r>
        <w:rPr>
          <w:rFonts w:ascii="Times New Roman" w:hAnsi="Times New Roman"/>
          <w:sz w:val="24"/>
        </w:rPr>
        <w:t xml:space="preserve">2387701131          </w:t>
      </w:r>
      <w:r>
        <w:rPr>
          <w:rFonts w:ascii="Times New Roman" w:hAnsi="Times New Roman"/>
          <w:sz w:val="24"/>
        </w:rPr>
        <w:t>23DATA1</w:t>
      </w:r>
    </w:p>
    <w:p>
      <w:pPr>
        <w:spacing w:before="0" w:after="40" w:line="288" w:lineRule="auto"/>
        <w:ind w:left="720"/>
      </w:pPr>
      <w:r>
        <w:rPr>
          <w:rFonts w:ascii="Times New Roman" w:hAnsi="Times New Roman"/>
          <w:sz w:val="24"/>
        </w:rPr>
        <w:t xml:space="preserve">Trần Minh Khang         </w:t>
      </w:r>
      <w:r>
        <w:rPr>
          <w:rFonts w:ascii="Times New Roman" w:hAnsi="Times New Roman"/>
          <w:sz w:val="24"/>
        </w:rPr>
        <w:t xml:space="preserve">2387700027          </w:t>
      </w:r>
      <w:r>
        <w:rPr>
          <w:rFonts w:ascii="Times New Roman" w:hAnsi="Times New Roman"/>
          <w:sz w:val="24"/>
        </w:rPr>
        <w:t>23DATA1</w:t>
      </w:r>
    </w:p>
    <w:p>
      <w:pPr>
        <w:spacing w:before="0" w:after="40" w:line="288" w:lineRule="auto"/>
        <w:ind w:left="720"/>
      </w:pPr>
      <w:r>
        <w:rPr>
          <w:rFonts w:ascii="Times New Roman" w:hAnsi="Times New Roman"/>
          <w:sz w:val="24"/>
        </w:rPr>
        <w:t xml:space="preserve">Nguyễn Nhật Lâm         </w:t>
      </w:r>
      <w:r>
        <w:rPr>
          <w:rFonts w:ascii="Times New Roman" w:hAnsi="Times New Roman"/>
          <w:sz w:val="24"/>
        </w:rPr>
        <w:t xml:space="preserve">2387700036          </w:t>
      </w:r>
      <w:r>
        <w:rPr>
          <w:rFonts w:ascii="Times New Roman" w:hAnsi="Times New Roman"/>
          <w:sz w:val="24"/>
        </w:rPr>
        <w:t>23DATA1</w:t>
      </w:r>
    </w:p>
    <w:p>
      <w:pPr>
        <w:spacing w:before="80" w:after="60" w:line="312" w:lineRule="auto"/>
        <w:ind w:left="360"/>
        <w:jc w:val="left"/>
      </w:pPr>
      <w:r>
        <w:rPr>
          <w:rFonts w:ascii="Times New Roman" w:hAnsi="Times New Roman"/>
          <w:b w:val="0"/>
          <w:i w:val="0"/>
          <w:sz w:val="24"/>
        </w:rPr>
        <w:t>GVHD: ThS. Đinh Phương Nam</w:t>
      </w:r>
    </w:p>
    <w:p>
      <w:pPr>
        <w:spacing w:before="40" w:after="200" w:line="312" w:lineRule="auto"/>
        <w:ind w:left="360"/>
      </w:pPr>
      <w:r>
        <w:rPr>
          <w:rFonts w:ascii="Times New Roman" w:hAnsi="Times New Roman"/>
          <w:b/>
          <w:sz w:val="24"/>
        </w:rPr>
        <w:t xml:space="preserve">Tên đề tài: </w:t>
      </w:r>
      <w:r>
        <w:rPr>
          <w:rFonts w:ascii="Times New Roman" w:hAnsi="Times New Roman"/>
          <w:b/>
          <w:sz w:val="24"/>
        </w:rPr>
        <w:t>Nghiên cứu và xây dựng hệ thống tự động thu thập, phân tích tình báo mối đe dọa mạng và sinh quy tắc phòng thủ ứng dụng AI Agent.</w:t>
      </w:r>
    </w:p>
    <w:p>
      <w:pPr>
        <w:spacing w:before="0" w:after="240"/>
        <w:ind w:left="360"/>
      </w:pPr>
      <w:r>
        <w:rPr>
          <w:rFonts w:ascii="Times New Roman" w:hAnsi="Times New Roman"/>
          <w:i/>
          <w:sz w:val="23"/>
        </w:rPr>
        <w:t xml:space="preserve">Tên tiếng Anh: </w:t>
      </w:r>
      <w:r>
        <w:rPr>
          <w:rFonts w:ascii="Times New Roman" w:hAnsi="Times New Roman"/>
          <w:i/>
          <w:sz w:val="23"/>
        </w:rPr>
        <w:t>Automated Cyber Threat Intelligence Analysis and Defensive Rule Generation System Using AI Agent.</w:t>
      </w:r>
    </w:p>
    <w:p>
      <w:pPr>
        <w:spacing w:before="120" w:after="120" w:line="312" w:lineRule="auto"/>
        <w:jc w:val="left"/>
      </w:pPr>
      <w:r>
        <w:rPr>
          <w:rFonts w:ascii="Times New Roman" w:hAnsi="Times New Roman"/>
          <w:b/>
          <w:i w:val="0"/>
          <w:sz w:val="24"/>
        </w:rPr>
        <w:t>NỘI DUNG ĐỀ CƯƠNG:</w:t>
      </w:r>
    </w:p>
    <w:p>
      <w:pPr>
        <w:spacing w:before="80" w:after="80" w:line="312" w:lineRule="auto"/>
        <w:jc w:val="left"/>
      </w:pPr>
      <w:r>
        <w:rPr>
          <w:rFonts w:ascii="Times New Roman" w:hAnsi="Times New Roman"/>
          <w:b/>
          <w:i w:val="0"/>
          <w:sz w:val="24"/>
        </w:rPr>
        <w:t>Giới thiệu</w:t>
      </w:r>
    </w:p>
    <w:p>
      <w:pPr>
        <w:spacing w:before="0" w:after="80" w:line="324" w:lineRule="auto"/>
        <w:jc w:val="left"/>
      </w:pPr>
      <w:r>
        <w:rPr>
          <w:rFonts w:ascii="Times New Roman" w:hAnsi="Times New Roman"/>
          <w:b w:val="0"/>
          <w:i w:val="0"/>
          <w:sz w:val="24"/>
        </w:rPr>
        <w:t>Trong những năm gần đây, không gian mạng chứng kiến sự gia tăng đột biến của các cuộc tấn công có chủ đích quy mô lớn (APT), chiến dịch mã độc tống tiền (Ransomware) và các chiến dịch khai thác lỗ hổng bảo mật nghiêm trọng. Hàng ngày, hàng nghìn báo cáo an ninh mạng và cảnh báo đe dọa được phát hành trên toàn cầu. Trước tình hình đó, các Trung tâm Điều hành An ninh mạng (SOC) đối mặt với thách thức quá tải nghiêm trọng về dữ liệu tình báo mối đe dọa mạng (Cyber Threat Intelligence - CTI).</w:t>
      </w:r>
    </w:p>
    <w:p>
      <w:pPr>
        <w:spacing w:before="0" w:after="80" w:line="324" w:lineRule="auto"/>
        <w:jc w:val="left"/>
      </w:pPr>
      <w:r>
        <w:rPr>
          <w:rFonts w:ascii="Times New Roman" w:hAnsi="Times New Roman"/>
          <w:b w:val="0"/>
          <w:i w:val="0"/>
          <w:sz w:val="24"/>
        </w:rPr>
        <w:t>Quy trình xử lý CTI truyền thống phụ thuộc gần như hoàn toàn vào con người: chuyên viên bảo mật phải đọc thủ công từng bài phân tích, trích xuất các chỉ số xâm nhập (IOCs như IP, tên miền, mã băm độc hại, lỗ hổng CVE), tra cứu thủ công trên các dịch vụ kiểm tra danh tiếng (VirusTotal, AbuseIPDB) và tự viết từng dòng quy tắc phòng thủ (Sigma Rules, YARA Rules, Firewall Blocklist). Quá trình này tiêu tốn từ 1 đến 3 giờ cho mỗi sự cố, dẫn đến hiện tượng quá tải cảnh báo (SOC Alert Fatigue) và phản ứng chậm trễ trước các cuộc tấn công tốc độ cao của tin tặc.</w:t>
      </w:r>
    </w:p>
    <w:p>
      <w:pPr>
        <w:spacing w:before="0" w:after="80" w:line="324" w:lineRule="auto"/>
        <w:jc w:val="left"/>
      </w:pPr>
      <w:r>
        <w:rPr>
          <w:rFonts w:ascii="Times New Roman" w:hAnsi="Times New Roman"/>
          <w:b w:val="0"/>
          <w:i w:val="0"/>
          <w:sz w:val="24"/>
        </w:rPr>
        <w:t>Đề tài tập trung nghiên cứu và xây dựng một hệ thống Tác tử Trí tuệ Nhân tạo đa công cụ (Single-Agent with Security Toolbox) nhằm tự động hóa hoàn toàn chu trình CTI: từ thu thập dữ liệu nguồn mở (OSINT) chính thống TLP:CLEAR (CISA KEV, CISA Advisories, TheHackerNews, BleepingComputer), trích xuất chuẩn hóa IOCs, thẩm định mối đe dọa qua VirusTotal/AbuseIPDB, ánh xạ hành vi theo ma trận MITRE ATT&amp;CK, cho đến việc tự động sinh các tập quy tắc phòng thủ thực chiến (Sigma/YARA/Firewall) trong thời gian thực (15 đến 30 giây).</w:t>
      </w:r>
    </w:p>
    <w:p>
      <w:pPr>
        <w:spacing w:before="0" w:after="80" w:line="324" w:lineRule="auto"/>
        <w:jc w:val="left"/>
      </w:pPr>
      <w:r>
        <w:rPr>
          <w:rFonts w:ascii="Times New Roman" w:hAnsi="Times New Roman"/>
          <w:b w:val="0"/>
          <w:i w:val="0"/>
          <w:sz w:val="24"/>
        </w:rPr>
        <w:t>Việc lựa chọn đề tài là hết sức cần thiết và mang tính thời sự cao, giúp chuyển hóa tri thức tình báo thành hành động phòng thủ tức thì (Actionable Defense), giảm thiểu tối đa thời gian phản ứng sự cố (MTTR), nâng cao năng lực phòng thủ Blue Team và phù hợp với xu thế ứng dụng AI trong an toàn thông tin hiện đại.</w:t>
      </w:r>
    </w:p>
    <w:p>
      <w:pPr>
        <w:spacing w:before="120" w:after="80" w:line="312" w:lineRule="auto"/>
        <w:jc w:val="left"/>
      </w:pPr>
      <w:r>
        <w:rPr>
          <w:rFonts w:ascii="Times New Roman" w:hAnsi="Times New Roman"/>
          <w:b/>
          <w:i w:val="0"/>
          <w:sz w:val="24"/>
        </w:rPr>
        <w:t>Mục tiêu của đề tài</w:t>
      </w:r>
    </w:p>
    <w:p>
      <w:pPr>
        <w:spacing w:before="0" w:after="80" w:line="312" w:lineRule="auto"/>
        <w:jc w:val="left"/>
      </w:pPr>
      <w:r>
        <w:rPr>
          <w:rFonts w:ascii="Times New Roman" w:hAnsi="Times New Roman"/>
          <w:b w:val="0"/>
          <w:i w:val="0"/>
          <w:sz w:val="24"/>
        </w:rPr>
        <w:t>Đề tài hướng đến các mục tiêu chính sau:</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Nghiên cứu cơ sở lý thuyết về Tình báo Mối đe dọa An ninh mạng (CTI), chuẩn biểu diễn dữ liệu STIX 2.1, ma trận chiến thuật &amp; kỹ thuật MITRE ATT&amp;CK Enterprise, và mô hình tác tử suy luận AI (ReAct / Tool-Calling AI Agent).</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Xây dựng pipeline tự động thu thập dữ liệu tình báo nguồn mở (OSINT) từ các nguồn chính thống TLP:CLEAR (CISA KEV JSON, CISA Advisories XML, RSS TheHackerNews, BleepingComputer), đảm bảo 100% minh bạch và an toàn pháp lý.</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Xây dựng công cụ trích xuất chính xác các chỉ số xâm nhập (IOCs: IP, Domain, URL, MD5, SHA256, CVE) kết hợp giữa biểu thức chính quy (Regex) và mô hình ngôn ngữ lớn (LLM).</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Tích hợp và tự động hóa quy trình thẩm định danh tính mối đe dọa qua các dịch vụ tình báo uy tín (VirusTotal API v3, AbuseIPDB API), kèm cơ chế lưu đệm (SQLite Caching) tối ưu hiệu năng và hạn mức truy vấn.</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Xây dựng tác tử AI có khả năng tự chủ suy luận để:</w:t>
      </w:r>
    </w:p>
    <w:p>
      <w:pPr>
        <w:pStyle w:val="ListParagraph"/>
        <w:spacing w:before="0" w:after="40" w:line="300" w:lineRule="auto"/>
        <w:ind w:left="720"/>
      </w:pPr>
      <w:r>
        <w:rPr>
          <w:rFonts w:ascii="Times New Roman" w:hAnsi="Times New Roman"/>
          <w:sz w:val="24"/>
        </w:rPr>
        <w:t xml:space="preserve">   - </w:t>
      </w:r>
      <w:r>
        <w:rPr>
          <w:rFonts w:ascii="Times New Roman" w:hAnsi="Times New Roman"/>
          <w:sz w:val="24"/>
        </w:rPr>
        <w:t>Phân tích ngữ cảnh và tự động ánh xạ kỹ thuật tấn công sang ma trận MITRE ATT&amp;CK.</w:t>
      </w:r>
    </w:p>
    <w:p>
      <w:pPr>
        <w:pStyle w:val="ListParagraph"/>
        <w:spacing w:before="0" w:after="40" w:line="300" w:lineRule="auto"/>
        <w:ind w:left="720"/>
      </w:pPr>
      <w:r>
        <w:rPr>
          <w:rFonts w:ascii="Times New Roman" w:hAnsi="Times New Roman"/>
          <w:sz w:val="24"/>
        </w:rPr>
        <w:t xml:space="preserve">   - </w:t>
      </w:r>
      <w:r>
        <w:rPr>
          <w:rFonts w:ascii="Times New Roman" w:hAnsi="Times New Roman"/>
          <w:sz w:val="24"/>
        </w:rPr>
        <w:t>Tự động sinh quy tắc Sigma (.yml) phát hiện hành vi tấn công trên hệ thống giám sát SIEM/EDR (Wazuh, Splunk).</w:t>
      </w:r>
    </w:p>
    <w:p>
      <w:pPr>
        <w:pStyle w:val="ListParagraph"/>
        <w:spacing w:before="0" w:after="40" w:line="300" w:lineRule="auto"/>
        <w:ind w:left="720"/>
      </w:pPr>
      <w:r>
        <w:rPr>
          <w:rFonts w:ascii="Times New Roman" w:hAnsi="Times New Roman"/>
          <w:sz w:val="24"/>
        </w:rPr>
        <w:t xml:space="preserve">   - </w:t>
      </w:r>
      <w:r>
        <w:rPr>
          <w:rFonts w:ascii="Times New Roman" w:hAnsi="Times New Roman"/>
          <w:sz w:val="24"/>
        </w:rPr>
        <w:t>Tự động sinh quy tắc YARA (.yar) quét dấu vết tệp tin mã độc trên máy trạm (Endpoint).</w:t>
      </w:r>
    </w:p>
    <w:p>
      <w:pPr>
        <w:pStyle w:val="ListParagraph"/>
        <w:spacing w:before="0" w:after="40" w:line="300" w:lineRule="auto"/>
        <w:ind w:left="720"/>
      </w:pPr>
      <w:r>
        <w:rPr>
          <w:rFonts w:ascii="Times New Roman" w:hAnsi="Times New Roman"/>
          <w:sz w:val="24"/>
        </w:rPr>
        <w:t xml:space="preserve">   - </w:t>
      </w:r>
      <w:r>
        <w:rPr>
          <w:rFonts w:ascii="Times New Roman" w:hAnsi="Times New Roman"/>
          <w:sz w:val="24"/>
        </w:rPr>
        <w:t>Xuất danh sách IP/Domain Blocklist chặn khẩn cấp trên Tường lửa (Firewall/WAF).</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Đóng gói dữ liệu đầu ra theo chuẩn quốc tế OASIS STIX 2.1 JSON phục vụ tích hợp và chia sẻ tình báo.</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Xây dựng ứng dụng Web Dashboard trực quan và giao tiếp qua RESTful API (FastAPI) phục vụ chuyên viên vận hành.</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Đánh giá hiệu năng và độ chính xác của hệ thống thông qua bộ dữ liệu thực nghiệm gồm 30 báo cáo chiến dịch APT thực tế.</w:t>
      </w:r>
    </w:p>
    <w:p>
      <w:pPr>
        <w:spacing w:before="120" w:after="80" w:line="312" w:lineRule="auto"/>
        <w:jc w:val="left"/>
      </w:pPr>
      <w:r>
        <w:rPr>
          <w:rFonts w:ascii="Times New Roman" w:hAnsi="Times New Roman"/>
          <w:b/>
          <w:i w:val="0"/>
          <w:sz w:val="24"/>
        </w:rPr>
        <w:t>Nội dung nghiên cứu</w:t>
      </w:r>
    </w:p>
    <w:p>
      <w:pPr>
        <w:spacing w:before="0" w:after="80" w:line="312" w:lineRule="auto"/>
        <w:jc w:val="left"/>
      </w:pPr>
      <w:r>
        <w:rPr>
          <w:rFonts w:ascii="Times New Roman" w:hAnsi="Times New Roman"/>
          <w:b w:val="0"/>
          <w:i w:val="0"/>
          <w:sz w:val="24"/>
        </w:rPr>
        <w:t>Đề tài bao gồm các nội dung chính sau:</w:t>
      </w:r>
    </w:p>
    <w:p>
      <w:pPr>
        <w:spacing w:before="80" w:after="40" w:line="312" w:lineRule="auto"/>
        <w:jc w:val="left"/>
      </w:pPr>
      <w:r>
        <w:rPr>
          <w:rFonts w:ascii="Times New Roman" w:hAnsi="Times New Roman"/>
          <w:b/>
          <w:i w:val="0"/>
          <w:sz w:val="24"/>
        </w:rPr>
        <w:t>1. Nghiên cứu lý thuyết và các công trình liên quan</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Tổng quan về Cyber Threat Intelligence (CTI) và vòng đời tình báo mối đe dọa.</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Nghiên cứu chuẩn biểu diễn dữ liệu STIX 2.1 (Structured Threat Information Expression) và giao thức TAXII.</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Nghiên cứu ma trận MITRE ATT&amp;CK Enterprise và các kỹ thuật tấn công phổ biến (TTPs).</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Nghiên cứu kiến trúc Tác tử AI (AI Agent): Cơ chế suy luận ReAct (Reasoning - Action - Observation) và Tool-Calling.</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Nghiên cứu cú pháp và tiêu chuẩn viết quy tắc phòng thủ: SigmaHQ (phát hiện log sự kiện), YARA (quét mã độc nhị phân/chuỗi).</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Khảo sát các nghiên cứu và giải pháp ứng dụng LLM trong tự động hóa phòng thủ an ninh mạng.</w:t>
      </w:r>
    </w:p>
    <w:p>
      <w:pPr>
        <w:spacing w:before="80" w:after="40" w:line="312" w:lineRule="auto"/>
        <w:jc w:val="left"/>
      </w:pPr>
      <w:r>
        <w:rPr>
          <w:rFonts w:ascii="Times New Roman" w:hAnsi="Times New Roman"/>
          <w:b/>
          <w:i w:val="0"/>
          <w:sz w:val="24"/>
        </w:rPr>
        <w:t>2. Thiết kế kiến trúc hệ thống và cơ chế tác tử đa công cụ</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Thiết kế mô hình kiến trúc: 1 Tác tử Điều phối Trung tâm (Central Controller Brain) và Hộp công cụ Bảo mật (Security Toolbox) gồm 8 Tools chuyên dụng.</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Thiết kế vòng lặp suy luận ReAct: Tác tử tiếp nhận bài báo, tự động quyết định gọi tuần tự các Tool phù hợp và tổng hợp kết quả.</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Thiết kế giao ước dữ liệu chung (Shared Schemas bằng Pydantic): RawThreatData, ExtractedIOC, EnrichedIOC, MitreTechnique, DefensiveRules, ThreatIntelReport.</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Thiết kế cơ chế lưu trữ và bộ đệm (Caching Layer) trên SQLite nhằm loại bỏ trùng lặp và bảo vệ hạn mức gọi API bên ngoài.</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Thiết kế kiến trúc Backend RESTful API (FastAPI) và giao diện Web Dashboard.</w:t>
      </w:r>
    </w:p>
    <w:p>
      <w:pPr>
        <w:spacing w:before="80" w:after="40" w:line="312" w:lineRule="auto"/>
        <w:jc w:val="left"/>
      </w:pPr>
      <w:r>
        <w:rPr>
          <w:rFonts w:ascii="Times New Roman" w:hAnsi="Times New Roman"/>
          <w:b/>
          <w:i w:val="0"/>
          <w:sz w:val="24"/>
        </w:rPr>
        <w:t>3. Xây dựng bộ công cụ thu thập và làm giàu dữ liệu</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Xây dựng Tool 1 (fetch_rss_feeds): Thu thập tự động bài viết phân tích mã độc từ TheHackerNews và BleepingComputer qua RSS/XML.</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Xây dựng Tool 2 (fetch_cisa_kev): Truy vấn danh mục lỗ hổng bị khai thác thực tế CISA KEV JSON của chính phủ Mỹ.</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Xây dựng Tool 3 (check_virustotal): Kiểm tra tỷ lệ độc hại (Malicious Detection Ratio) của Hash, IP, Domain qua VirusTotal API v3.</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Xây dựng Tool 4 (check_abuseipdb): Kiểm tra điểm tin cậy lạm dụng (Abuse Confidence Score) của các địa chỉ IP qua AbuseIPDB API.</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Xây dựng Tool 5 (export_stix_package): Đóng gói toàn bộ chiến dịch thành tệp JSON chuẩn OASIS STIX 2.1.</w:t>
      </w:r>
    </w:p>
    <w:p>
      <w:pPr>
        <w:spacing w:before="80" w:after="40" w:line="312" w:lineRule="auto"/>
        <w:jc w:val="left"/>
      </w:pPr>
      <w:r>
        <w:rPr>
          <w:rFonts w:ascii="Times New Roman" w:hAnsi="Times New Roman"/>
          <w:b/>
          <w:i w:val="0"/>
          <w:sz w:val="24"/>
        </w:rPr>
        <w:t>4. Phát triển tác tử suy luận và sinh quy tắc phòng thủ</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Xây dựng Tool 6 (extract_iocs): Bóc tách IP, Domain, Hash, CVE từ văn bản bằng bộ Regex chuyên dụng kết hợp LLM lọc nhiễu.</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Xây dựng Tool 7 (map_mitre_attack): Ánh xạ hành vi tấn công trong văn bản sang mã kỹ thuật và chiến thuật MITRE ATT&amp;CK (ví dụ: T1059.001, T1105).</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Xây dựng Tool 8 (generate_defensive_rules): Tự động sinh tập luật phòng thủ 3 lớp: Sigma Rule (.yml), YARA Rule (.yar) và Firewall Blocklist (.txt).</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Tích hợp Prompt Engineering chuyên biệt cho chuyên gia Blue Team nhằm đảm bảo cú pháp luật sinh ra hợp lệ 100%.</w:t>
      </w:r>
    </w:p>
    <w:p>
      <w:pPr>
        <w:spacing w:before="80" w:after="40" w:line="312" w:lineRule="auto"/>
        <w:jc w:val="left"/>
      </w:pPr>
      <w:r>
        <w:rPr>
          <w:rFonts w:ascii="Times New Roman" w:hAnsi="Times New Roman"/>
          <w:b/>
          <w:i w:val="0"/>
          <w:sz w:val="24"/>
        </w:rPr>
        <w:t>5. Đánh giá và phân tích kết quả thực nghiệm</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Thu thập và gán nhãn tập dữ liệu kiểm thử gồm 30 báo cáo chiến dịch tấn công APT thực tế được công bố trong giai đoạn 2024-2026.</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Đánh giá định lượng hiệu quả trích xuất IOC (Precision, Recall, F1-Score) so với phương pháp Regex truyền thống.</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Đánh giá tính chính xác của việc ánh xạ ma trận MITRE ATT&amp;CK.</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Kiểm thử tính hợp lệ cú pháp của các luật Sigma tự sinh bằng công cụ kiểm định tiêu chuẩn sigma-cli và kiểm thử quét YARA.</w:t>
      </w:r>
    </w:p>
    <w:p>
      <w:pPr>
        <w:pStyle w:val="ListParagraph"/>
        <w:spacing w:before="0" w:after="60" w:line="300" w:lineRule="auto"/>
      </w:pPr>
      <w:r>
        <w:rPr>
          <w:rFonts w:ascii="Times New Roman" w:hAnsi="Times New Roman"/>
          <w:b/>
          <w:sz w:val="24"/>
        </w:rPr>
        <w:t xml:space="preserve">  - </w:t>
      </w:r>
      <w:r>
        <w:rPr>
          <w:rFonts w:ascii="Times New Roman" w:hAnsi="Times New Roman"/>
          <w:sz w:val="24"/>
        </w:rPr>
        <w:t>Đo lường thời gian xử lý toàn trình (End-to-End Latency) và tài nguyên tính toán so với quy trình thủ công.</w:t>
      </w:r>
    </w:p>
    <w:p>
      <w:pPr>
        <w:spacing w:before="120" w:after="80" w:line="312" w:lineRule="auto"/>
        <w:jc w:val="left"/>
      </w:pPr>
      <w:r>
        <w:rPr>
          <w:rFonts w:ascii="Times New Roman" w:hAnsi="Times New Roman"/>
          <w:b/>
          <w:i w:val="0"/>
          <w:sz w:val="24"/>
        </w:rPr>
        <w:t>Phương pháp thực hiện</w:t>
      </w:r>
    </w:p>
    <w:p>
      <w:pPr>
        <w:spacing w:before="0" w:after="80" w:line="312" w:lineRule="auto"/>
        <w:jc w:val="left"/>
      </w:pPr>
      <w:r>
        <w:rPr>
          <w:rFonts w:ascii="Times New Roman" w:hAnsi="Times New Roman"/>
          <w:b w:val="0"/>
          <w:i w:val="0"/>
          <w:sz w:val="24"/>
        </w:rPr>
        <w:t>Đề tài được thực hiện theo các phương pháp sau:</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Nghiên cứu tài liệu:</w:t>
      </w:r>
    </w:p>
    <w:p>
      <w:pPr>
        <w:pStyle w:val="ListParagraph"/>
        <w:spacing w:before="0" w:after="40"/>
        <w:ind w:left="720"/>
      </w:pPr>
      <w:r>
        <w:rPr>
          <w:rFonts w:ascii="Times New Roman" w:hAnsi="Times New Roman"/>
          <w:sz w:val="24"/>
        </w:rPr>
        <w:t xml:space="preserve">   - </w:t>
      </w:r>
      <w:r>
        <w:rPr>
          <w:rFonts w:ascii="Times New Roman" w:hAnsi="Times New Roman"/>
          <w:sz w:val="24"/>
        </w:rPr>
        <w:t>Tài liệu tiêu chuẩn quốc tế của OASIS (STIX 2.1/TAXII) và MITRE ATT&amp;CK Framework.</w:t>
      </w:r>
    </w:p>
    <w:p>
      <w:pPr>
        <w:pStyle w:val="ListParagraph"/>
        <w:spacing w:before="0" w:after="40"/>
        <w:ind w:left="720"/>
      </w:pPr>
      <w:r>
        <w:rPr>
          <w:rFonts w:ascii="Times New Roman" w:hAnsi="Times New Roman"/>
          <w:sz w:val="24"/>
        </w:rPr>
        <w:t xml:space="preserve">   - </w:t>
      </w:r>
      <w:r>
        <w:rPr>
          <w:rFonts w:ascii="Times New Roman" w:hAnsi="Times New Roman"/>
          <w:sz w:val="24"/>
        </w:rPr>
        <w:t>Tài liệu kỹ thuật chính thức từ CISA, NIST NVD và các khuyến nghị an ninh mạng.</w:t>
      </w:r>
    </w:p>
    <w:p>
      <w:pPr>
        <w:pStyle w:val="ListParagraph"/>
        <w:spacing w:before="0" w:after="40"/>
        <w:ind w:left="720"/>
      </w:pPr>
      <w:r>
        <w:rPr>
          <w:rFonts w:ascii="Times New Roman" w:hAnsi="Times New Roman"/>
          <w:sz w:val="24"/>
        </w:rPr>
        <w:t xml:space="preserve">   - </w:t>
      </w:r>
      <w:r>
        <w:rPr>
          <w:rFonts w:ascii="Times New Roman" w:hAnsi="Times New Roman"/>
          <w:sz w:val="24"/>
        </w:rPr>
        <w:t>Tài liệu đặc tả cú pháp SigmaHQ, YARA và các công trình khoa học liên quan đến AI Agent trong an ninh mạng.</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Xây dựng hệ thống thực nghiệm:</w:t>
      </w:r>
    </w:p>
    <w:p>
      <w:pPr>
        <w:pStyle w:val="ListParagraph"/>
        <w:spacing w:before="0" w:after="40"/>
        <w:ind w:left="720"/>
      </w:pPr>
      <w:r>
        <w:rPr>
          <w:rFonts w:ascii="Times New Roman" w:hAnsi="Times New Roman"/>
          <w:sz w:val="24"/>
        </w:rPr>
        <w:t xml:space="preserve">   - </w:t>
      </w:r>
      <w:r>
        <w:rPr>
          <w:rFonts w:ascii="Times New Roman" w:hAnsi="Times New Roman"/>
          <w:sz w:val="24"/>
        </w:rPr>
        <w:t>Lập trình hệ thống bằng ngôn ngữ Python 3.10+ kết hợp FastAPI, LangChain, Pydantic và SQLite.</w:t>
      </w:r>
    </w:p>
    <w:p>
      <w:pPr>
        <w:pStyle w:val="ListParagraph"/>
        <w:spacing w:before="0" w:after="40"/>
        <w:ind w:left="720"/>
      </w:pPr>
      <w:r>
        <w:rPr>
          <w:rFonts w:ascii="Times New Roman" w:hAnsi="Times New Roman"/>
          <w:sz w:val="24"/>
        </w:rPr>
        <w:t xml:space="preserve">   - </w:t>
      </w:r>
      <w:r>
        <w:rPr>
          <w:rFonts w:ascii="Times New Roman" w:hAnsi="Times New Roman"/>
          <w:sz w:val="24"/>
        </w:rPr>
        <w:t>Tích hợp các mô hình ngôn ngữ lớn (Gemini API, Groq LLMs) thông qua cơ chế ReAct Tool-Calling.</w:t>
      </w:r>
    </w:p>
    <w:p>
      <w:pPr>
        <w:pStyle w:val="ListParagraph"/>
        <w:spacing w:before="0" w:after="40"/>
        <w:ind w:left="720"/>
      </w:pPr>
      <w:r>
        <w:rPr>
          <w:rFonts w:ascii="Times New Roman" w:hAnsi="Times New Roman"/>
          <w:sz w:val="24"/>
        </w:rPr>
        <w:t xml:space="preserve">   - </w:t>
      </w:r>
      <w:r>
        <w:rPr>
          <w:rFonts w:ascii="Times New Roman" w:hAnsi="Times New Roman"/>
          <w:sz w:val="24"/>
        </w:rPr>
        <w:t>Quản lý mã nguồn nhóm qua Git/GitHub với quy tắc phân vùng độc lập (Territory Guard) và script đồng bộ sync.py.</w:t>
      </w:r>
    </w:p>
    <w:p>
      <w:pPr>
        <w:pStyle w:val="ListParagraph"/>
        <w:spacing w:before="0" w:after="40"/>
        <w:ind w:left="720"/>
      </w:pPr>
      <w:r>
        <w:rPr>
          <w:rFonts w:ascii="Times New Roman" w:hAnsi="Times New Roman"/>
          <w:sz w:val="24"/>
        </w:rPr>
        <w:t xml:space="preserve">   - </w:t>
      </w:r>
      <w:r>
        <w:rPr>
          <w:rFonts w:ascii="Times New Roman" w:hAnsi="Times New Roman"/>
          <w:sz w:val="24"/>
        </w:rPr>
        <w:t>Đóng gói triển khai thử nghiệm trên môi trường Docker Compose.</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Thực nghiệm và thu thập dữ liệu:</w:t>
      </w:r>
    </w:p>
    <w:p>
      <w:pPr>
        <w:pStyle w:val="ListParagraph"/>
        <w:spacing w:before="0" w:after="40"/>
        <w:ind w:left="720"/>
      </w:pPr>
      <w:r>
        <w:rPr>
          <w:rFonts w:ascii="Times New Roman" w:hAnsi="Times New Roman"/>
          <w:sz w:val="24"/>
        </w:rPr>
        <w:t xml:space="preserve">   - </w:t>
      </w:r>
      <w:r>
        <w:rPr>
          <w:rFonts w:ascii="Times New Roman" w:hAnsi="Times New Roman"/>
          <w:sz w:val="24"/>
        </w:rPr>
        <w:t>Thu thập dữ liệu nguồn mở OSINT chuẩn TLP:CLEAR từ các cổng công khai của CISA và báo chí bảo mật quốc tế.</w:t>
      </w:r>
    </w:p>
    <w:p>
      <w:pPr>
        <w:pStyle w:val="ListParagraph"/>
        <w:spacing w:before="0" w:after="40"/>
        <w:ind w:left="720"/>
      </w:pPr>
      <w:r>
        <w:rPr>
          <w:rFonts w:ascii="Times New Roman" w:hAnsi="Times New Roman"/>
          <w:sz w:val="24"/>
        </w:rPr>
        <w:t xml:space="preserve">   - </w:t>
      </w:r>
      <w:r>
        <w:rPr>
          <w:rFonts w:ascii="Times New Roman" w:hAnsi="Times New Roman"/>
          <w:sz w:val="24"/>
        </w:rPr>
        <w:t>Ghi nhận nhật ký suy luận của tác tử (Reasoning Trace), log gọi Tool và kết quả thẩm định API.</w:t>
      </w:r>
    </w:p>
    <w:p>
      <w:pPr>
        <w:pStyle w:val="ListParagraph"/>
        <w:spacing w:before="0" w:after="40"/>
        <w:ind w:left="720"/>
      </w:pPr>
      <w:r>
        <w:rPr>
          <w:rFonts w:ascii="Times New Roman" w:hAnsi="Times New Roman"/>
          <w:sz w:val="24"/>
        </w:rPr>
        <w:t xml:space="preserve">   - </w:t>
      </w:r>
      <w:r>
        <w:rPr>
          <w:rFonts w:ascii="Times New Roman" w:hAnsi="Times New Roman"/>
          <w:sz w:val="24"/>
        </w:rPr>
        <w:t>Lưu trữ dữ liệu vào SQLite có đánh chỉ mục và mã băm MD5 để loại bỏ trùng lặp.</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So sánh và đánh giá:</w:t>
      </w:r>
    </w:p>
    <w:p>
      <w:pPr>
        <w:pStyle w:val="ListParagraph"/>
        <w:spacing w:before="0" w:after="40"/>
        <w:ind w:left="720"/>
      </w:pPr>
      <w:r>
        <w:rPr>
          <w:rFonts w:ascii="Times New Roman" w:hAnsi="Times New Roman"/>
          <w:sz w:val="24"/>
        </w:rPr>
        <w:t xml:space="preserve">   - </w:t>
      </w:r>
      <w:r>
        <w:rPr>
          <w:rFonts w:ascii="Times New Roman" w:hAnsi="Times New Roman"/>
          <w:sz w:val="24"/>
        </w:rPr>
        <w:t>Đo lường độ chính xác (Precision, Recall, F1) trên tập dữ liệu benchmark 30 báo cáo APT.</w:t>
      </w:r>
    </w:p>
    <w:p>
      <w:pPr>
        <w:pStyle w:val="ListParagraph"/>
        <w:spacing w:before="0" w:after="40"/>
        <w:ind w:left="720"/>
      </w:pPr>
      <w:r>
        <w:rPr>
          <w:rFonts w:ascii="Times New Roman" w:hAnsi="Times New Roman"/>
          <w:sz w:val="24"/>
        </w:rPr>
        <w:t xml:space="preserve">   - </w:t>
      </w:r>
      <w:r>
        <w:rPr>
          <w:rFonts w:ascii="Times New Roman" w:hAnsi="Times New Roman"/>
          <w:sz w:val="24"/>
        </w:rPr>
        <w:t>Đánh giá cú pháp và tính khả thi của các quy tắc phòng thủ tự sinh (Sigma, YARA) trên các công cụ kiểm định tiêu chuẩn.</w:t>
      </w:r>
    </w:p>
    <w:p>
      <w:pPr>
        <w:pStyle w:val="ListParagraph"/>
        <w:spacing w:before="0" w:after="40"/>
        <w:ind w:left="720"/>
      </w:pPr>
      <w:r>
        <w:rPr>
          <w:rFonts w:ascii="Times New Roman" w:hAnsi="Times New Roman"/>
          <w:sz w:val="24"/>
        </w:rPr>
        <w:t xml:space="preserve">   - </w:t>
      </w:r>
      <w:r>
        <w:rPr>
          <w:rFonts w:ascii="Times New Roman" w:hAnsi="Times New Roman"/>
          <w:sz w:val="24"/>
        </w:rPr>
        <w:t>So sánh thời gian xử lý toàn trình giữa hệ thống tự động và chuyên viên phân tích thủ công.</w:t>
      </w:r>
    </w:p>
    <w:p>
      <w:pPr>
        <w:spacing w:before="120" w:after="80" w:line="312" w:lineRule="auto"/>
        <w:jc w:val="left"/>
      </w:pPr>
      <w:r>
        <w:rPr>
          <w:rFonts w:ascii="Times New Roman" w:hAnsi="Times New Roman"/>
          <w:b/>
          <w:i w:val="0"/>
          <w:sz w:val="24"/>
        </w:rPr>
        <w:t>Kết quả dự kiến</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Xây dựng thành công 01 hệ thống phần mềm hoàn chỉnh chạy ổn định, gồm Bộ não AI Agent điều phối 8 công cụ bảo mật chuyên dụng.</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Xây dựng 01 ứng dụng Web Dashboard trực quan hóa toàn bộ quy trình: nhập bài báo, xem luồng suy luận của Agent, tra cứu bảng IOCs và tải về các tập quy tắc phòng thủ.</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Xây dựng 01 bộ RESTful API đầy đủ tài liệu chuẩn Swagger/OpenAPI hỗ trợ tích hợp với hệ thống SIEM/SOAR.</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Tự động sinh các tập luật phòng thủ thực chiến (Sigma Rules .yml, YARA Rules .yar, Firewall Blocklist .txt) và xuất gói dữ liệu STIX 2.1 JSON đạt chuẩn cú pháp.</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Thu thập và gán nhãn 01 bộ dữ liệu benchmark gồm 30 báo cáo chiến dịch APT thực tế kèm số liệu đánh giá định lượng chứng minh tính hiệu quả của mô hình.</w:t>
      </w:r>
    </w:p>
    <w:p>
      <w:pPr>
        <w:pStyle w:val="ListParagraph"/>
        <w:spacing w:before="0" w:after="60" w:line="300" w:lineRule="auto"/>
      </w:pPr>
      <w:r>
        <w:rPr>
          <w:rFonts w:ascii="Times New Roman" w:hAnsi="Times New Roman"/>
          <w:b/>
          <w:sz w:val="24"/>
        </w:rPr>
        <w:t xml:space="preserve">• </w:t>
      </w:r>
      <w:r>
        <w:rPr>
          <w:rFonts w:ascii="Times New Roman" w:hAnsi="Times New Roman"/>
          <w:sz w:val="24"/>
        </w:rPr>
        <w:t>Hoàn thành báo cáo thuyết minh đồ án chuyên ngành chi tiết và chuẩn bị đầy đủ slide, kịch bản demo bảo vệ hệ thống trước Hội đồng.</w:t>
      </w:r>
    </w:p>
    <w:p>
      <w:pPr>
        <w:spacing w:before="160" w:after="120" w:line="312" w:lineRule="auto"/>
        <w:jc w:val="left"/>
      </w:pPr>
      <w:r>
        <w:rPr>
          <w:rFonts w:ascii="Times New Roman" w:hAnsi="Times New Roman"/>
          <w:b/>
          <w:i w:val="0"/>
          <w:sz w:val="24"/>
        </w:rPr>
        <w:t>Kế hoạch thực hiện:</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4032"/>
        <w:gridCol w:w="562"/>
        <w:gridCol w:w="562"/>
        <w:gridCol w:w="562"/>
        <w:gridCol w:w="562"/>
        <w:gridCol w:w="562"/>
        <w:gridCol w:w="562"/>
        <w:gridCol w:w="562"/>
        <w:gridCol w:w="562"/>
        <w:gridCol w:w="562"/>
        <w:gridCol w:w="562"/>
      </w:tblGrid>
      <w:tr>
        <w:tc>
          <w:tcPr>
            <w:tcW w:type="dxa" w:w="876"/>
            <w:vMerge w:val="restart"/>
            <w:vAlign w:val="center"/>
            <w:tcMar>
              <w:top w:w="60" w:type="dxa"/>
              <w:bottom w:w="60" w:type="dxa"/>
              <w:left w:w="80" w:type="dxa"/>
              <w:right w:w="80" w:type="dxa"/>
            </w:tcMar>
            <w:shd w:fill="F1F5F9"/>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Giai đoạn / Nội dung công việc</w:t>
            </w:r>
          </w:p>
        </w:tc>
        <w:tc>
          <w:tcPr>
            <w:tcW w:type="dxa" w:w="8760"/>
            <w:gridSpan w:val="10"/>
            <w:vAlign w:val="center"/>
            <w:tcMar>
              <w:top w:w="60" w:type="dxa"/>
              <w:bottom w:w="60" w:type="dxa"/>
              <w:left w:w="80" w:type="dxa"/>
              <w:right w:w="80" w:type="dxa"/>
            </w:tcMar>
            <w:shd w:fill="F1F5F9"/>
            <w:tcMar>
              <w:top w:w="60" w:type="dxa"/>
              <w:bottom w:w="60" w:type="dxa"/>
              <w:left w:w="80" w:type="dxa"/>
              <w:right w:w="80" w:type="dxa"/>
            </w:tcMar>
            <w:shd w:fill="F1F5F9"/>
            <w:tcMar>
              <w:top w:w="60" w:type="dxa"/>
              <w:bottom w:w="60" w:type="dxa"/>
              <w:left w:w="80" w:type="dxa"/>
              <w:right w:w="80" w:type="dxa"/>
            </w:tcMar>
            <w:shd w:fill="F1F5F9"/>
            <w:tcMar>
              <w:top w:w="60" w:type="dxa"/>
              <w:bottom w:w="60" w:type="dxa"/>
              <w:left w:w="80" w:type="dxa"/>
              <w:right w:w="80" w:type="dxa"/>
            </w:tcMar>
            <w:shd w:fill="F1F5F9"/>
            <w:tcMar>
              <w:top w:w="60" w:type="dxa"/>
              <w:bottom w:w="60" w:type="dxa"/>
              <w:left w:w="80" w:type="dxa"/>
              <w:right w:w="80" w:type="dxa"/>
            </w:tcMar>
            <w:shd w:fill="F1F5F9"/>
            <w:tcMar>
              <w:top w:w="60" w:type="dxa"/>
              <w:bottom w:w="60" w:type="dxa"/>
              <w:left w:w="80" w:type="dxa"/>
              <w:right w:w="80" w:type="dxa"/>
            </w:tcMar>
            <w:shd w:fill="F1F5F9"/>
            <w:tcMar>
              <w:top w:w="60" w:type="dxa"/>
              <w:bottom w:w="60" w:type="dxa"/>
              <w:left w:w="80" w:type="dxa"/>
              <w:right w:w="80" w:type="dxa"/>
            </w:tcMar>
            <w:shd w:fill="F1F5F9"/>
            <w:tcMar>
              <w:top w:w="60" w:type="dxa"/>
              <w:bottom w:w="60" w:type="dxa"/>
              <w:left w:w="80" w:type="dxa"/>
              <w:right w:w="80" w:type="dxa"/>
            </w:tcMar>
            <w:shd w:fill="F1F5F9"/>
            <w:tcMar>
              <w:top w:w="60" w:type="dxa"/>
              <w:bottom w:w="60" w:type="dxa"/>
              <w:left w:w="80" w:type="dxa"/>
              <w:right w:w="80" w:type="dxa"/>
            </w:tcMar>
            <w:shd w:fill="F1F5F9"/>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Tuần thứ</w:t>
            </w:r>
          </w:p>
        </w:tc>
      </w:tr>
      <w:tr>
        <w:tc>
          <w:tcPr>
            <w:tcW w:type="dxa" w:w="876"/>
            <w:vMerge/>
          </w:tcPr>
          <w:p/>
        </w:tc>
        <w:tc>
          <w:tcPr>
            <w:tcW w:type="dxa" w:w="876"/>
            <w:vAlign w:val="center"/>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1</w:t>
            </w:r>
          </w:p>
        </w:tc>
        <w:tc>
          <w:tcPr>
            <w:tcW w:type="dxa" w:w="876"/>
            <w:vAlign w:val="center"/>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2</w:t>
            </w:r>
          </w:p>
        </w:tc>
        <w:tc>
          <w:tcPr>
            <w:tcW w:type="dxa" w:w="876"/>
            <w:vAlign w:val="center"/>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3</w:t>
            </w:r>
          </w:p>
        </w:tc>
        <w:tc>
          <w:tcPr>
            <w:tcW w:type="dxa" w:w="876"/>
            <w:vAlign w:val="center"/>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4</w:t>
            </w:r>
          </w:p>
        </w:tc>
        <w:tc>
          <w:tcPr>
            <w:tcW w:type="dxa" w:w="876"/>
            <w:vAlign w:val="center"/>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5</w:t>
            </w:r>
          </w:p>
        </w:tc>
        <w:tc>
          <w:tcPr>
            <w:tcW w:type="dxa" w:w="876"/>
            <w:vAlign w:val="center"/>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6</w:t>
            </w:r>
          </w:p>
        </w:tc>
        <w:tc>
          <w:tcPr>
            <w:tcW w:type="dxa" w:w="876"/>
            <w:vAlign w:val="center"/>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7</w:t>
            </w:r>
          </w:p>
        </w:tc>
        <w:tc>
          <w:tcPr>
            <w:tcW w:type="dxa" w:w="876"/>
            <w:vAlign w:val="center"/>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8</w:t>
            </w:r>
          </w:p>
        </w:tc>
        <w:tc>
          <w:tcPr>
            <w:tcW w:type="dxa" w:w="876"/>
            <w:vAlign w:val="center"/>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9</w:t>
            </w:r>
          </w:p>
        </w:tc>
        <w:tc>
          <w:tcPr>
            <w:tcW w:type="dxa" w:w="876"/>
            <w:vAlign w:val="center"/>
            <w:tcMar>
              <w:top w:w="60" w:type="dxa"/>
              <w:bottom w:w="60" w:type="dxa"/>
              <w:left w:w="80" w:type="dxa"/>
              <w:right w:w="80" w:type="dxa"/>
            </w:tcMar>
            <w:shd w:fill="F1F5F9"/>
          </w:tcPr>
          <w:p>
            <w:pPr>
              <w:spacing w:before="40" w:after="40" w:line="276" w:lineRule="auto"/>
              <w:jc w:val="center"/>
            </w:pPr>
            <w:r>
              <w:rPr>
                <w:rFonts w:ascii="Times New Roman" w:hAnsi="Times New Roman"/>
                <w:b/>
                <w:sz w:val="20"/>
              </w:rPr>
              <w:t>10</w:t>
            </w:r>
          </w:p>
        </w:tc>
      </w:tr>
      <w:tr>
        <w:tc>
          <w:tcPr>
            <w:tcW w:type="dxa" w:w="876"/>
            <w:vAlign w:val="center"/>
            <w:tcMar>
              <w:top w:w="60" w:type="dxa"/>
              <w:bottom w:w="60" w:type="dxa"/>
              <w:left w:w="80" w:type="dxa"/>
              <w:right w:w="80" w:type="dxa"/>
            </w:tcMar>
          </w:tcPr>
          <w:p>
            <w:pPr>
              <w:spacing w:before="40" w:after="40" w:line="276" w:lineRule="auto"/>
              <w:jc w:val="left"/>
            </w:pPr>
            <w:r>
              <w:rPr>
                <w:rFonts w:ascii="Times New Roman" w:hAnsi="Times New Roman"/>
                <w:sz w:val="20"/>
              </w:rPr>
              <w:t>Nghiên cứu các bài báo và tài liệu liên quan (CTI, STIX 2.1, MITRE ATT&amp;CK, ReAct Agent)</w:t>
            </w:r>
          </w:p>
        </w:tc>
        <w:tc>
          <w:tcPr>
            <w:tcW w:type="dxa" w:w="876"/>
            <w:vAlign w:val="center"/>
            <w:tcMar>
              <w:top w:w="60" w:type="dxa"/>
              <w:bottom w:w="60" w:type="dxa"/>
              <w:left w:w="80" w:type="dxa"/>
              <w:right w:w="80" w:type="dxa"/>
            </w:tcMar>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r>
      <w:tr>
        <w:tc>
          <w:tcPr>
            <w:tcW w:type="dxa" w:w="876"/>
            <w:vAlign w:val="center"/>
            <w:tcMar>
              <w:top w:w="60" w:type="dxa"/>
              <w:bottom w:w="60" w:type="dxa"/>
              <w:left w:w="80" w:type="dxa"/>
              <w:right w:w="80" w:type="dxa"/>
            </w:tcMar>
            <w:shd w:fill="FAFAFA"/>
          </w:tcPr>
          <w:p>
            <w:pPr>
              <w:spacing w:before="40" w:after="40" w:line="276" w:lineRule="auto"/>
              <w:jc w:val="left"/>
            </w:pPr>
            <w:r>
              <w:rPr>
                <w:rFonts w:ascii="Times New Roman" w:hAnsi="Times New Roman"/>
                <w:sz w:val="20"/>
              </w:rPr>
              <w:t>Thiết kế kiến trúc hệ thống, quy ước dữ liệu chung (Schemas) và cơ chế bộ nhớ đệm SQLite</w:t>
            </w: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shd w:fill="FAFAFA"/>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r>
      <w:tr>
        <w:tc>
          <w:tcPr>
            <w:tcW w:type="dxa" w:w="876"/>
            <w:vAlign w:val="center"/>
            <w:tcMar>
              <w:top w:w="60" w:type="dxa"/>
              <w:bottom w:w="60" w:type="dxa"/>
              <w:left w:w="80" w:type="dxa"/>
              <w:right w:w="80" w:type="dxa"/>
            </w:tcMar>
          </w:tcPr>
          <w:p>
            <w:pPr>
              <w:spacing w:before="40" w:after="40" w:line="276" w:lineRule="auto"/>
              <w:jc w:val="left"/>
            </w:pPr>
            <w:r>
              <w:rPr>
                <w:rFonts w:ascii="Times New Roman" w:hAnsi="Times New Roman"/>
                <w:sz w:val="20"/>
              </w:rPr>
              <w:t>Xây dựng bộ công cụ thu thập dữ liệu nguồn mở OSINT (Tool 1: RSS Feeds, Tool 2: CISA KEV JSON)</w:t>
            </w: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r>
      <w:tr>
        <w:tc>
          <w:tcPr>
            <w:tcW w:type="dxa" w:w="876"/>
            <w:vAlign w:val="center"/>
            <w:tcMar>
              <w:top w:w="60" w:type="dxa"/>
              <w:bottom w:w="60" w:type="dxa"/>
              <w:left w:w="80" w:type="dxa"/>
              <w:right w:w="80" w:type="dxa"/>
            </w:tcMar>
            <w:shd w:fill="FAFAFA"/>
          </w:tcPr>
          <w:p>
            <w:pPr>
              <w:spacing w:before="40" w:after="40" w:line="276" w:lineRule="auto"/>
              <w:jc w:val="left"/>
            </w:pPr>
            <w:r>
              <w:rPr>
                <w:rFonts w:ascii="Times New Roman" w:hAnsi="Times New Roman"/>
                <w:sz w:val="20"/>
              </w:rPr>
              <w:t>Xây dựng bộ công cụ thẩm định danh tiếng (Tool 3: VirusTotal API, Tool 4: AbuseIPDB API)</w:t>
            </w: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shd w:fill="FAFAFA"/>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r>
      <w:tr>
        <w:tc>
          <w:tcPr>
            <w:tcW w:type="dxa" w:w="876"/>
            <w:vAlign w:val="center"/>
            <w:tcMar>
              <w:top w:w="60" w:type="dxa"/>
              <w:bottom w:w="60" w:type="dxa"/>
              <w:left w:w="80" w:type="dxa"/>
              <w:right w:w="80" w:type="dxa"/>
            </w:tcMar>
          </w:tcPr>
          <w:p>
            <w:pPr>
              <w:spacing w:before="40" w:after="40" w:line="276" w:lineRule="auto"/>
              <w:jc w:val="left"/>
            </w:pPr>
            <w:r>
              <w:rPr>
                <w:rFonts w:ascii="Times New Roman" w:hAnsi="Times New Roman"/>
                <w:sz w:val="20"/>
              </w:rPr>
              <w:t>Xây dựng bộ não AI Agent, phát triển Tool 6 (Trích xuất IOC) và Tool 7 (Ánh xạ MITRE ATT&amp;CK)</w:t>
            </w: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r>
      <w:tr>
        <w:tc>
          <w:tcPr>
            <w:tcW w:type="dxa" w:w="876"/>
            <w:vAlign w:val="center"/>
            <w:tcMar>
              <w:top w:w="60" w:type="dxa"/>
              <w:bottom w:w="60" w:type="dxa"/>
              <w:left w:w="80" w:type="dxa"/>
              <w:right w:w="80" w:type="dxa"/>
            </w:tcMar>
            <w:shd w:fill="FAFAFA"/>
          </w:tcPr>
          <w:p>
            <w:pPr>
              <w:spacing w:before="40" w:after="40" w:line="276" w:lineRule="auto"/>
              <w:jc w:val="left"/>
            </w:pPr>
            <w:r>
              <w:rPr>
                <w:rFonts w:ascii="Times New Roman" w:hAnsi="Times New Roman"/>
                <w:sz w:val="20"/>
              </w:rPr>
              <w:t>Xây dựng Tool 8 (Sinh quy tắc Sigma, YARA, Blocklist) và Tool 5 (Đóng gói xuất bản STIX 2.1)</w:t>
            </w: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shd w:fill="FAFAFA"/>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r>
      <w:tr>
        <w:tc>
          <w:tcPr>
            <w:tcW w:type="dxa" w:w="876"/>
            <w:vAlign w:val="center"/>
            <w:tcMar>
              <w:top w:w="60" w:type="dxa"/>
              <w:bottom w:w="60" w:type="dxa"/>
              <w:left w:w="80" w:type="dxa"/>
              <w:right w:w="80" w:type="dxa"/>
            </w:tcMar>
          </w:tcPr>
          <w:p>
            <w:pPr>
              <w:spacing w:before="40" w:after="40" w:line="276" w:lineRule="auto"/>
              <w:jc w:val="left"/>
            </w:pPr>
            <w:r>
              <w:rPr>
                <w:rFonts w:ascii="Times New Roman" w:hAnsi="Times New Roman"/>
                <w:sz w:val="20"/>
              </w:rPr>
              <w:t>Xây dựng Backend FastAPI và giao diện Web Dashboard trực quan hóa</w:t>
            </w: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r>
      <w:tr>
        <w:tc>
          <w:tcPr>
            <w:tcW w:type="dxa" w:w="876"/>
            <w:vAlign w:val="center"/>
            <w:tcMar>
              <w:top w:w="60" w:type="dxa"/>
              <w:bottom w:w="60" w:type="dxa"/>
              <w:left w:w="80" w:type="dxa"/>
              <w:right w:w="80" w:type="dxa"/>
            </w:tcMar>
            <w:shd w:fill="FAFAFA"/>
          </w:tcPr>
          <w:p>
            <w:pPr>
              <w:spacing w:before="40" w:after="40" w:line="276" w:lineRule="auto"/>
              <w:jc w:val="left"/>
            </w:pPr>
            <w:r>
              <w:rPr>
                <w:rFonts w:ascii="Times New Roman" w:hAnsi="Times New Roman"/>
                <w:sz w:val="20"/>
              </w:rPr>
              <w:t>Xây dựng bộ dữ liệu benchmark 30 báo cáo APT và đánh giá thực nghiệm (Precision/Recall)</w:t>
            </w: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shd w:fill="FAFAFA"/>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shd w:fill="FAFAFA"/>
          </w:tcPr>
          <w:p>
            <w:pPr>
              <w:spacing w:before="40" w:after="40" w:line="276" w:lineRule="auto"/>
              <w:jc w:val="center"/>
            </w:pPr>
          </w:p>
        </w:tc>
      </w:tr>
      <w:tr>
        <w:tc>
          <w:tcPr>
            <w:tcW w:type="dxa" w:w="876"/>
            <w:vAlign w:val="center"/>
            <w:tcMar>
              <w:top w:w="60" w:type="dxa"/>
              <w:bottom w:w="60" w:type="dxa"/>
              <w:left w:w="80" w:type="dxa"/>
              <w:right w:w="80" w:type="dxa"/>
            </w:tcMar>
          </w:tcPr>
          <w:p>
            <w:pPr>
              <w:spacing w:before="40" w:after="40" w:line="276" w:lineRule="auto"/>
              <w:jc w:val="left"/>
            </w:pPr>
            <w:r>
              <w:rPr>
                <w:rFonts w:ascii="Times New Roman" w:hAnsi="Times New Roman"/>
                <w:sz w:val="20"/>
              </w:rPr>
              <w:t>Tối ưu hóa toàn diện hệ thống, kiểm thử toàn trình và đóng gói Docker Compose</w:t>
            </w: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p>
        </w:tc>
        <w:tc>
          <w:tcPr>
            <w:tcW w:type="dxa" w:w="876"/>
            <w:vAlign w:val="center"/>
            <w:tcMar>
              <w:top w:w="60" w:type="dxa"/>
              <w:bottom w:w="60" w:type="dxa"/>
              <w:left w:w="80" w:type="dxa"/>
              <w:right w:w="80" w:type="dxa"/>
            </w:tcMar>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tcPr>
          <w:p>
            <w:pPr>
              <w:spacing w:before="40" w:after="40" w:line="276" w:lineRule="auto"/>
              <w:jc w:val="center"/>
            </w:pPr>
          </w:p>
        </w:tc>
      </w:tr>
      <w:tr>
        <w:tc>
          <w:tcPr>
            <w:tcW w:type="dxa" w:w="876"/>
            <w:vAlign w:val="center"/>
            <w:tcMar>
              <w:top w:w="60" w:type="dxa"/>
              <w:bottom w:w="60" w:type="dxa"/>
              <w:left w:w="80" w:type="dxa"/>
              <w:right w:w="80" w:type="dxa"/>
            </w:tcMar>
            <w:shd w:fill="FAFAFA"/>
          </w:tcPr>
          <w:p>
            <w:pPr>
              <w:spacing w:before="40" w:after="40" w:line="276" w:lineRule="auto"/>
              <w:jc w:val="left"/>
            </w:pPr>
            <w:r>
              <w:rPr>
                <w:rFonts w:ascii="Times New Roman" w:hAnsi="Times New Roman"/>
                <w:sz w:val="20"/>
              </w:rPr>
              <w:t>Viết báo cáo đồ án, hoàn thiện tài liệu thuyết minh và chuẩn bị kịch bản demo</w:t>
            </w: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p>
        </w:tc>
        <w:tc>
          <w:tcPr>
            <w:tcW w:type="dxa" w:w="876"/>
            <w:vAlign w:val="center"/>
            <w:tcMar>
              <w:top w:w="60" w:type="dxa"/>
              <w:bottom w:w="60" w:type="dxa"/>
              <w:left w:w="80" w:type="dxa"/>
              <w:right w:w="80" w:type="dxa"/>
            </w:tcMar>
            <w:shd w:fill="FAFAFA"/>
          </w:tcPr>
          <w:p>
            <w:pPr>
              <w:spacing w:before="40" w:after="40" w:line="276" w:lineRule="auto"/>
              <w:jc w:val="center"/>
            </w:pPr>
            <w:r>
              <w:rPr>
                <w:rFonts w:ascii="Times New Roman" w:hAnsi="Times New Roman"/>
                <w:b/>
                <w:sz w:val="22"/>
              </w:rPr>
              <w:t>*</w:t>
            </w:r>
          </w:p>
        </w:tc>
        <w:tc>
          <w:tcPr>
            <w:tcW w:type="dxa" w:w="876"/>
            <w:vAlign w:val="center"/>
            <w:tcMar>
              <w:top w:w="60" w:type="dxa"/>
              <w:bottom w:w="60" w:type="dxa"/>
              <w:left w:w="80" w:type="dxa"/>
              <w:right w:w="80" w:type="dxa"/>
            </w:tcMar>
            <w:shd w:fill="FAFAFA"/>
          </w:tcPr>
          <w:p>
            <w:pPr>
              <w:spacing w:before="40" w:after="40" w:line="276" w:lineRule="auto"/>
              <w:jc w:val="center"/>
            </w:pPr>
            <w:r>
              <w:rPr>
                <w:rFonts w:ascii="Times New Roman" w:hAnsi="Times New Roman"/>
                <w:b/>
                <w:sz w:val="22"/>
              </w:rPr>
              <w:t>*</w:t>
            </w:r>
          </w:p>
        </w:tc>
      </w:tr>
    </w:tbl>
    <w:p>
      <w:pPr>
        <w:spacing w:before="320" w:after="160" w:line="312" w:lineRule="auto"/>
        <w:jc w:val="center"/>
      </w:pPr>
      <w:r>
        <w:rPr>
          <w:rFonts w:ascii="Times New Roman" w:hAnsi="Times New Roman"/>
          <w:b/>
          <w:i w:val="0"/>
          <w:sz w:val="24"/>
        </w:rPr>
        <w:t>--- HẾT ---</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