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/>
          <w:bCs/>
        </w:rPr>
      </w:pPr>
      <w:r>
        <w:rPr>
          <w:b/>
          <w:bCs/>
        </w:rPr>
        <w:t xml:space="preserve">Risk Register </w:t>
      </w:r>
    </w:p>
    <w:p>
      <w:pPr>
        <w:pStyle w:val="Normal"/>
        <w:spacing w:before="0" w:after="0"/>
        <w:rPr/>
      </w:pPr>
      <w:r>
        <w:rPr/>
        <w:t>Cookies?</w:t>
      </w:r>
    </w:p>
    <w:p>
      <w:pPr>
        <w:pStyle w:val="Normal"/>
        <w:spacing w:before="0" w:after="0"/>
        <w:rPr/>
      </w:pPr>
      <w:r>
        <w:rPr/>
        <w:t xml:space="preserve">Import CSV option on the new settings page along with erasing stored data in IndexedDB option. </w:t>
      </w:r>
    </w:p>
    <w:p>
      <w:pPr>
        <w:pStyle w:val="Normal"/>
        <w:spacing w:before="0" w:after="0"/>
        <w:rPr/>
      </w:pPr>
      <w:r>
        <w:rPr/>
        <w:t>Only load and save JSON files (as CSV’s are a pain in the )</w:t>
      </w:r>
    </w:p>
    <w:p>
      <w:pPr>
        <w:pStyle w:val="Normal"/>
        <w:spacing w:before="0" w:after="0"/>
        <w:rPr/>
      </w:pPr>
      <w:r>
        <w:rPr/>
        <w:t>Default (toggle) option to clear IndexedDB when closing tool.</w:t>
      </w:r>
    </w:p>
    <w:p>
      <w:pPr>
        <w:pStyle w:val="Normal"/>
        <w:spacing w:before="0" w:after="0"/>
        <w:rPr/>
      </w:pPr>
      <w:r>
        <w:rPr/>
        <w:t>Load a JSON on startup to populate IndexedDB.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Normal"/>
        <w:rPr/>
      </w:pPr>
      <w:r>
        <w:rPr/>
        <w:t>Existing Risk Register data has been mapped and imported into this tool.</w:t>
      </w:r>
    </w:p>
    <w:tbl>
      <w:tblPr>
        <w:tblW w:w="901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4a0" w:noHBand="0" w:noVBand="1" w:firstColumn="1" w:lastRow="0" w:lastColumn="0" w:firstRow="1"/>
      </w:tblPr>
      <w:tblGrid>
        <w:gridCol w:w="2217"/>
        <w:gridCol w:w="3223"/>
        <w:gridCol w:w="3570"/>
      </w:tblGrid>
      <w:tr>
        <w:trPr>
          <w:tblHeader w:val="true"/>
        </w:trPr>
        <w:tc>
          <w:tcPr>
            <w:tcW w:w="22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Source Header</w:t>
            </w:r>
          </w:p>
        </w:tc>
        <w:tc>
          <w:tcPr>
            <w:tcW w:w="3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Target Field in Your Tool</w:t>
            </w:r>
          </w:p>
        </w:tc>
        <w:tc>
          <w:tcPr>
            <w:tcW w:w="3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Mapping Rationale</w:t>
            </w:r>
          </w:p>
        </w:tc>
      </w:tr>
      <w:tr>
        <w:trPr/>
        <w:tc>
          <w:tcPr>
            <w:tcW w:w="22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Risk Ref.</w:t>
            </w:r>
          </w:p>
        </w:tc>
        <w:tc>
          <w:tcPr>
            <w:tcW w:w="3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riskNumber</w:t>
            </w:r>
          </w:p>
        </w:tc>
        <w:tc>
          <w:tcPr>
            <w:tcW w:w="3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The primary identifier.</w:t>
            </w:r>
          </w:p>
        </w:tc>
      </w:tr>
      <w:tr>
        <w:trPr/>
        <w:tc>
          <w:tcPr>
            <w:tcW w:w="22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Date Raised</w:t>
            </w:r>
          </w:p>
        </w:tc>
        <w:tc>
          <w:tcPr>
            <w:tcW w:w="3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dateRaised</w:t>
            </w:r>
          </w:p>
        </w:tc>
        <w:tc>
          <w:tcPr>
            <w:tcW w:w="3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Direct match.</w:t>
            </w:r>
          </w:p>
        </w:tc>
      </w:tr>
      <w:tr>
        <w:trPr/>
        <w:tc>
          <w:tcPr>
            <w:tcW w:w="22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Assigned To</w:t>
            </w:r>
          </w:p>
        </w:tc>
        <w:tc>
          <w:tcPr>
            <w:tcW w:w="3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raisedBy</w:t>
            </w:r>
          </w:p>
        </w:tc>
        <w:tc>
          <w:tcPr>
            <w:tcW w:w="3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Best fit for who initiated or is accountable for entry.</w:t>
            </w:r>
          </w:p>
        </w:tc>
      </w:tr>
      <w:tr>
        <w:trPr/>
        <w:tc>
          <w:tcPr>
            <w:tcW w:w="22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Risk</w:t>
            </w:r>
          </w:p>
        </w:tc>
        <w:tc>
          <w:tcPr>
            <w:tcW w:w="3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riskItem</w:t>
            </w:r>
          </w:p>
        </w:tc>
        <w:tc>
          <w:tcPr>
            <w:tcW w:w="3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The concise title of the risk.</w:t>
            </w:r>
          </w:p>
        </w:tc>
      </w:tr>
      <w:tr>
        <w:trPr/>
        <w:tc>
          <w:tcPr>
            <w:tcW w:w="22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Description of Impact</w:t>
            </w:r>
          </w:p>
        </w:tc>
        <w:tc>
          <w:tcPr>
            <w:tcW w:w="3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impactStatement</w:t>
            </w:r>
          </w:p>
        </w:tc>
        <w:tc>
          <w:tcPr>
            <w:tcW w:w="3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Direct match to the consequence description.</w:t>
            </w:r>
          </w:p>
        </w:tc>
      </w:tr>
      <w:tr>
        <w:trPr/>
        <w:tc>
          <w:tcPr>
            <w:tcW w:w="22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Existing Controls</w:t>
            </w:r>
          </w:p>
        </w:tc>
        <w:tc>
          <w:tcPr>
            <w:tcW w:w="3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controlsMitigations</w:t>
            </w:r>
          </w:p>
        </w:tc>
        <w:tc>
          <w:tcPr>
            <w:tcW w:w="3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Concatenated with 'Future Controls'.</w:t>
            </w:r>
          </w:p>
        </w:tc>
      </w:tr>
      <w:tr>
        <w:trPr/>
        <w:tc>
          <w:tcPr>
            <w:tcW w:w="22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Impact (Initial)</w:t>
            </w:r>
          </w:p>
        </w:tc>
        <w:tc>
          <w:tcPr>
            <w:tcW w:w="3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impactInitial</w:t>
            </w:r>
          </w:p>
        </w:tc>
        <w:tc>
          <w:tcPr>
            <w:tcW w:w="3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Direct match (numeric).</w:t>
            </w:r>
          </w:p>
        </w:tc>
      </w:tr>
      <w:tr>
        <w:trPr/>
        <w:tc>
          <w:tcPr>
            <w:tcW w:w="22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Likelihood (Initial)</w:t>
            </w:r>
          </w:p>
        </w:tc>
        <w:tc>
          <w:tcPr>
            <w:tcW w:w="3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probabilityInitial</w:t>
            </w:r>
          </w:p>
        </w:tc>
        <w:tc>
          <w:tcPr>
            <w:tcW w:w="3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Direct match (numeric).</w:t>
            </w:r>
          </w:p>
        </w:tc>
      </w:tr>
      <w:tr>
        <w:trPr/>
        <w:tc>
          <w:tcPr>
            <w:tcW w:w="22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Future Controls</w:t>
            </w:r>
          </w:p>
        </w:tc>
        <w:tc>
          <w:tcPr>
            <w:tcW w:w="3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controlsMitigations</w:t>
            </w:r>
          </w:p>
        </w:tc>
        <w:tc>
          <w:tcPr>
            <w:tcW w:w="3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Concatenated with 'Existing Controls'.</w:t>
            </w:r>
          </w:p>
        </w:tc>
      </w:tr>
      <w:tr>
        <w:trPr/>
        <w:tc>
          <w:tcPr>
            <w:tcW w:w="22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Impact (Residual)</w:t>
            </w:r>
          </w:p>
        </w:tc>
        <w:tc>
          <w:tcPr>
            <w:tcW w:w="3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impactResidual</w:t>
            </w:r>
          </w:p>
        </w:tc>
        <w:tc>
          <w:tcPr>
            <w:tcW w:w="3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Direct match (numeric).</w:t>
            </w:r>
          </w:p>
        </w:tc>
      </w:tr>
      <w:tr>
        <w:trPr/>
        <w:tc>
          <w:tcPr>
            <w:tcW w:w="22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Likelihood (Residual)</w:t>
            </w:r>
          </w:p>
        </w:tc>
        <w:tc>
          <w:tcPr>
            <w:tcW w:w="3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probabilityResidual</w:t>
            </w:r>
          </w:p>
        </w:tc>
        <w:tc>
          <w:tcPr>
            <w:tcW w:w="3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Direct match (numeric).</w:t>
            </w:r>
          </w:p>
        </w:tc>
      </w:tr>
      <w:tr>
        <w:trPr/>
        <w:tc>
          <w:tcPr>
            <w:tcW w:w="22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Reviewed By</w:t>
            </w:r>
          </w:p>
        </w:tc>
        <w:tc>
          <w:tcPr>
            <w:tcW w:w="3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riskOwner</w:t>
            </w:r>
          </w:p>
        </w:tc>
        <w:tc>
          <w:tcPr>
            <w:tcW w:w="3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The person responsible for management.</w:t>
            </w:r>
          </w:p>
        </w:tc>
      </w:tr>
      <w:tr>
        <w:trPr/>
        <w:tc>
          <w:tcPr>
            <w:tcW w:w="22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Next Review Date</w:t>
            </w:r>
          </w:p>
        </w:tc>
        <w:tc>
          <w:tcPr>
            <w:tcW w:w="3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reviewDate</w:t>
            </w:r>
          </w:p>
        </w:tc>
        <w:tc>
          <w:tcPr>
            <w:tcW w:w="3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Direct match for ongoing management.</w:t>
            </w:r>
          </w:p>
        </w:tc>
      </w:tr>
      <w:tr>
        <w:trPr/>
        <w:tc>
          <w:tcPr>
            <w:tcW w:w="22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Notes &amp; Comments</w:t>
            </w:r>
          </w:p>
        </w:tc>
        <w:tc>
          <w:tcPr>
            <w:tcW w:w="3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actions</w:t>
            </w:r>
          </w:p>
        </w:tc>
        <w:tc>
          <w:tcPr>
            <w:tcW w:w="3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Primary field for follow-up actions and notes.</w:t>
            </w:r>
          </w:p>
        </w:tc>
      </w:tr>
      <w:tr>
        <w:trPr/>
        <w:tc>
          <w:tcPr>
            <w:tcW w:w="22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Closed Date</w:t>
            </w:r>
          </w:p>
        </w:tc>
        <w:tc>
          <w:tcPr>
            <w:tcW w:w="3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riskStatus (set to 'Closed')</w:t>
            </w:r>
          </w:p>
        </w:tc>
        <w:tc>
          <w:tcPr>
            <w:tcW w:w="3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Used to derive the final status.</w:t>
            </w:r>
          </w:p>
        </w:tc>
      </w:tr>
      <w:tr>
        <w:trPr/>
        <w:tc>
          <w:tcPr>
            <w:tcW w:w="22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Department</w:t>
            </w:r>
          </w:p>
        </w:tc>
        <w:tc>
          <w:tcPr>
            <w:tcW w:w="3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NEW: sourceDepartment</w:t>
            </w:r>
          </w:p>
        </w:tc>
        <w:tc>
          <w:tcPr>
            <w:tcW w:w="3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Preserves the organizational context.</w:t>
            </w:r>
          </w:p>
        </w:tc>
      </w:tr>
      <w:tr>
        <w:trPr/>
        <w:tc>
          <w:tcPr>
            <w:tcW w:w="22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Last Review Date</w:t>
            </w:r>
          </w:p>
        </w:tc>
        <w:tc>
          <w:tcPr>
            <w:tcW w:w="3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NEW: sourceLastReviewDate</w:t>
            </w:r>
          </w:p>
        </w:tc>
        <w:tc>
          <w:tcPr>
            <w:tcW w:w="3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Preserves historical review date.</w:t>
            </w:r>
          </w:p>
        </w:tc>
      </w:tr>
      <w:tr>
        <w:trPr/>
        <w:tc>
          <w:tcPr>
            <w:tcW w:w="22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Total Score (Initial)</w:t>
            </w:r>
          </w:p>
        </w:tc>
        <w:tc>
          <w:tcPr>
            <w:tcW w:w="3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i/>
                <w:iCs/>
              </w:rPr>
              <w:t>IGNORED</w:t>
            </w:r>
          </w:p>
        </w:tc>
        <w:tc>
          <w:tcPr>
            <w:tcW w:w="3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Tool calculates this automatically.</w:t>
            </w:r>
          </w:p>
        </w:tc>
      </w:tr>
      <w:tr>
        <w:trPr/>
        <w:tc>
          <w:tcPr>
            <w:tcW w:w="22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Total Score (Residual)</w:t>
            </w:r>
          </w:p>
        </w:tc>
        <w:tc>
          <w:tcPr>
            <w:tcW w:w="3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i/>
                <w:iCs/>
              </w:rPr>
              <w:t>IGNORED</w:t>
            </w:r>
          </w:p>
        </w:tc>
        <w:tc>
          <w:tcPr>
            <w:tcW w:w="3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Tool calculates this automatically.</w:t>
            </w:r>
          </w:p>
        </w:tc>
      </w:tr>
      <w:tr>
        <w:trPr/>
        <w:tc>
          <w:tcPr>
            <w:tcW w:w="22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Due Date</w:t>
            </w:r>
          </w:p>
        </w:tc>
        <w:tc>
          <w:tcPr>
            <w:tcW w:w="3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NEW: sourceDueDate</w:t>
            </w:r>
          </w:p>
        </w:tc>
        <w:tc>
          <w:tcPr>
            <w:tcW w:w="3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Preserves timeline context.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spacing w:lineRule="auto" w:line="273" w:before="0" w:after="14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1. Technical &amp; Architectural Improvements</w:t>
      </w:r>
    </w:p>
    <w:tbl>
      <w:tblPr>
        <w:tblW w:w="9026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49"/>
        <w:gridCol w:w="4326"/>
        <w:gridCol w:w="2951"/>
      </w:tblGrid>
      <w:tr>
        <w:trPr>
          <w:tblHeader w:val="true"/>
        </w:trPr>
        <w:tc>
          <w:tcPr>
            <w:tcW w:w="17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0"/>
              <w:rPr/>
            </w:pPr>
            <w:r>
              <w:rPr>
                <w:rStyle w:val="StrongEmphasis"/>
                <w:rFonts w:ascii="Google Sans Text;sans-serif" w:hAnsi="Google Sans Text;sans-serif"/>
              </w:rPr>
              <w:t>Area</w:t>
            </w:r>
          </w:p>
        </w:tc>
        <w:tc>
          <w:tcPr>
            <w:tcW w:w="4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0"/>
              <w:rPr/>
            </w:pPr>
            <w:r>
              <w:rPr>
                <w:rStyle w:val="StrongEmphasis"/>
                <w:rFonts w:ascii="Google Sans Text;sans-serif" w:hAnsi="Google Sans Text;sans-serif"/>
              </w:rPr>
              <w:t>Improvement Suggestion</w:t>
            </w:r>
          </w:p>
        </w:tc>
        <w:tc>
          <w:tcPr>
            <w:tcW w:w="29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0"/>
              <w:rPr/>
            </w:pPr>
            <w:r>
              <w:rPr>
                <w:rStyle w:val="StrongEmphasis"/>
                <w:rFonts w:ascii="Google Sans Text;sans-serif" w:hAnsi="Google Sans Text;sans-serif"/>
              </w:rPr>
              <w:t>Rationale</w:t>
            </w:r>
          </w:p>
        </w:tc>
      </w:tr>
      <w:tr>
        <w:trPr/>
        <w:tc>
          <w:tcPr>
            <w:tcW w:w="17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Code Structure</w:t>
            </w:r>
          </w:p>
        </w:tc>
        <w:tc>
          <w:tcPr>
            <w:tcW w:w="4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/>
            </w:pPr>
            <w:r>
              <w:rPr>
                <w:rFonts w:ascii="Google Sans Text;sans-serif" w:hAnsi="Google Sans Text;sans-serif"/>
                <w:b/>
              </w:rPr>
              <w:t>Implement a proper Model-View-Controller (MVC) or Component pattern.</w:t>
            </w:r>
            <w:r>
              <w:rPr>
                <w:rFonts w:ascii="Google Sans Text;sans-serif" w:hAnsi="Google Sans Text;sans-serif"/>
              </w:rPr>
              <w:t xml:space="preserve"> The current structure seems to rely on pure JavaScript interwoven with HTML (</w:t>
            </w:r>
            <w:r>
              <w:rPr>
                <w:rStyle w:val="SourceText"/>
                <w:rFonts w:ascii="Google Sans Text;sans-serif" w:hAnsi="Google Sans Text;sans-serif"/>
              </w:rPr>
              <w:t>index.html</w:t>
            </w:r>
            <w:r>
              <w:rPr>
                <w:rFonts w:ascii="Google Sans Text;sans-serif" w:hAnsi="Google Sans Text;sans-serif"/>
              </w:rPr>
              <w:t xml:space="preserve">, </w:t>
            </w:r>
            <w:r>
              <w:rPr>
                <w:rStyle w:val="SourceText"/>
                <w:rFonts w:ascii="Google Sans Text;sans-serif" w:hAnsi="Google Sans Text;sans-serif"/>
              </w:rPr>
              <w:t>risk_form.html</w:t>
            </w:r>
            <w:r>
              <w:rPr>
                <w:rFonts w:ascii="Google Sans Text;sans-serif" w:hAnsi="Google Sans Text;sans-serif"/>
              </w:rPr>
              <w:t>). Separate the application logic (Model), data persistence (IDB), and presentation (View).</w:t>
            </w:r>
          </w:p>
        </w:tc>
        <w:tc>
          <w:tcPr>
            <w:tcW w:w="29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/>
            </w:pPr>
            <w:r>
              <w:rPr>
                <w:rFonts w:ascii="Google Sans Text;sans-serif" w:hAnsi="Google Sans Text;sans-serif"/>
              </w:rPr>
              <w:t xml:space="preserve">Makes the code easier to maintain, debug, and scale. For instance, creating a </w:t>
            </w:r>
            <w:r>
              <w:rPr>
                <w:rStyle w:val="SourceText"/>
                <w:rFonts w:ascii="Google Sans Text;sans-serif" w:hAnsi="Google Sans Text;sans-serif"/>
              </w:rPr>
              <w:t>db.js</w:t>
            </w:r>
            <w:r>
              <w:rPr>
                <w:rFonts w:ascii="Google Sans Text;sans-serif" w:hAnsi="Google Sans Text;sans-serif"/>
              </w:rPr>
              <w:t xml:space="preserve"> for all IndexedDB logic and a </w:t>
            </w:r>
            <w:r>
              <w:rPr>
                <w:rStyle w:val="SourceText"/>
                <w:rFonts w:ascii="Google Sans Text;sans-serif" w:hAnsi="Google Sans Text;sans-serif"/>
              </w:rPr>
              <w:t>riskManager.js</w:t>
            </w:r>
            <w:r>
              <w:rPr>
                <w:rFonts w:ascii="Google Sans Text;sans-serif" w:hAnsi="Google Sans Text;sans-serif"/>
              </w:rPr>
              <w:t xml:space="preserve"> for risk calculation and filtering.</w:t>
            </w:r>
          </w:p>
        </w:tc>
      </w:tr>
      <w:tr>
        <w:trPr/>
        <w:tc>
          <w:tcPr>
            <w:tcW w:w="17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IndexedDB Abstraction</w:t>
            </w:r>
          </w:p>
        </w:tc>
        <w:tc>
          <w:tcPr>
            <w:tcW w:w="4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  <w:b/>
              </w:rPr>
              <w:t>Use a lightweight IndexedDB wrapper/library</w:t>
            </w:r>
            <w:r>
              <w:rPr>
                <w:rFonts w:ascii="Google Sans Text;sans-serif" w:hAnsi="Google Sans Text;sans-serif"/>
              </w:rPr>
              <w:t xml:space="preserve"> (e.g., Dexie.js or localForage).</w:t>
            </w:r>
          </w:p>
        </w:tc>
        <w:tc>
          <w:tcPr>
            <w:tcW w:w="29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While using pure IndexedDB is functional, a wrapper simplifies asynchronous operations, handles common connection issues, and reduces boilerplate code, leading to more reliable data interactions.</w:t>
            </w:r>
          </w:p>
        </w:tc>
      </w:tr>
      <w:tr>
        <w:trPr/>
        <w:tc>
          <w:tcPr>
            <w:tcW w:w="17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Styling/UI Framework</w:t>
            </w:r>
          </w:p>
        </w:tc>
        <w:tc>
          <w:tcPr>
            <w:tcW w:w="4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Adopt a lightweight CSS framework (e.g., Bootstrap, Tailwind, or even just a CSS utility library).</w:t>
            </w:r>
          </w:p>
        </w:tc>
        <w:tc>
          <w:tcPr>
            <w:tcW w:w="29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Improves the responsiveness, accessibility, and visual appeal of the forms and tables without sacrificing the lightweight nature.</w:t>
            </w:r>
          </w:p>
        </w:tc>
      </w:tr>
      <w:tr>
        <w:trPr/>
        <w:tc>
          <w:tcPr>
            <w:tcW w:w="17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Testing</w:t>
            </w:r>
          </w:p>
        </w:tc>
        <w:tc>
          <w:tcPr>
            <w:tcW w:w="4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/>
            </w:pPr>
            <w:r>
              <w:rPr>
                <w:rFonts w:ascii="Google Sans Text;sans-serif" w:hAnsi="Google Sans Text;sans-serif"/>
                <w:b/>
              </w:rPr>
              <w:t>Add unit tests for the core calculation logic.</w:t>
            </w:r>
            <w:r>
              <w:rPr>
                <w:rFonts w:ascii="Google Sans Text;sans-serif" w:hAnsi="Google Sans Text;sans-serif"/>
              </w:rPr>
              <w:t xml:space="preserve"> Use a minimal testing framework (like Jest or Mocha) to verify that the </w:t>
            </w:r>
            <w:r>
              <w:rPr>
                <w:rStyle w:val="SourceText"/>
                <w:rFonts w:ascii="Google Sans Text;sans-serif" w:hAnsi="Google Sans Text;sans-serif"/>
              </w:rPr>
              <w:t>Initial Score</w:t>
            </w:r>
            <w:r>
              <w:rPr>
                <w:rFonts w:ascii="Google Sans Text;sans-serif" w:hAnsi="Google Sans Text;sans-serif"/>
              </w:rPr>
              <w:t xml:space="preserve"> and </w:t>
            </w:r>
            <w:r>
              <w:rPr>
                <w:rStyle w:val="SourceText"/>
                <w:rFonts w:ascii="Google Sans Text;sans-serif" w:hAnsi="Google Sans Text;sans-serif"/>
              </w:rPr>
              <w:t>Residual Score</w:t>
            </w:r>
            <w:r>
              <w:rPr>
                <w:rFonts w:ascii="Google Sans Text;sans-serif" w:hAnsi="Google Sans Text;sans-serif"/>
              </w:rPr>
              <w:t xml:space="preserve"> calculations are mathematically correct and consistent.</w:t>
            </w:r>
          </w:p>
        </w:tc>
        <w:tc>
          <w:tcPr>
            <w:tcW w:w="29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Guarantees data integrity, especially crucial for risk management where metrics must be accurate.</w:t>
            </w:r>
          </w:p>
        </w:tc>
      </w:tr>
    </w:tbl>
    <w:p>
      <w:pPr>
        <w:pStyle w:val="HorizontalLine"/>
        <w:rPr/>
      </w:pPr>
      <w:r>
        <w:rPr/>
      </w:r>
    </w:p>
    <w:p>
      <w:pPr>
        <w:pStyle w:val="Heading2"/>
        <w:spacing w:lineRule="auto" w:line="273" w:before="0" w:after="14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2. Feature &amp; Risk Management Improvements</w:t>
      </w:r>
    </w:p>
    <w:tbl>
      <w:tblPr>
        <w:tblW w:w="9026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72"/>
        <w:gridCol w:w="3763"/>
        <w:gridCol w:w="3191"/>
      </w:tblGrid>
      <w:tr>
        <w:trPr>
          <w:tblHeader w:val="true"/>
        </w:trPr>
        <w:tc>
          <w:tcPr>
            <w:tcW w:w="2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0"/>
              <w:rPr/>
            </w:pPr>
            <w:r>
              <w:rPr>
                <w:rStyle w:val="StrongEmphasis"/>
                <w:rFonts w:ascii="Google Sans Text;sans-serif" w:hAnsi="Google Sans Text;sans-serif"/>
              </w:rPr>
              <w:t>Area</w:t>
            </w:r>
          </w:p>
        </w:tc>
        <w:tc>
          <w:tcPr>
            <w:tcW w:w="37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0"/>
              <w:rPr/>
            </w:pPr>
            <w:r>
              <w:rPr>
                <w:rStyle w:val="StrongEmphasis"/>
                <w:rFonts w:ascii="Google Sans Text;sans-serif" w:hAnsi="Google Sans Text;sans-serif"/>
              </w:rPr>
              <w:t>Improvement Suggestion</w:t>
            </w:r>
          </w:p>
        </w:tc>
        <w:tc>
          <w:tcPr>
            <w:tcW w:w="31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0"/>
              <w:rPr/>
            </w:pPr>
            <w:r>
              <w:rPr>
                <w:rStyle w:val="StrongEmphasis"/>
                <w:rFonts w:ascii="Google Sans Text;sans-serif" w:hAnsi="Google Sans Text;sans-serif"/>
              </w:rPr>
              <w:t>Rationale</w:t>
            </w:r>
          </w:p>
        </w:tc>
      </w:tr>
      <w:tr>
        <w:trPr/>
        <w:tc>
          <w:tcPr>
            <w:tcW w:w="2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Risk Matrix Visualization</w:t>
            </w:r>
          </w:p>
        </w:tc>
        <w:tc>
          <w:tcPr>
            <w:tcW w:w="37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  <w:b/>
              </w:rPr>
              <w:t>Add a dynamic Risk Matrix (Heatmap).</w:t>
            </w:r>
            <w:r>
              <w:rPr>
                <w:rFonts w:ascii="Google Sans Text;sans-serif" w:hAnsi="Google Sans Text;sans-serif"/>
              </w:rPr>
              <w:t xml:space="preserve"> Display the distribution of active risks (Residual Score) on a 5x5 grid (Probability vs. Impact).</w:t>
            </w:r>
          </w:p>
        </w:tc>
        <w:tc>
          <w:tcPr>
            <w:tcW w:w="31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This is a standard and highly valuable feature in risk management, offering an instant visual assessment of the top threats.</w:t>
            </w:r>
          </w:p>
        </w:tc>
      </w:tr>
      <w:tr>
        <w:trPr/>
        <w:tc>
          <w:tcPr>
            <w:tcW w:w="2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User Access/Security (Simulated)</w:t>
            </w:r>
          </w:p>
        </w:tc>
        <w:tc>
          <w:tcPr>
            <w:tcW w:w="37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/>
            </w:pPr>
            <w:r>
              <w:rPr>
                <w:rFonts w:ascii="Google Sans Text;sans-serif" w:hAnsi="Google Sans Text;sans-serif"/>
                <w:b/>
              </w:rPr>
              <w:t>Add a simple, client-side "user profile" or "login" feature.</w:t>
            </w:r>
            <w:r>
              <w:rPr>
                <w:rFonts w:ascii="Google Sans Text;sans-serif" w:hAnsi="Google Sans Text;sans-serif"/>
              </w:rPr>
              <w:t xml:space="preserve"> Use a prompt or a basic form to ask for the user's name on load and tag all new/modified records with the </w:t>
            </w:r>
            <w:r>
              <w:rPr>
                <w:rStyle w:val="SourceText"/>
                <w:rFonts w:ascii="Google Sans Text;sans-serif" w:hAnsi="Google Sans Text;sans-serif"/>
              </w:rPr>
              <w:t>Last Modified By</w:t>
            </w:r>
            <w:r>
              <w:rPr>
                <w:rFonts w:ascii="Google Sans Text;sans-serif" w:hAnsi="Google Sans Text;sans-serif"/>
              </w:rPr>
              <w:t xml:space="preserve"> user.</w:t>
            </w:r>
          </w:p>
        </w:tc>
        <w:tc>
          <w:tcPr>
            <w:tcW w:w="31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While it won't be true authentication, it enhances auditability for data exported from the tool, addressing a major enterprise need.</w:t>
            </w:r>
          </w:p>
        </w:tc>
      </w:tr>
      <w:tr>
        <w:trPr/>
        <w:tc>
          <w:tcPr>
            <w:tcW w:w="2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Audit/History Tracking</w:t>
            </w:r>
          </w:p>
        </w:tc>
        <w:tc>
          <w:tcPr>
            <w:tcW w:w="37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/>
            </w:pPr>
            <w:r>
              <w:rPr>
                <w:rFonts w:ascii="Google Sans Text;sans-serif" w:hAnsi="Google Sans Text;sans-serif"/>
                <w:b/>
              </w:rPr>
              <w:t>Implement a limited Audit Trail for key risk changes.</w:t>
            </w:r>
            <w:r>
              <w:rPr>
                <w:rFonts w:ascii="Google Sans Text;sans-serif" w:hAnsi="Google Sans Text;sans-serif"/>
              </w:rPr>
              <w:t xml:space="preserve"> When a user updates the </w:t>
            </w:r>
            <w:r>
              <w:rPr>
                <w:rFonts w:ascii="Google Sans Text;sans-serif" w:hAnsi="Google Sans Text;sans-serif"/>
                <w:b/>
              </w:rPr>
              <w:t>Status</w:t>
            </w:r>
            <w:r>
              <w:rPr>
                <w:rFonts w:ascii="Google Sans Text;sans-serif" w:hAnsi="Google Sans Text;sans-serif"/>
              </w:rPr>
              <w:t xml:space="preserve"> or </w:t>
            </w:r>
            <w:r>
              <w:rPr>
                <w:rFonts w:ascii="Google Sans Text;sans-serif" w:hAnsi="Google Sans Text;sans-serif"/>
                <w:b/>
              </w:rPr>
              <w:t>Residual Score</w:t>
            </w:r>
            <w:r>
              <w:rPr>
                <w:rFonts w:ascii="Google Sans Text;sans-serif" w:hAnsi="Google Sans Text;sans-serif"/>
              </w:rPr>
              <w:t xml:space="preserve"> for a risk, create a sub-object within the risk record to log: </w:t>
            </w:r>
            <w:r>
              <w:rPr>
                <w:rStyle w:val="SourceText"/>
                <w:rFonts w:ascii="Google Sans Text;sans-serif" w:hAnsi="Google Sans Text;sans-serif"/>
              </w:rPr>
              <w:t>Date</w:t>
            </w:r>
            <w:r>
              <w:rPr>
                <w:rFonts w:ascii="Google Sans Text;sans-serif" w:hAnsi="Google Sans Text;sans-serif"/>
              </w:rPr>
              <w:t xml:space="preserve">, </w:t>
            </w:r>
            <w:r>
              <w:rPr>
                <w:rStyle w:val="SourceText"/>
                <w:rFonts w:ascii="Google Sans Text;sans-serif" w:hAnsi="Google Sans Text;sans-serif"/>
              </w:rPr>
              <w:t>Old Status</w:t>
            </w:r>
            <w:r>
              <w:rPr>
                <w:rFonts w:ascii="Google Sans Text;sans-serif" w:hAnsi="Google Sans Text;sans-serif"/>
              </w:rPr>
              <w:t xml:space="preserve">, </w:t>
            </w:r>
            <w:r>
              <w:rPr>
                <w:rStyle w:val="SourceText"/>
                <w:rFonts w:ascii="Google Sans Text;sans-serif" w:hAnsi="Google Sans Text;sans-serif"/>
              </w:rPr>
              <w:t>New Status</w:t>
            </w:r>
            <w:r>
              <w:rPr>
                <w:rFonts w:ascii="Google Sans Text;sans-serif" w:hAnsi="Google Sans Text;sans-serif"/>
              </w:rPr>
              <w:t xml:space="preserve">, and </w:t>
            </w:r>
            <w:r>
              <w:rPr>
                <w:rStyle w:val="SourceText"/>
                <w:rFonts w:ascii="Google Sans Text;sans-serif" w:hAnsi="Google Sans Text;sans-serif"/>
              </w:rPr>
              <w:t>User</w:t>
            </w:r>
            <w:r>
              <w:rPr>
                <w:rFonts w:ascii="Google Sans Text;sans-serif" w:hAnsi="Google Sans Text;sans-serif"/>
              </w:rPr>
              <w:t>.</w:t>
            </w:r>
          </w:p>
        </w:tc>
        <w:tc>
          <w:tcPr>
            <w:tcW w:w="31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Allows managers to see how a risk has evolved over time, a critical component of any formal risk register.</w:t>
            </w:r>
          </w:p>
        </w:tc>
      </w:tr>
      <w:tr>
        <w:trPr/>
        <w:tc>
          <w:tcPr>
            <w:tcW w:w="2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Custom Fields</w:t>
            </w:r>
          </w:p>
        </w:tc>
        <w:tc>
          <w:tcPr>
            <w:tcW w:w="37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  <w:b/>
              </w:rPr>
              <w:t>Allow users to configure 1-3 custom text/dropdown fields.</w:t>
            </w:r>
            <w:r>
              <w:rPr>
                <w:rFonts w:ascii="Google Sans Text;sans-serif" w:hAnsi="Google Sans Text;sans-serif"/>
              </w:rPr>
              <w:t xml:space="preserve"> Store the configuration in IndexedDB.</w:t>
            </w:r>
          </w:p>
        </w:tc>
        <w:tc>
          <w:tcPr>
            <w:tcW w:w="31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Enterprise-level risk registers often require fields specific to the organization (e.g., Compliance Mandate, Business Unit, ISO 27001 Clause).</w:t>
            </w:r>
          </w:p>
        </w:tc>
      </w:tr>
    </w:tbl>
    <w:p>
      <w:pPr>
        <w:pStyle w:val="HorizontalLine"/>
        <w:rPr/>
      </w:pPr>
      <w:r>
        <w:rPr/>
      </w:r>
    </w:p>
    <w:p>
      <w:pPr>
        <w:pStyle w:val="Heading2"/>
        <w:spacing w:lineRule="auto" w:line="273" w:before="0" w:after="14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3. Usability &amp; Documentation Improvements</w:t>
      </w:r>
    </w:p>
    <w:tbl>
      <w:tblPr>
        <w:tblW w:w="9026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66"/>
        <w:gridCol w:w="4078"/>
        <w:gridCol w:w="2982"/>
      </w:tblGrid>
      <w:tr>
        <w:trPr>
          <w:tblHeader w:val="true"/>
        </w:trPr>
        <w:tc>
          <w:tcPr>
            <w:tcW w:w="19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0"/>
              <w:rPr/>
            </w:pPr>
            <w:r>
              <w:rPr>
                <w:rStyle w:val="StrongEmphasis"/>
                <w:rFonts w:ascii="Google Sans Text;sans-serif" w:hAnsi="Google Sans Text;sans-serif"/>
              </w:rPr>
              <w:t>Area</w:t>
            </w:r>
          </w:p>
        </w:tc>
        <w:tc>
          <w:tcPr>
            <w:tcW w:w="40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0"/>
              <w:rPr/>
            </w:pPr>
            <w:r>
              <w:rPr>
                <w:rStyle w:val="StrongEmphasis"/>
                <w:rFonts w:ascii="Google Sans Text;sans-serif" w:hAnsi="Google Sans Text;sans-serif"/>
              </w:rPr>
              <w:t>Improvement Suggestion</w:t>
            </w:r>
          </w:p>
        </w:tc>
        <w:tc>
          <w:tcPr>
            <w:tcW w:w="29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0"/>
              <w:rPr/>
            </w:pPr>
            <w:r>
              <w:rPr>
                <w:rStyle w:val="StrongEmphasis"/>
                <w:rFonts w:ascii="Google Sans Text;sans-serif" w:hAnsi="Google Sans Text;sans-serif"/>
              </w:rPr>
              <w:t>Rationale</w:t>
            </w:r>
          </w:p>
        </w:tc>
      </w:tr>
      <w:tr>
        <w:trPr/>
        <w:tc>
          <w:tcPr>
            <w:tcW w:w="19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User Interface (UX)</w:t>
            </w:r>
          </w:p>
        </w:tc>
        <w:tc>
          <w:tcPr>
            <w:tcW w:w="40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  <w:b/>
              </w:rPr>
              <w:t>Implement a better color-coding system</w:t>
            </w:r>
            <w:r>
              <w:rPr>
                <w:rFonts w:ascii="Google Sans Text;sans-serif" w:hAnsi="Google Sans Text;sans-serif"/>
              </w:rPr>
              <w:t xml:space="preserve"> based on the Risk Rating (e.g., Green for Low, Yellow/Orange for Medium, Red for High) directly in the table view.</w:t>
            </w:r>
          </w:p>
        </w:tc>
        <w:tc>
          <w:tcPr>
            <w:tcW w:w="29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Provides instant visual queues, making the application much faster to use and interpret.</w:t>
            </w:r>
          </w:p>
        </w:tc>
      </w:tr>
      <w:tr>
        <w:trPr/>
        <w:tc>
          <w:tcPr>
            <w:tcW w:w="19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Date Input Formatting</w:t>
            </w:r>
          </w:p>
        </w:tc>
        <w:tc>
          <w:tcPr>
            <w:tcW w:w="40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/>
            </w:pPr>
            <w:r>
              <w:rPr>
                <w:rFonts w:ascii="Google Sans Text;sans-serif" w:hAnsi="Google Sans Text;sans-serif"/>
                <w:b/>
              </w:rPr>
              <w:t>Improve date parsing robustness.</w:t>
            </w:r>
            <w:r>
              <w:rPr>
                <w:rFonts w:ascii="Google Sans Text;sans-serif" w:hAnsi="Google Sans Text;sans-serif"/>
              </w:rPr>
              <w:t xml:space="preserve"> While it handles </w:t>
            </w:r>
            <w:r>
              <w:rPr>
                <w:rStyle w:val="SourceText"/>
                <w:rFonts w:ascii="Google Sans Text;sans-serif" w:hAnsi="Google Sans Text;sans-serif"/>
              </w:rPr>
              <w:t>DD/MM/YYYY</w:t>
            </w:r>
            <w:r>
              <w:rPr>
                <w:rFonts w:ascii="Google Sans Text;sans-serif" w:hAnsi="Google Sans Text;sans-serif"/>
              </w:rPr>
              <w:t xml:space="preserve"> on import, ensure the input fields and exported CSV files use a consistent, international standard (like </w:t>
            </w:r>
            <w:r>
              <w:rPr>
                <w:rStyle w:val="SourceText"/>
                <w:rFonts w:ascii="Google Sans Text;sans-serif" w:hAnsi="Google Sans Text;sans-serif"/>
              </w:rPr>
              <w:t>YYYY-MM-DD</w:t>
            </w:r>
            <w:r>
              <w:rPr>
                <w:rFonts w:ascii="Google Sans Text;sans-serif" w:hAnsi="Google Sans Text;sans-serif"/>
              </w:rPr>
              <w:t>) to avoid locale-based errors.</w:t>
            </w:r>
          </w:p>
        </w:tc>
        <w:tc>
          <w:tcPr>
            <w:tcW w:w="29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Ensures consistency when moving data between different systems or users.</w:t>
            </w:r>
          </w:p>
        </w:tc>
      </w:tr>
      <w:tr>
        <w:trPr/>
        <w:tc>
          <w:tcPr>
            <w:tcW w:w="19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Filtering Persistence</w:t>
            </w:r>
          </w:p>
        </w:tc>
        <w:tc>
          <w:tcPr>
            <w:tcW w:w="40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/>
            </w:pPr>
            <w:r>
              <w:rPr>
                <w:rFonts w:ascii="Google Sans Text;sans-serif" w:hAnsi="Google Sans Text;sans-serif"/>
                <w:b/>
              </w:rPr>
              <w:t>Save the user's last filter/sort settings</w:t>
            </w:r>
            <w:r>
              <w:rPr>
                <w:rFonts w:ascii="Google Sans Text;sans-serif" w:hAnsi="Google Sans Text;sans-serif"/>
              </w:rPr>
              <w:t xml:space="preserve"> in </w:t>
            </w:r>
            <w:r>
              <w:rPr>
                <w:rStyle w:val="SourceText"/>
                <w:rFonts w:ascii="Google Sans Text;sans-serif" w:hAnsi="Google Sans Text;sans-serif"/>
              </w:rPr>
              <w:t>localStorage</w:t>
            </w:r>
            <w:r>
              <w:rPr>
                <w:rFonts w:ascii="Google Sans Text;sans-serif" w:hAnsi="Google Sans Text;sans-serif"/>
              </w:rPr>
              <w:t xml:space="preserve"> or session storage.</w:t>
            </w:r>
          </w:p>
        </w:tc>
        <w:tc>
          <w:tcPr>
            <w:tcW w:w="29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If the user navigates to the form and back to the main register, their view preferences (e.g., sorted by Residual Score) should be preserved.</w:t>
            </w:r>
          </w:p>
        </w:tc>
      </w:tr>
      <w:tr>
        <w:trPr/>
        <w:tc>
          <w:tcPr>
            <w:tcW w:w="19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Deployment/Hosting</w:t>
            </w:r>
          </w:p>
        </w:tc>
        <w:tc>
          <w:tcPr>
            <w:tcW w:w="40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  <w:b/>
              </w:rPr>
              <w:t>Add instructions or a workflow for hosting on a free service</w:t>
            </w:r>
            <w:r>
              <w:rPr>
                <w:rFonts w:ascii="Google Sans Text;sans-serif" w:hAnsi="Google Sans Text;sans-serif"/>
              </w:rPr>
              <w:t xml:space="preserve"> like GitHub Pages or Netlify.</w:t>
            </w:r>
          </w:p>
        </w:tc>
        <w:tc>
          <w:tcPr>
            <w:tcW w:w="29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While it's zero-server, hosting it via GitHub Pages makes sharing and using the live version much easier than relying on local file paths.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Google Sans">
    <w:altName w:val="sans-serif"/>
    <w:charset w:val="01"/>
    <w:family w:val="auto"/>
    <w:pitch w:val="default"/>
  </w:font>
  <w:font w:name="Google Sans Text">
    <w:altName w:val="sans-serif"/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GB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e8109a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109a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109a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109a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109a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109a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109a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109a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109a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e8109a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e8109a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e8109a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e8109a"/>
    <w:rPr>
      <w:rFonts w:eastAsia="" w:cs="" w:cstheme="majorBidi" w:eastAsiaTheme="majorEastAsia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e8109a"/>
    <w:rPr>
      <w:rFonts w:eastAsia="" w:cs="" w:cstheme="majorBidi" w:eastAsiaTheme="majorEastAsia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e8109a"/>
    <w:rPr>
      <w:rFonts w:eastAsia="" w:cs="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e8109a"/>
    <w:rPr>
      <w:rFonts w:eastAsia="" w:cs="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e8109a"/>
    <w:rPr>
      <w:rFonts w:eastAsia="" w:cs="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e8109a"/>
    <w:rPr>
      <w:rFonts w:eastAsia="" w:cs="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e8109a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e8109a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e8109a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e8109a"/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e810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109a"/>
    <w:rPr>
      <w:b/>
      <w:bCs/>
      <w:smallCaps/>
      <w:color w:val="0F4761" w:themeColor="accent1" w:themeShade="bf"/>
      <w:spacing w:val="5"/>
    </w:rPr>
  </w:style>
  <w:style w:type="character" w:styleId="StrongEmphasis">
    <w:name w:val="Strong Emphasis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leChar"/>
    <w:uiPriority w:val="10"/>
    <w:qFormat/>
    <w:rsid w:val="00e8109a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109a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109a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109a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e8109a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Application>LibreOffice/7.3.7.2$Linux_X86_64 LibreOffice_project/30$Build-2</Application>
  <AppVersion>15.0000</AppVersion>
  <Pages>5</Pages>
  <Words>788</Words>
  <Characters>4748</Characters>
  <CharactersWithSpaces>5421</CharactersWithSpaces>
  <Paragraphs>119</Paragraphs>
  <Company>London Borough of Croydon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2025-10-24T11:44:00Z</dcterms:created>
  <dc:creator>Boothe, Darren</dc:creator>
  <dc:description/>
  <dc:language>en-US</dc:language>
  <cp:lastModifiedBy/>
  <dcterms:modified xsi:type="dcterms:W3CDTF">2025-11-22T15:34:27Z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