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B3AC" w14:textId="0D03372E" w:rsidR="00073099" w:rsidRPr="00332942" w:rsidRDefault="00000000">
      <w:pPr>
        <w:pStyle w:val="Title"/>
        <w:spacing w:after="80"/>
        <w:rPr>
          <w:lang w:val="en-GB"/>
        </w:rPr>
      </w:pPr>
      <w:r w:rsidRPr="00332942">
        <w:rPr>
          <w:lang w:val="en-GB"/>
        </w:rPr>
        <w:t xml:space="preserve">Taipan </w:t>
      </w:r>
      <w:r w:rsidR="00332942" w:rsidRPr="00332942">
        <w:rPr>
          <w:lang w:val="en-GB"/>
        </w:rPr>
        <w:t>c</w:t>
      </w:r>
      <w:r w:rsidRPr="00332942">
        <w:rPr>
          <w:lang w:val="en-GB"/>
        </w:rPr>
        <w:t xml:space="preserve">ompanies and </w:t>
      </w:r>
      <w:r w:rsidR="00332942" w:rsidRPr="00332942">
        <w:rPr>
          <w:lang w:val="en-GB"/>
        </w:rPr>
        <w:t>p</w:t>
      </w:r>
      <w:r w:rsidRPr="00332942">
        <w:rPr>
          <w:lang w:val="en-GB"/>
        </w:rPr>
        <w:t xml:space="preserve">erformance in </w:t>
      </w:r>
      <w:r w:rsidR="00332942" w:rsidRPr="00332942">
        <w:rPr>
          <w:lang w:val="en-GB"/>
        </w:rPr>
        <w:t>m</w:t>
      </w:r>
      <w:r w:rsidRPr="00332942">
        <w:rPr>
          <w:lang w:val="en-GB"/>
        </w:rPr>
        <w:t>odern Hong Kong</w:t>
      </w:r>
    </w:p>
    <w:p w14:paraId="5AB3B063" w14:textId="77777777" w:rsidR="00073099" w:rsidRPr="00332942" w:rsidRDefault="00000000">
      <w:pPr>
        <w:pStyle w:val="Subtitle"/>
        <w:spacing w:after="280"/>
        <w:rPr>
          <w:lang w:val="en-GB"/>
        </w:rPr>
      </w:pPr>
      <w:r w:rsidRPr="00332942">
        <w:rPr>
          <w:lang w:val="en-GB"/>
        </w:rPr>
        <w:t xml:space="preserve">How the historic </w:t>
      </w:r>
      <w:proofErr w:type="spellStart"/>
      <w:r w:rsidRPr="00332942">
        <w:rPr>
          <w:lang w:val="en-GB"/>
        </w:rPr>
        <w:t>Hongs</w:t>
      </w:r>
      <w:proofErr w:type="spellEnd"/>
      <w:r w:rsidRPr="00332942">
        <w:rPr>
          <w:lang w:val="en-GB"/>
        </w:rPr>
        <w:t xml:space="preserve"> have become adaptive Asian portfolio groups</w:t>
      </w:r>
    </w:p>
    <w:tbl>
      <w:tblPr>
        <w:tblW w:w="0" w:type="auto"/>
        <w:tblLook w:val="04A0" w:firstRow="1" w:lastRow="0" w:firstColumn="1" w:lastColumn="0" w:noHBand="0" w:noVBand="1"/>
      </w:tblPr>
      <w:tblGrid>
        <w:gridCol w:w="9878"/>
      </w:tblGrid>
      <w:tr w:rsidR="00073099" w:rsidRPr="00332942" w14:paraId="44A040D0" w14:textId="77777777">
        <w:tc>
          <w:tcPr>
            <w:tcW w:w="9878" w:type="dxa"/>
            <w:shd w:val="clear" w:color="auto" w:fill="F4F4F4"/>
          </w:tcPr>
          <w:p w14:paraId="3A82BD2D" w14:textId="77777777" w:rsidR="00073099" w:rsidRPr="00332942" w:rsidRDefault="00000000">
            <w:pPr>
              <w:rPr>
                <w:lang w:val="en-GB"/>
              </w:rPr>
            </w:pPr>
            <w:r w:rsidRPr="00332942">
              <w:rPr>
                <w:b/>
                <w:color w:val="161616"/>
                <w:sz w:val="17"/>
                <w:lang w:val="en-GB"/>
              </w:rPr>
              <w:t>POSITIONAL DISCLAIMER</w:t>
            </w:r>
            <w:r w:rsidRPr="00332942">
              <w:rPr>
                <w:sz w:val="17"/>
                <w:lang w:val="en-GB"/>
              </w:rPr>
              <w:br/>
              <w:t>This is a short academic position paper written for discussion and portfolio purposes. It presents an arguable interpretation rather than professional, legal, economic or investment advice.</w:t>
            </w:r>
          </w:p>
        </w:tc>
      </w:tr>
    </w:tbl>
    <w:p w14:paraId="52E340C1" w14:textId="77777777" w:rsidR="00073099" w:rsidRPr="00332942" w:rsidRDefault="00073099">
      <w:pPr>
        <w:rPr>
          <w:lang w:val="en-GB"/>
        </w:rPr>
      </w:pPr>
    </w:p>
    <w:p w14:paraId="73381A1B" w14:textId="77777777" w:rsidR="00073099" w:rsidRPr="00332942" w:rsidRDefault="00000000">
      <w:pPr>
        <w:pStyle w:val="Heading1"/>
        <w:rPr>
          <w:lang w:val="en-GB"/>
        </w:rPr>
      </w:pPr>
      <w:r w:rsidRPr="00332942">
        <w:rPr>
          <w:lang w:val="en-GB"/>
        </w:rPr>
        <w:t>From colonial office to portfolio company</w:t>
      </w:r>
    </w:p>
    <w:p w14:paraId="4A4E7086" w14:textId="77777777" w:rsidR="00073099" w:rsidRPr="00332942" w:rsidRDefault="00000000">
      <w:pPr>
        <w:jc w:val="both"/>
        <w:rPr>
          <w:lang w:val="en-GB"/>
        </w:rPr>
      </w:pPr>
      <w:r w:rsidRPr="00332942">
        <w:rPr>
          <w:lang w:val="en-GB"/>
        </w:rPr>
        <w:t xml:space="preserve">The “taipan” was once the dominant individual at the head of a Hong Kong trading house: a figure whose authority rested on shipping, commodities, property, banking connections and privileged access to colonial institutions. The modern descendants of these </w:t>
      </w:r>
      <w:proofErr w:type="spellStart"/>
      <w:r w:rsidRPr="00332942">
        <w:rPr>
          <w:lang w:val="en-GB"/>
        </w:rPr>
        <w:t>Hongs</w:t>
      </w:r>
      <w:proofErr w:type="spellEnd"/>
      <w:r w:rsidRPr="00332942">
        <w:rPr>
          <w:lang w:val="en-GB"/>
        </w:rPr>
        <w:t xml:space="preserve"> are less personal and more corporate, but the underlying business logic remains recognisable. Jardine Matheson and Swire still combine long time horizons, concentrated ownership, regional knowledge and portfolios spread across sectors. Their performance therefore cannot be judged by the romantic image of a single “big boss”; it must be assessed through capital allocation, governance and the ability to adapt mature assets to a changing Asian economy.</w:t>
      </w:r>
    </w:p>
    <w:p w14:paraId="3E3FA21E" w14:textId="77777777" w:rsidR="00073099" w:rsidRPr="00332942" w:rsidRDefault="00000000">
      <w:pPr>
        <w:pStyle w:val="Heading1"/>
        <w:rPr>
          <w:lang w:val="en-GB"/>
        </w:rPr>
      </w:pPr>
      <w:r w:rsidRPr="00332942">
        <w:rPr>
          <w:lang w:val="en-GB"/>
        </w:rPr>
        <w:t>Performance through reinvention</w:t>
      </w:r>
    </w:p>
    <w:p w14:paraId="2A3B1FC8" w14:textId="77777777" w:rsidR="00073099" w:rsidRPr="00332942" w:rsidRDefault="00000000">
      <w:pPr>
        <w:jc w:val="both"/>
        <w:rPr>
          <w:lang w:val="en-GB"/>
        </w:rPr>
      </w:pPr>
      <w:r w:rsidRPr="00332942">
        <w:rPr>
          <w:lang w:val="en-GB"/>
        </w:rPr>
        <w:t xml:space="preserve">Recent results suggest that the strongest taipan companies are not simply preserving inherited empires. Jardine Matheson reported 2025 underlying profit attributable to shareholders of US$1.681 billion, up 11 per cent, despite revenue falling by 4 per cent to US$34.217 billion. It also recycled US$4.777 </w:t>
      </w:r>
      <w:proofErr w:type="spellStart"/>
      <w:r w:rsidRPr="00332942">
        <w:rPr>
          <w:lang w:val="en-GB"/>
        </w:rPr>
        <w:t>billion</w:t>
      </w:r>
      <w:proofErr w:type="spellEnd"/>
      <w:r w:rsidRPr="00332942">
        <w:rPr>
          <w:lang w:val="en-GB"/>
        </w:rPr>
        <w:t xml:space="preserve"> of capital and ended the year with parent net cash rather than borrowings. This points to a deliberate shift away from low-return holdings and towards a more disciplined portfolio model. Swire shows a similar pattern. Swire Properties reported a 27 per cent rise in 2025 underlying profit to HK$8.620 billion, helped by disposals and reinvestment, while Cathay’s passenger revenue rose strongly as Hong Kong’s aviation network recovered.</w:t>
      </w:r>
    </w:p>
    <w:p w14:paraId="393F0F0D" w14:textId="77777777" w:rsidR="00073099" w:rsidRPr="00332942" w:rsidRDefault="00000000">
      <w:pPr>
        <w:jc w:val="both"/>
        <w:rPr>
          <w:lang w:val="en-GB"/>
        </w:rPr>
      </w:pPr>
      <w:r w:rsidRPr="00332942">
        <w:rPr>
          <w:lang w:val="en-GB"/>
        </w:rPr>
        <w:t xml:space="preserve">However, this performance is uneven. The old </w:t>
      </w:r>
      <w:proofErr w:type="spellStart"/>
      <w:r w:rsidRPr="00332942">
        <w:rPr>
          <w:lang w:val="en-GB"/>
        </w:rPr>
        <w:t>Hongs</w:t>
      </w:r>
      <w:proofErr w:type="spellEnd"/>
      <w:r w:rsidRPr="00332942">
        <w:rPr>
          <w:lang w:val="en-GB"/>
        </w:rPr>
        <w:t xml:space="preserve"> remain exposed to Hong Kong property cycles, mainland Chinese demand, tourism, aviation and consumer confidence. Asset sales can strengthen reported profit and balance sheets, but they do not automatically prove that recurring operating growth is secure. A portfolio can look healthier because weaker assets have been sold; the harder test is whether the retained businesses can generate durable returns.</w:t>
      </w:r>
    </w:p>
    <w:p w14:paraId="433145EE" w14:textId="77777777" w:rsidR="00073099" w:rsidRPr="00332942" w:rsidRDefault="00000000">
      <w:pPr>
        <w:pStyle w:val="Heading1"/>
        <w:rPr>
          <w:lang w:val="en-GB"/>
        </w:rPr>
      </w:pPr>
      <w:r w:rsidRPr="00332942">
        <w:rPr>
          <w:lang w:val="en-GB"/>
        </w:rPr>
        <w:t>A qualified verdict</w:t>
      </w:r>
    </w:p>
    <w:p w14:paraId="54549DFE" w14:textId="77777777" w:rsidR="00073099" w:rsidRPr="00332942" w:rsidRDefault="00000000">
      <w:pPr>
        <w:jc w:val="both"/>
        <w:rPr>
          <w:lang w:val="en-GB"/>
        </w:rPr>
      </w:pPr>
      <w:r w:rsidRPr="00332942">
        <w:rPr>
          <w:lang w:val="en-GB"/>
        </w:rPr>
        <w:t>The taipan model has survived because it has changed. Its competitive advantage is no longer colonial privilege but institutional memory, access to capital and the capacity to coordinate complex Asian businesses. Yet history can also create inertia. The most convincing measure of future performance will be whether these groups continue to simplify governance, disclose capital-allocation choices clearly and invest beyond the sectors that originally made them powerful. The modern taipan company is strongest when it behaves less like an inherited empire and more like an accountable, adaptive owner.</w:t>
      </w:r>
    </w:p>
    <w:p w14:paraId="4D3DEDA4" w14:textId="77777777" w:rsidR="00073099" w:rsidRPr="00332942" w:rsidRDefault="00000000">
      <w:pPr>
        <w:pStyle w:val="Heading1"/>
        <w:rPr>
          <w:lang w:val="en-GB"/>
        </w:rPr>
      </w:pPr>
      <w:r w:rsidRPr="00332942">
        <w:rPr>
          <w:lang w:val="en-GB"/>
        </w:rPr>
        <w:lastRenderedPageBreak/>
        <w:t>References</w:t>
      </w:r>
    </w:p>
    <w:p w14:paraId="5BD29AA5" w14:textId="77777777" w:rsidR="00073099" w:rsidRPr="00332942" w:rsidRDefault="00000000">
      <w:pPr>
        <w:ind w:left="288" w:hanging="288"/>
        <w:rPr>
          <w:lang w:val="en-GB"/>
        </w:rPr>
      </w:pPr>
      <w:r w:rsidRPr="00332942">
        <w:rPr>
          <w:lang w:val="en-GB"/>
        </w:rPr>
        <w:t>Jardine Matheson Holdings Limited. Annual Report 2025, results summary and Chief Financial Officer’s statement.</w:t>
      </w:r>
    </w:p>
    <w:p w14:paraId="3983A5A0" w14:textId="77777777" w:rsidR="00073099" w:rsidRPr="00332942" w:rsidRDefault="00000000">
      <w:pPr>
        <w:ind w:left="288" w:hanging="288"/>
        <w:rPr>
          <w:lang w:val="en-GB"/>
        </w:rPr>
      </w:pPr>
      <w:r w:rsidRPr="00332942">
        <w:rPr>
          <w:lang w:val="en-GB"/>
        </w:rPr>
        <w:t>Swire Pacific Limited. Annual Report 2025.</w:t>
      </w:r>
    </w:p>
    <w:p w14:paraId="0A75C45E" w14:textId="77777777" w:rsidR="00073099" w:rsidRPr="00332942" w:rsidRDefault="00000000">
      <w:pPr>
        <w:ind w:left="288" w:hanging="288"/>
        <w:rPr>
          <w:lang w:val="en-GB"/>
        </w:rPr>
      </w:pPr>
      <w:r w:rsidRPr="00332942">
        <w:rPr>
          <w:lang w:val="en-GB"/>
        </w:rPr>
        <w:t>Swire Properties Limited. 2025 Annual Results, 12 March 2026.</w:t>
      </w:r>
    </w:p>
    <w:p w14:paraId="62FB0A6F" w14:textId="77777777" w:rsidR="00073099" w:rsidRPr="00332942" w:rsidRDefault="00000000">
      <w:pPr>
        <w:ind w:left="288" w:hanging="288"/>
        <w:rPr>
          <w:lang w:val="en-GB"/>
        </w:rPr>
      </w:pPr>
      <w:r w:rsidRPr="00332942">
        <w:rPr>
          <w:lang w:val="en-GB"/>
        </w:rPr>
        <w:t>Cathay Pacific Airways Limited. 2025 Annual Results, 11 March 2026.</w:t>
      </w:r>
    </w:p>
    <w:p w14:paraId="53CC3EAE" w14:textId="77777777" w:rsidR="00073099" w:rsidRPr="00332942" w:rsidRDefault="00000000">
      <w:pPr>
        <w:spacing w:before="200"/>
        <w:rPr>
          <w:lang w:val="en-GB"/>
        </w:rPr>
      </w:pPr>
      <w:r w:rsidRPr="00332942">
        <w:rPr>
          <w:i/>
          <w:color w:val="6F6F6F"/>
          <w:sz w:val="17"/>
          <w:lang w:val="en-GB"/>
        </w:rPr>
        <w:t>Approximate main-text length: 380 words (approximately 400 words).</w:t>
      </w:r>
    </w:p>
    <w:sectPr w:rsidR="00073099" w:rsidRPr="00332942"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D14F9" w14:textId="77777777" w:rsidR="0000520B" w:rsidRDefault="0000520B">
      <w:pPr>
        <w:spacing w:after="0" w:line="240" w:lineRule="auto"/>
      </w:pPr>
      <w:r>
        <w:separator/>
      </w:r>
    </w:p>
  </w:endnote>
  <w:endnote w:type="continuationSeparator" w:id="0">
    <w:p w14:paraId="6D480C51" w14:textId="77777777" w:rsidR="0000520B" w:rsidRDefault="00005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B3BC" w14:textId="77777777" w:rsidR="00073099" w:rsidRDefault="00000000">
    <w:pPr>
      <w:pStyle w:val="Footer"/>
      <w:jc w:val="center"/>
    </w:pPr>
    <w:r>
      <w:fldChar w:fldCharType="begin"/>
    </w:r>
    <w:r>
      <w:instrText>PAGE</w:instrText>
    </w:r>
    <w:r w:rsidR="00332942">
      <w:fldChar w:fldCharType="separate"/>
    </w:r>
    <w:r w:rsidR="003329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D8A3" w14:textId="77777777" w:rsidR="0000520B" w:rsidRDefault="0000520B">
      <w:pPr>
        <w:spacing w:after="0" w:line="240" w:lineRule="auto"/>
      </w:pPr>
      <w:r>
        <w:separator/>
      </w:r>
    </w:p>
  </w:footnote>
  <w:footnote w:type="continuationSeparator" w:id="0">
    <w:p w14:paraId="5AF117CA" w14:textId="77777777" w:rsidR="0000520B" w:rsidRDefault="00005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53E5" w14:textId="77777777" w:rsidR="00073099" w:rsidRDefault="00000000">
    <w:pPr>
      <w:pStyle w:val="Caption"/>
    </w:pPr>
    <w:r>
      <w:rPr>
        <w:color w:val="525252"/>
        <w:sz w:val="16"/>
      </w:rPr>
      <w:t>ACADEMIC WRITING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941304">
    <w:abstractNumId w:val="8"/>
  </w:num>
  <w:num w:numId="2" w16cid:durableId="472023014">
    <w:abstractNumId w:val="6"/>
  </w:num>
  <w:num w:numId="3" w16cid:durableId="2092504876">
    <w:abstractNumId w:val="5"/>
  </w:num>
  <w:num w:numId="4" w16cid:durableId="2041318552">
    <w:abstractNumId w:val="4"/>
  </w:num>
  <w:num w:numId="5" w16cid:durableId="605381578">
    <w:abstractNumId w:val="7"/>
  </w:num>
  <w:num w:numId="6" w16cid:durableId="1428044305">
    <w:abstractNumId w:val="3"/>
  </w:num>
  <w:num w:numId="7" w16cid:durableId="1692105934">
    <w:abstractNumId w:val="2"/>
  </w:num>
  <w:num w:numId="8" w16cid:durableId="1750231795">
    <w:abstractNumId w:val="1"/>
  </w:num>
  <w:num w:numId="9" w16cid:durableId="202135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0B"/>
    <w:rsid w:val="00034616"/>
    <w:rsid w:val="0006063C"/>
    <w:rsid w:val="00073099"/>
    <w:rsid w:val="0015074B"/>
    <w:rsid w:val="0029639D"/>
    <w:rsid w:val="00326F90"/>
    <w:rsid w:val="00332942"/>
    <w:rsid w:val="00687D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BB0D8"/>
  <w14:defaultImageDpi w14:val="300"/>
  <w15:docId w15:val="{9E47373F-A419-F64A-8D15-010A3DB6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161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161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525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Graham charles Newman</cp:lastModifiedBy>
  <cp:revision>2</cp:revision>
  <dcterms:created xsi:type="dcterms:W3CDTF">2013-12-23T23:15:00Z</dcterms:created>
  <dcterms:modified xsi:type="dcterms:W3CDTF">2026-07-13T16:34:00Z</dcterms:modified>
  <cp:category/>
</cp:coreProperties>
</file>