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DA6AD" w14:textId="100A2693" w:rsidR="004D4907" w:rsidRPr="00C2330B" w:rsidRDefault="00000000">
      <w:pPr>
        <w:pStyle w:val="Title"/>
        <w:spacing w:after="80"/>
        <w:rPr>
          <w:lang w:val="en-GB"/>
        </w:rPr>
      </w:pPr>
      <w:r w:rsidRPr="00C2330B">
        <w:rPr>
          <w:lang w:val="en-GB"/>
        </w:rPr>
        <w:t xml:space="preserve">Generation Alpha and </w:t>
      </w:r>
      <w:r w:rsidR="00C2330B" w:rsidRPr="00C2330B">
        <w:rPr>
          <w:lang w:val="en-GB"/>
        </w:rPr>
        <w:t>m</w:t>
      </w:r>
      <w:r w:rsidRPr="00C2330B">
        <w:rPr>
          <w:lang w:val="en-GB"/>
        </w:rPr>
        <w:t>acroeconomics in the European Union</w:t>
      </w:r>
    </w:p>
    <w:p w14:paraId="10D00BB3" w14:textId="77777777" w:rsidR="004D4907" w:rsidRPr="00C2330B" w:rsidRDefault="00000000">
      <w:pPr>
        <w:pStyle w:val="Subtitle"/>
        <w:spacing w:after="280"/>
        <w:rPr>
          <w:lang w:val="en-GB"/>
        </w:rPr>
      </w:pPr>
      <w:r w:rsidRPr="00C2330B">
        <w:rPr>
          <w:lang w:val="en-GB"/>
        </w:rPr>
        <w:t>A cautious position on stability, fairness and the economy they will inherit</w:t>
      </w:r>
    </w:p>
    <w:tbl>
      <w:tblPr>
        <w:tblW w:w="0" w:type="auto"/>
        <w:tblLook w:val="04A0" w:firstRow="1" w:lastRow="0" w:firstColumn="1" w:lastColumn="0" w:noHBand="0" w:noVBand="1"/>
      </w:tblPr>
      <w:tblGrid>
        <w:gridCol w:w="9878"/>
      </w:tblGrid>
      <w:tr w:rsidR="004D4907" w:rsidRPr="00C2330B" w14:paraId="56C9182E" w14:textId="77777777">
        <w:tc>
          <w:tcPr>
            <w:tcW w:w="9878" w:type="dxa"/>
            <w:shd w:val="clear" w:color="auto" w:fill="F4F4F4"/>
          </w:tcPr>
          <w:p w14:paraId="185D8522" w14:textId="77777777" w:rsidR="004D4907" w:rsidRPr="00C2330B" w:rsidRDefault="00000000">
            <w:pPr>
              <w:rPr>
                <w:lang w:val="en-GB"/>
              </w:rPr>
            </w:pPr>
            <w:r w:rsidRPr="00C2330B">
              <w:rPr>
                <w:b/>
                <w:color w:val="161616"/>
                <w:sz w:val="17"/>
                <w:lang w:val="en-GB"/>
              </w:rPr>
              <w:t>POSITIONAL DISCLAIMER</w:t>
            </w:r>
            <w:r w:rsidRPr="00C2330B">
              <w:rPr>
                <w:sz w:val="17"/>
                <w:lang w:val="en-GB"/>
              </w:rPr>
              <w:br/>
              <w:t>This is a short academic position paper written for discussion and portfolio purposes. It presents an arguable interpretation rather than professional, legal, economic or investment advice.</w:t>
            </w:r>
          </w:p>
        </w:tc>
      </w:tr>
    </w:tbl>
    <w:p w14:paraId="7BB18AB4" w14:textId="77777777" w:rsidR="004D4907" w:rsidRPr="00C2330B" w:rsidRDefault="004D4907">
      <w:pPr>
        <w:rPr>
          <w:lang w:val="en-GB"/>
        </w:rPr>
      </w:pPr>
    </w:p>
    <w:p w14:paraId="65230E1B" w14:textId="77777777" w:rsidR="004D4907" w:rsidRPr="00C2330B" w:rsidRDefault="00000000">
      <w:pPr>
        <w:pStyle w:val="Heading1"/>
        <w:rPr>
          <w:lang w:val="en-GB"/>
        </w:rPr>
      </w:pPr>
      <w:r w:rsidRPr="00C2330B">
        <w:rPr>
          <w:lang w:val="en-GB"/>
        </w:rPr>
        <w:t>A generation that experiences macroeconomics personally</w:t>
      </w:r>
    </w:p>
    <w:p w14:paraId="0CE0FF3F" w14:textId="77777777" w:rsidR="004D4907" w:rsidRPr="00C2330B" w:rsidRDefault="00000000">
      <w:pPr>
        <w:jc w:val="both"/>
        <w:rPr>
          <w:lang w:val="en-GB"/>
        </w:rPr>
      </w:pPr>
      <w:r w:rsidRPr="00C2330B">
        <w:rPr>
          <w:lang w:val="en-GB"/>
        </w:rPr>
        <w:t>Generation Alpha is usually defined as those born from the early 2010s onwards. Most are not yet voters, workers or taxpayers, so claims about a single “Gen Alpha opinion” should be treated cautiously. Even so, their likely view of European macroeconomics can be inferred from the conditions in which they are growing up. Inflation, housing costs, climate policy, digital technology and public spending are not distant abstractions: they shape family budgets, school resources and expectations about adult life.</w:t>
      </w:r>
    </w:p>
    <w:p w14:paraId="2EACDAC5" w14:textId="77777777" w:rsidR="004D4907" w:rsidRPr="00C2330B" w:rsidRDefault="00000000">
      <w:pPr>
        <w:pStyle w:val="Heading1"/>
        <w:rPr>
          <w:lang w:val="en-GB"/>
        </w:rPr>
      </w:pPr>
      <w:r w:rsidRPr="00C2330B">
        <w:rPr>
          <w:lang w:val="en-GB"/>
        </w:rPr>
        <w:t>Stability is necessary but no longer sufficient</w:t>
      </w:r>
    </w:p>
    <w:p w14:paraId="38518AF6" w14:textId="77777777" w:rsidR="004D4907" w:rsidRPr="00C2330B" w:rsidRDefault="00000000">
      <w:pPr>
        <w:jc w:val="both"/>
        <w:rPr>
          <w:lang w:val="en-GB"/>
        </w:rPr>
      </w:pPr>
      <w:r w:rsidRPr="00C2330B">
        <w:rPr>
          <w:lang w:val="en-GB"/>
        </w:rPr>
        <w:t>A conventional European policy story emphasises price stability, fiscal discipline and gradual growth. Those aims matter. Eurostat reported euro-area unemployment of 6.2 per cent in May 2026, while youth unemployment remained much higher than the overall rate. Inflation had also risen again, showing how quickly apparently settled conditions can change. For Generation Alpha, macroeconomic credibility may therefore mean more than returning inflation to a numerical target. It may also mean whether wages, housing, transport and education remain accessible.</w:t>
      </w:r>
    </w:p>
    <w:p w14:paraId="2B4CDF94" w14:textId="77777777" w:rsidR="004D4907" w:rsidRPr="00C2330B" w:rsidRDefault="00000000">
      <w:pPr>
        <w:jc w:val="both"/>
        <w:rPr>
          <w:lang w:val="en-GB"/>
        </w:rPr>
      </w:pPr>
      <w:r w:rsidRPr="00C2330B">
        <w:rPr>
          <w:lang w:val="en-GB"/>
        </w:rPr>
        <w:t>This generation is likely to be sceptical of policies that protect headline stability while distributing costs unevenly. A young person may hear that employment is historically strong yet see older siblings struggle to enter secure work. They may hear that the green transition creates growth but also notice higher energy or transport costs. Their economic judgement may therefore be practical and distributional: who pays, who gains, and whether institutions act quickly enough.</w:t>
      </w:r>
    </w:p>
    <w:p w14:paraId="3F29ECEF" w14:textId="77777777" w:rsidR="004D4907" w:rsidRPr="00C2330B" w:rsidRDefault="00000000">
      <w:pPr>
        <w:pStyle w:val="Heading1"/>
        <w:rPr>
          <w:lang w:val="en-GB"/>
        </w:rPr>
      </w:pPr>
      <w:r w:rsidRPr="00C2330B">
        <w:rPr>
          <w:lang w:val="en-GB"/>
        </w:rPr>
        <w:t>A digital and European perspective</w:t>
      </w:r>
    </w:p>
    <w:p w14:paraId="46736132" w14:textId="77777777" w:rsidR="004D4907" w:rsidRPr="00C2330B" w:rsidRDefault="00000000">
      <w:pPr>
        <w:jc w:val="both"/>
        <w:rPr>
          <w:lang w:val="en-GB"/>
        </w:rPr>
      </w:pPr>
      <w:r w:rsidRPr="00C2330B">
        <w:rPr>
          <w:lang w:val="en-GB"/>
        </w:rPr>
        <w:t>Generation Alpha will also encounter economics through platforms, short videos and algorithmic commentary. This can widen access to debate but compress complex choices into slogans. European institutions will need to explain trade-offs plainly, especially where climate investment, industrial policy, defence, taxation and debt compete for limited resources.</w:t>
      </w:r>
    </w:p>
    <w:p w14:paraId="536482DF" w14:textId="77777777" w:rsidR="004D4907" w:rsidRPr="00C2330B" w:rsidRDefault="00000000">
      <w:pPr>
        <w:jc w:val="both"/>
        <w:rPr>
          <w:lang w:val="en-GB"/>
        </w:rPr>
      </w:pPr>
      <w:r w:rsidRPr="00C2330B">
        <w:rPr>
          <w:lang w:val="en-GB"/>
        </w:rPr>
        <w:t>A plausible Gen Alpha position is neither simply pro-market nor anti-market. It is conditional: markets are useful when they create opportunity, and public intervention is justified when it protects long-term resilience and fairness. The central political risk is that slow growth and high entry costs weaken trust before this generation reaches adulthood. The opportunity is to make European macroeconomics visibly connected to affordable living, productive investment and credible climate action.</w:t>
      </w:r>
    </w:p>
    <w:p w14:paraId="51FD7855" w14:textId="77777777" w:rsidR="004D4907" w:rsidRPr="00C2330B" w:rsidRDefault="00000000">
      <w:pPr>
        <w:pStyle w:val="Heading1"/>
        <w:rPr>
          <w:lang w:val="en-GB"/>
        </w:rPr>
      </w:pPr>
      <w:r w:rsidRPr="00C2330B">
        <w:rPr>
          <w:lang w:val="en-GB"/>
        </w:rPr>
        <w:lastRenderedPageBreak/>
        <w:t>References</w:t>
      </w:r>
    </w:p>
    <w:p w14:paraId="03FE2E1F" w14:textId="77777777" w:rsidR="004D4907" w:rsidRPr="00C2330B" w:rsidRDefault="00000000">
      <w:pPr>
        <w:ind w:left="288" w:hanging="288"/>
        <w:rPr>
          <w:lang w:val="en-GB"/>
        </w:rPr>
      </w:pPr>
      <w:r w:rsidRPr="00C2330B">
        <w:rPr>
          <w:lang w:val="en-GB"/>
        </w:rPr>
        <w:t>Eurostat. Euro indicators: unemployment, May 2026, published 2 July 2026.</w:t>
      </w:r>
    </w:p>
    <w:p w14:paraId="493C1B8D" w14:textId="77777777" w:rsidR="004D4907" w:rsidRPr="00C2330B" w:rsidRDefault="00000000">
      <w:pPr>
        <w:ind w:left="288" w:hanging="288"/>
        <w:rPr>
          <w:lang w:val="en-GB"/>
        </w:rPr>
      </w:pPr>
      <w:r w:rsidRPr="00C2330B">
        <w:rPr>
          <w:lang w:val="en-GB"/>
        </w:rPr>
        <w:t>Eurostat. European Statistical Monitor, June 2026.</w:t>
      </w:r>
    </w:p>
    <w:p w14:paraId="21F9C438" w14:textId="77777777" w:rsidR="004D4907" w:rsidRPr="00C2330B" w:rsidRDefault="00000000">
      <w:pPr>
        <w:ind w:left="288" w:hanging="288"/>
        <w:rPr>
          <w:lang w:val="en-GB"/>
        </w:rPr>
      </w:pPr>
      <w:r w:rsidRPr="00C2330B">
        <w:rPr>
          <w:lang w:val="en-GB"/>
        </w:rPr>
        <w:t>European Central Bank. Economic Bulletin, Issue 8/2025.</w:t>
      </w:r>
    </w:p>
    <w:p w14:paraId="05E96393" w14:textId="77777777" w:rsidR="004D4907" w:rsidRPr="00C2330B" w:rsidRDefault="00000000">
      <w:pPr>
        <w:ind w:left="288" w:hanging="288"/>
        <w:rPr>
          <w:lang w:val="en-GB"/>
        </w:rPr>
      </w:pPr>
      <w:r w:rsidRPr="00C2330B">
        <w:rPr>
          <w:lang w:val="en-GB"/>
        </w:rPr>
        <w:t xml:space="preserve">European Commission and Eurostat. </w:t>
      </w:r>
      <w:proofErr w:type="spellStart"/>
      <w:r w:rsidRPr="00C2330B">
        <w:rPr>
          <w:lang w:val="en-GB"/>
        </w:rPr>
        <w:t>Eurostatistics</w:t>
      </w:r>
      <w:proofErr w:type="spellEnd"/>
      <w:r w:rsidRPr="00C2330B">
        <w:rPr>
          <w:lang w:val="en-GB"/>
        </w:rPr>
        <w:t>: data for short-term economic analysis, 2026.</w:t>
      </w:r>
    </w:p>
    <w:p w14:paraId="659DBFF6" w14:textId="77777777" w:rsidR="004D4907" w:rsidRPr="00C2330B" w:rsidRDefault="00000000">
      <w:pPr>
        <w:spacing w:before="200"/>
        <w:rPr>
          <w:lang w:val="en-GB"/>
        </w:rPr>
      </w:pPr>
      <w:r w:rsidRPr="00C2330B">
        <w:rPr>
          <w:i/>
          <w:color w:val="6F6F6F"/>
          <w:sz w:val="17"/>
          <w:lang w:val="en-GB"/>
        </w:rPr>
        <w:t>Approximate main-text length: 346 words (approximately 400 words).</w:t>
      </w:r>
    </w:p>
    <w:sectPr w:rsidR="004D4907" w:rsidRPr="00C2330B"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DFBEE" w14:textId="77777777" w:rsidR="00C367AF" w:rsidRDefault="00C367AF">
      <w:pPr>
        <w:spacing w:after="0" w:line="240" w:lineRule="auto"/>
      </w:pPr>
      <w:r>
        <w:separator/>
      </w:r>
    </w:p>
  </w:endnote>
  <w:endnote w:type="continuationSeparator" w:id="0">
    <w:p w14:paraId="3270F8F2" w14:textId="77777777" w:rsidR="00C367AF" w:rsidRDefault="00C36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EF74" w14:textId="77777777" w:rsidR="004D4907" w:rsidRDefault="00000000">
    <w:pPr>
      <w:pStyle w:val="Footer"/>
      <w:jc w:val="center"/>
    </w:pPr>
    <w:r>
      <w:fldChar w:fldCharType="begin"/>
    </w:r>
    <w:r>
      <w:instrText>PAGE</w:instrText>
    </w:r>
    <w:r w:rsidR="00C2330B">
      <w:fldChar w:fldCharType="separate"/>
    </w:r>
    <w:r w:rsidR="00C233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E8285" w14:textId="77777777" w:rsidR="00C367AF" w:rsidRDefault="00C367AF">
      <w:pPr>
        <w:spacing w:after="0" w:line="240" w:lineRule="auto"/>
      </w:pPr>
      <w:r>
        <w:separator/>
      </w:r>
    </w:p>
  </w:footnote>
  <w:footnote w:type="continuationSeparator" w:id="0">
    <w:p w14:paraId="5A637DD8" w14:textId="77777777" w:rsidR="00C367AF" w:rsidRDefault="00C36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6DD33" w14:textId="77777777" w:rsidR="004D4907" w:rsidRDefault="00000000">
    <w:pPr>
      <w:pStyle w:val="Caption"/>
    </w:pPr>
    <w:r>
      <w:rPr>
        <w:color w:val="525252"/>
        <w:sz w:val="16"/>
      </w:rPr>
      <w:t>ACADEMIC WRITING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016837">
    <w:abstractNumId w:val="8"/>
  </w:num>
  <w:num w:numId="2" w16cid:durableId="1628270708">
    <w:abstractNumId w:val="6"/>
  </w:num>
  <w:num w:numId="3" w16cid:durableId="1954819611">
    <w:abstractNumId w:val="5"/>
  </w:num>
  <w:num w:numId="4" w16cid:durableId="1198663433">
    <w:abstractNumId w:val="4"/>
  </w:num>
  <w:num w:numId="5" w16cid:durableId="2121412539">
    <w:abstractNumId w:val="7"/>
  </w:num>
  <w:num w:numId="6" w16cid:durableId="204559003">
    <w:abstractNumId w:val="3"/>
  </w:num>
  <w:num w:numId="7" w16cid:durableId="139730779">
    <w:abstractNumId w:val="2"/>
  </w:num>
  <w:num w:numId="8" w16cid:durableId="1342003171">
    <w:abstractNumId w:val="1"/>
  </w:num>
  <w:num w:numId="9" w16cid:durableId="42141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907"/>
    <w:rsid w:val="00687DA9"/>
    <w:rsid w:val="00AA1D8D"/>
    <w:rsid w:val="00B47730"/>
    <w:rsid w:val="00C2330B"/>
    <w:rsid w:val="00C367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AC47D"/>
  <w14:defaultImageDpi w14:val="300"/>
  <w15:docId w15:val="{9E47373F-A419-F64A-8D15-010A3DB6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161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26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161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525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Graham charles Newman</cp:lastModifiedBy>
  <cp:revision>2</cp:revision>
  <dcterms:created xsi:type="dcterms:W3CDTF">2013-12-23T23:15:00Z</dcterms:created>
  <dcterms:modified xsi:type="dcterms:W3CDTF">2026-07-13T16:34:00Z</dcterms:modified>
  <cp:category/>
</cp:coreProperties>
</file>