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7480" w14:textId="1983E21B" w:rsidR="00D2465E" w:rsidRPr="00785F39" w:rsidRDefault="00000000">
      <w:pPr>
        <w:pStyle w:val="Title"/>
        <w:spacing w:after="80"/>
        <w:rPr>
          <w:lang w:val="en-GB"/>
        </w:rPr>
      </w:pPr>
      <w:r w:rsidRPr="00785F39">
        <w:rPr>
          <w:lang w:val="en-GB"/>
        </w:rPr>
        <w:t xml:space="preserve">ETFs </w:t>
      </w:r>
      <w:r w:rsidR="00785F39" w:rsidRPr="00785F39">
        <w:rPr>
          <w:lang w:val="en-GB"/>
        </w:rPr>
        <w:t>v</w:t>
      </w:r>
      <w:r w:rsidRPr="00785F39">
        <w:rPr>
          <w:lang w:val="en-GB"/>
        </w:rPr>
        <w:t xml:space="preserve">ersus Gilts in the </w:t>
      </w:r>
      <w:r w:rsidR="00785F39" w:rsidRPr="00785F39">
        <w:rPr>
          <w:lang w:val="en-GB"/>
        </w:rPr>
        <w:t>c</w:t>
      </w:r>
      <w:r w:rsidRPr="00785F39">
        <w:rPr>
          <w:lang w:val="en-GB"/>
        </w:rPr>
        <w:t xml:space="preserve">urrent UK </w:t>
      </w:r>
      <w:r w:rsidR="00785F39" w:rsidRPr="00785F39">
        <w:rPr>
          <w:lang w:val="en-GB"/>
        </w:rPr>
        <w:t>m</w:t>
      </w:r>
      <w:r w:rsidRPr="00785F39">
        <w:rPr>
          <w:lang w:val="en-GB"/>
        </w:rPr>
        <w:t>arket</w:t>
      </w:r>
    </w:p>
    <w:p w14:paraId="611B40F1" w14:textId="77777777" w:rsidR="00D2465E" w:rsidRPr="00785F39" w:rsidRDefault="00000000">
      <w:pPr>
        <w:pStyle w:val="Subtitle"/>
        <w:spacing w:after="280"/>
        <w:rPr>
          <w:lang w:val="en-GB"/>
        </w:rPr>
      </w:pPr>
      <w:r w:rsidRPr="00785F39">
        <w:rPr>
          <w:lang w:val="en-GB"/>
        </w:rPr>
        <w:t>A comparison of investment wrappers, government bonds and economic purpose</w:t>
      </w:r>
    </w:p>
    <w:tbl>
      <w:tblPr>
        <w:tblW w:w="0" w:type="auto"/>
        <w:tblLook w:val="04A0" w:firstRow="1" w:lastRow="0" w:firstColumn="1" w:lastColumn="0" w:noHBand="0" w:noVBand="1"/>
      </w:tblPr>
      <w:tblGrid>
        <w:gridCol w:w="9878"/>
      </w:tblGrid>
      <w:tr w:rsidR="00D2465E" w:rsidRPr="00785F39" w14:paraId="6173581D" w14:textId="77777777">
        <w:tc>
          <w:tcPr>
            <w:tcW w:w="9878" w:type="dxa"/>
            <w:shd w:val="clear" w:color="auto" w:fill="F4F4F4"/>
          </w:tcPr>
          <w:p w14:paraId="6D9753B6" w14:textId="77777777" w:rsidR="00D2465E" w:rsidRPr="00785F39" w:rsidRDefault="00000000">
            <w:pPr>
              <w:rPr>
                <w:lang w:val="en-GB"/>
              </w:rPr>
            </w:pPr>
            <w:r w:rsidRPr="00785F39">
              <w:rPr>
                <w:b/>
                <w:color w:val="161616"/>
                <w:sz w:val="17"/>
                <w:lang w:val="en-GB"/>
              </w:rPr>
              <w:t>POSITIONAL DISCLAIMER</w:t>
            </w:r>
            <w:r w:rsidRPr="00785F39">
              <w:rPr>
                <w:sz w:val="17"/>
                <w:lang w:val="en-GB"/>
              </w:rPr>
              <w:br/>
              <w:t>This is a short academic position paper written for discussion and portfolio purposes. It presents an arguable interpretation rather than professional, legal, economic or investment advice.</w:t>
            </w:r>
          </w:p>
        </w:tc>
      </w:tr>
    </w:tbl>
    <w:p w14:paraId="21083910" w14:textId="77777777" w:rsidR="00D2465E" w:rsidRPr="00785F39" w:rsidRDefault="00D2465E">
      <w:pPr>
        <w:rPr>
          <w:lang w:val="en-GB"/>
        </w:rPr>
      </w:pPr>
    </w:p>
    <w:p w14:paraId="5381DD33" w14:textId="77777777" w:rsidR="00D2465E" w:rsidRPr="00785F39" w:rsidRDefault="00000000">
      <w:pPr>
        <w:pStyle w:val="Heading1"/>
        <w:rPr>
          <w:lang w:val="en-GB"/>
        </w:rPr>
      </w:pPr>
      <w:r w:rsidRPr="00785F39">
        <w:rPr>
          <w:lang w:val="en-GB"/>
        </w:rPr>
        <w:t>Two different questions disguised as one choice</w:t>
      </w:r>
    </w:p>
    <w:p w14:paraId="380FC4D2" w14:textId="77777777" w:rsidR="00D2465E" w:rsidRPr="00785F39" w:rsidRDefault="00000000">
      <w:pPr>
        <w:jc w:val="both"/>
        <w:rPr>
          <w:lang w:val="en-GB"/>
        </w:rPr>
      </w:pPr>
      <w:r w:rsidRPr="00785F39">
        <w:rPr>
          <w:lang w:val="en-GB"/>
        </w:rPr>
        <w:t>Comparing exchange-traded funds with UK gilts can sound like a contest between two investments. In reality, it compares a delivery vehicle with an asset class. An ETF is a fund whose shares trade on an exchange; it may hold equities, corporate bonds, government bonds, commodities or a mixture of assets. A gilt is a debt security issued by the UK government. Some ETFs hold gilts, so the categories can overlap. The useful question is not “Are ETFs better than gilts?” but “What exposure, time horizon and risk does an investor intend to obtain, and is a direct gilt or an ETF the clearer way to obtain it?”</w:t>
      </w:r>
    </w:p>
    <w:p w14:paraId="4FFE7737" w14:textId="77777777" w:rsidR="00D2465E" w:rsidRPr="00785F39" w:rsidRDefault="00000000">
      <w:pPr>
        <w:pStyle w:val="Heading1"/>
        <w:rPr>
          <w:lang w:val="en-GB"/>
        </w:rPr>
      </w:pPr>
      <w:r w:rsidRPr="00785F39">
        <w:rPr>
          <w:lang w:val="en-GB"/>
        </w:rPr>
        <w:t>Why gilts have regained attention</w:t>
      </w:r>
    </w:p>
    <w:p w14:paraId="70306B65" w14:textId="77777777" w:rsidR="00D2465E" w:rsidRPr="00785F39" w:rsidRDefault="00000000">
      <w:pPr>
        <w:jc w:val="both"/>
        <w:rPr>
          <w:lang w:val="en-GB"/>
        </w:rPr>
      </w:pPr>
      <w:r w:rsidRPr="00785F39">
        <w:rPr>
          <w:lang w:val="en-GB"/>
        </w:rPr>
        <w:t>For much of the post-financial-crisis period, very low interest rates made conventional gilts appear unexciting. The environment is now different. The UK Debt Management Office currently reports a market-value-weighted average portfolio yield of about 4.63 per cent for conventional gilts, while the government continues a large issuance programme. Higher yields improve the income available to new buyers, but they also reflect tighter financial conditions, inflation uncertainty and substantial government borrowing needs.</w:t>
      </w:r>
    </w:p>
    <w:p w14:paraId="0C94E98C" w14:textId="77777777" w:rsidR="00D2465E" w:rsidRPr="00785F39" w:rsidRDefault="00000000">
      <w:pPr>
        <w:jc w:val="both"/>
        <w:rPr>
          <w:lang w:val="en-GB"/>
        </w:rPr>
      </w:pPr>
      <w:r w:rsidRPr="00785F39">
        <w:rPr>
          <w:lang w:val="en-GB"/>
        </w:rPr>
        <w:t>A direct conventional gilt provides defined coupon payments and repayment of its nominal value at maturity, assuming the UK government meets its obligations. If held to maturity, the investor can know the contractual cash flows in advance. This makes an individual gilt potentially useful for matching a future sterling liability. However, its market price can fall sharply before maturity when interest rates rise. Selling early removes the certainty associated with holding to redemption.</w:t>
      </w:r>
    </w:p>
    <w:p w14:paraId="47D049E5" w14:textId="77777777" w:rsidR="00D2465E" w:rsidRPr="00785F39" w:rsidRDefault="00000000">
      <w:pPr>
        <w:jc w:val="both"/>
        <w:rPr>
          <w:lang w:val="en-GB"/>
        </w:rPr>
      </w:pPr>
      <w:r w:rsidRPr="00785F39">
        <w:rPr>
          <w:lang w:val="en-GB"/>
        </w:rPr>
        <w:t>Index-linked gilts adjust coupons and principal using the Retail Prices Index. They can provide inflation-linked cash flows, but their pricing is complex and their market values can be highly sensitive to real yields and maturity. “Inflation protection” does not mean that their price cannot fall.</w:t>
      </w:r>
    </w:p>
    <w:p w14:paraId="1CAFAC36" w14:textId="77777777" w:rsidR="00D2465E" w:rsidRPr="00785F39" w:rsidRDefault="00000000">
      <w:pPr>
        <w:pStyle w:val="Heading1"/>
        <w:rPr>
          <w:lang w:val="en-GB"/>
        </w:rPr>
      </w:pPr>
      <w:r w:rsidRPr="00785F39">
        <w:rPr>
          <w:lang w:val="en-GB"/>
        </w:rPr>
        <w:t>What ETFs add</w:t>
      </w:r>
    </w:p>
    <w:p w14:paraId="1A6E5B2D" w14:textId="77777777" w:rsidR="00D2465E" w:rsidRPr="00785F39" w:rsidRDefault="00000000">
      <w:pPr>
        <w:jc w:val="both"/>
        <w:rPr>
          <w:lang w:val="en-GB"/>
        </w:rPr>
      </w:pPr>
      <w:r w:rsidRPr="00785F39">
        <w:rPr>
          <w:lang w:val="en-GB"/>
        </w:rPr>
        <w:t>ETFs make diversification and market access convenient. A single global equity ETF can spread exposure across hundreds or thousands of companies, while a bond ETF can hold a ladder of gilts rather than one maturity. They trade during market hours, publish portfolio information and often have lower charges than traditional active funds. For a small portfolio, this can be operationally simpler than buying and monitoring many individual securities.</w:t>
      </w:r>
    </w:p>
    <w:p w14:paraId="16AC92BC" w14:textId="77777777" w:rsidR="00D2465E" w:rsidRPr="00785F39" w:rsidRDefault="00000000">
      <w:pPr>
        <w:jc w:val="both"/>
        <w:rPr>
          <w:lang w:val="en-GB"/>
        </w:rPr>
      </w:pPr>
      <w:r w:rsidRPr="00785F39">
        <w:rPr>
          <w:lang w:val="en-GB"/>
        </w:rPr>
        <w:t>Yet the ETF label says little about underlying risk. A global equity ETF remains exposed to company profits, valuation changes, currencies and market downturns. A long-duration gilt ETF remains exposed to interest-rate movements. A thematic ETF may be concentrated despite holding many securities. Investors must therefore look beyond the wrapper to the index methodology, holdings, duration, currency treatment, fees, bid-offer spread, replication method and fund size.</w:t>
      </w:r>
    </w:p>
    <w:p w14:paraId="7585F16A" w14:textId="77777777" w:rsidR="00D2465E" w:rsidRPr="00785F39" w:rsidRDefault="00000000">
      <w:pPr>
        <w:jc w:val="both"/>
        <w:rPr>
          <w:lang w:val="en-GB"/>
        </w:rPr>
      </w:pPr>
      <w:r w:rsidRPr="00785F39">
        <w:rPr>
          <w:lang w:val="en-GB"/>
        </w:rPr>
        <w:lastRenderedPageBreak/>
        <w:t>Bond ETFs also differ from individual gilts because most do not mature as a whole. The fund continually replaces bonds as they age or leave its index. This maintains a target exposure but means there is usually no single date on which the investor receives a predetermined principal payment. A gilt ETF can distribute income and diversify issuer maturities, but it does not reproduce the liability-matching certainty of holding a chosen gilt to redemption.</w:t>
      </w:r>
    </w:p>
    <w:p w14:paraId="2E8B5569" w14:textId="77777777" w:rsidR="00D2465E" w:rsidRPr="00785F39" w:rsidRDefault="00000000">
      <w:pPr>
        <w:pStyle w:val="Heading1"/>
        <w:rPr>
          <w:lang w:val="en-GB"/>
        </w:rPr>
      </w:pPr>
      <w:r w:rsidRPr="00785F39">
        <w:rPr>
          <w:lang w:val="en-GB"/>
        </w:rPr>
        <w:t>The current UK trade-off</w:t>
      </w:r>
    </w:p>
    <w:p w14:paraId="3258782F" w14:textId="77777777" w:rsidR="00D2465E" w:rsidRPr="00785F39" w:rsidRDefault="00000000">
      <w:pPr>
        <w:jc w:val="both"/>
        <w:rPr>
          <w:lang w:val="en-GB"/>
        </w:rPr>
      </w:pPr>
      <w:r w:rsidRPr="00785F39">
        <w:rPr>
          <w:lang w:val="en-GB"/>
        </w:rPr>
        <w:t>The present market makes gilts more competitive with risk assets than they were when yields were close to historic lows. A known sterling cash flow can be attractive when government bond yields are above recent-decade norms. At the same time, higher yields do not eliminate duration risk, and heavy gilt issuance may keep the market sensitive to fiscal news, inflation expectations and demand from pension funds and overseas investors.</w:t>
      </w:r>
    </w:p>
    <w:p w14:paraId="07077127" w14:textId="77777777" w:rsidR="00D2465E" w:rsidRPr="00785F39" w:rsidRDefault="00000000">
      <w:pPr>
        <w:jc w:val="both"/>
        <w:rPr>
          <w:lang w:val="en-GB"/>
        </w:rPr>
      </w:pPr>
      <w:r w:rsidRPr="00785F39">
        <w:rPr>
          <w:lang w:val="en-GB"/>
        </w:rPr>
        <w:t>Equity ETFs offer a different proposition: participation in long-term corporate growth and broader geographical diversification, but without contractual repayment. Their expected return may be higher over long periods, yet the route is uncertain and losses can occur precisely when money is needed. Shorter horizons generally make this volatility more consequential.</w:t>
      </w:r>
    </w:p>
    <w:p w14:paraId="438CA2FC" w14:textId="77777777" w:rsidR="00D2465E" w:rsidRPr="00785F39" w:rsidRDefault="00000000">
      <w:pPr>
        <w:jc w:val="both"/>
        <w:rPr>
          <w:lang w:val="en-GB"/>
        </w:rPr>
      </w:pPr>
      <w:r w:rsidRPr="00785F39">
        <w:rPr>
          <w:lang w:val="en-GB"/>
        </w:rPr>
        <w:t>Tax wrappers and dealing arrangements also matter. In the UK, both eligible ETFs and gilts can be held in an ISA or pension, subject to provider rules. Outside wrappers, tax treatment can differ by instrument and circumstance; this is an area where current HMRC guidance or professional advice is more reliable than general rules of thumb.</w:t>
      </w:r>
    </w:p>
    <w:p w14:paraId="055571C5" w14:textId="77777777" w:rsidR="00D2465E" w:rsidRPr="00785F39" w:rsidRDefault="00000000">
      <w:pPr>
        <w:pStyle w:val="Heading1"/>
        <w:rPr>
          <w:lang w:val="en-GB"/>
        </w:rPr>
      </w:pPr>
      <w:r w:rsidRPr="00785F39">
        <w:rPr>
          <w:lang w:val="en-GB"/>
        </w:rPr>
        <w:t>A positional conclusion</w:t>
      </w:r>
    </w:p>
    <w:p w14:paraId="39FA4C56" w14:textId="77777777" w:rsidR="00D2465E" w:rsidRPr="00785F39" w:rsidRDefault="00000000">
      <w:pPr>
        <w:jc w:val="both"/>
        <w:rPr>
          <w:lang w:val="en-GB"/>
        </w:rPr>
      </w:pPr>
      <w:r w:rsidRPr="00785F39">
        <w:rPr>
          <w:lang w:val="en-GB"/>
        </w:rPr>
        <w:t>The strongest conclusion is that ETFs and gilts solve different problems. Direct gilts are clearest when a saver wants defined sterling cash flows at known dates and can tolerate interim price movement. Broad ETFs are clearest when the objective is diversified exposure to a market and the investor accepts that returns are uncertain. Gilt ETFs sit between the two: they offer diversified bond exposure and convenience but not a single maturity value.</w:t>
      </w:r>
    </w:p>
    <w:p w14:paraId="524F5ACE" w14:textId="77777777" w:rsidR="00D2465E" w:rsidRPr="00785F39" w:rsidRDefault="00000000">
      <w:pPr>
        <w:jc w:val="both"/>
        <w:rPr>
          <w:lang w:val="en-GB"/>
        </w:rPr>
      </w:pPr>
      <w:r w:rsidRPr="00785F39">
        <w:rPr>
          <w:lang w:val="en-GB"/>
        </w:rPr>
        <w:t>Therefore the current rise in gilt yields does not make ETFs obsolete, just as the diversification of ETFs does not make direct gilts redundant. A careful comparison begins with purpose, then examines the underlying assets, duration, costs, liquidity and time horizon. The mistake is to compare labels rather than economic functions.</w:t>
      </w:r>
    </w:p>
    <w:p w14:paraId="495B6953" w14:textId="77777777" w:rsidR="00D2465E" w:rsidRPr="00785F39" w:rsidRDefault="00000000">
      <w:pPr>
        <w:pStyle w:val="Heading1"/>
        <w:rPr>
          <w:lang w:val="en-GB"/>
        </w:rPr>
      </w:pPr>
      <w:r w:rsidRPr="00785F39">
        <w:rPr>
          <w:lang w:val="en-GB"/>
        </w:rPr>
        <w:t>References</w:t>
      </w:r>
    </w:p>
    <w:p w14:paraId="52E482D9" w14:textId="77777777" w:rsidR="00D2465E" w:rsidRPr="00785F39" w:rsidRDefault="00000000">
      <w:pPr>
        <w:ind w:left="288" w:hanging="288"/>
        <w:rPr>
          <w:lang w:val="en-GB"/>
        </w:rPr>
      </w:pPr>
      <w:r w:rsidRPr="00785F39">
        <w:rPr>
          <w:lang w:val="en-GB"/>
        </w:rPr>
        <w:t>UK Debt Management Office. Institutional Investors: gilt portfolio statistics, accessed July 2026.</w:t>
      </w:r>
    </w:p>
    <w:p w14:paraId="237C95AD" w14:textId="77777777" w:rsidR="00D2465E" w:rsidRPr="00785F39" w:rsidRDefault="00000000">
      <w:pPr>
        <w:ind w:left="288" w:hanging="288"/>
        <w:rPr>
          <w:lang w:val="en-GB"/>
        </w:rPr>
      </w:pPr>
      <w:r w:rsidRPr="00785F39">
        <w:rPr>
          <w:lang w:val="en-GB"/>
        </w:rPr>
        <w:t>UK Debt Management Office. Debt Management Report 2026-27.</w:t>
      </w:r>
    </w:p>
    <w:p w14:paraId="7D86D553" w14:textId="77777777" w:rsidR="00D2465E" w:rsidRPr="00785F39" w:rsidRDefault="00000000">
      <w:pPr>
        <w:ind w:left="288" w:hanging="288"/>
        <w:rPr>
          <w:lang w:val="en-GB"/>
        </w:rPr>
      </w:pPr>
      <w:r w:rsidRPr="00785F39">
        <w:rPr>
          <w:lang w:val="en-GB"/>
        </w:rPr>
        <w:t>UK Debt Management Office. Gilts in Issue and Index-linked Gilts guidance.</w:t>
      </w:r>
    </w:p>
    <w:p w14:paraId="38B2DC4C" w14:textId="77777777" w:rsidR="00D2465E" w:rsidRPr="00785F39" w:rsidRDefault="00000000">
      <w:pPr>
        <w:ind w:left="288" w:hanging="288"/>
        <w:rPr>
          <w:lang w:val="en-GB"/>
        </w:rPr>
      </w:pPr>
      <w:r w:rsidRPr="00785F39">
        <w:rPr>
          <w:lang w:val="en-GB"/>
        </w:rPr>
        <w:t>Bank of England. Financial Stability Report, July 2026.</w:t>
      </w:r>
    </w:p>
    <w:p w14:paraId="40BA0EED" w14:textId="77777777" w:rsidR="00D2465E" w:rsidRPr="00785F39" w:rsidRDefault="00000000">
      <w:pPr>
        <w:ind w:left="288" w:hanging="288"/>
        <w:rPr>
          <w:lang w:val="en-GB"/>
        </w:rPr>
      </w:pPr>
      <w:r w:rsidRPr="00785F39">
        <w:rPr>
          <w:lang w:val="en-GB"/>
        </w:rPr>
        <w:t>Financial Conduct Authority. General guidance on investment funds, exchange-traded products and investment risk.</w:t>
      </w:r>
    </w:p>
    <w:p w14:paraId="3CDB603B" w14:textId="77777777" w:rsidR="00D2465E" w:rsidRPr="00785F39" w:rsidRDefault="00000000">
      <w:pPr>
        <w:ind w:left="288" w:hanging="288"/>
        <w:rPr>
          <w:lang w:val="en-GB"/>
        </w:rPr>
      </w:pPr>
      <w:r w:rsidRPr="00785F39">
        <w:rPr>
          <w:lang w:val="en-GB"/>
        </w:rPr>
        <w:t>HM Revenue &amp; Customs. Current guidance on Individual Savings Accounts and taxation of investments.</w:t>
      </w:r>
    </w:p>
    <w:p w14:paraId="470791DF" w14:textId="77777777" w:rsidR="00D2465E" w:rsidRPr="00785F39" w:rsidRDefault="00000000">
      <w:pPr>
        <w:spacing w:before="200"/>
        <w:rPr>
          <w:lang w:val="en-GB"/>
        </w:rPr>
      </w:pPr>
      <w:r w:rsidRPr="00785F39">
        <w:rPr>
          <w:i/>
          <w:color w:val="6F6F6F"/>
          <w:sz w:val="17"/>
          <w:lang w:val="en-GB"/>
        </w:rPr>
        <w:t>Approximate main-text length: 803 words (approximately 800 words).</w:t>
      </w:r>
    </w:p>
    <w:sectPr w:rsidR="00D2465E" w:rsidRPr="00785F39"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144B1" w14:textId="77777777" w:rsidR="00B71563" w:rsidRDefault="00B71563">
      <w:pPr>
        <w:spacing w:after="0" w:line="240" w:lineRule="auto"/>
      </w:pPr>
      <w:r>
        <w:separator/>
      </w:r>
    </w:p>
  </w:endnote>
  <w:endnote w:type="continuationSeparator" w:id="0">
    <w:p w14:paraId="1DCE364C" w14:textId="77777777" w:rsidR="00B71563" w:rsidRDefault="00B71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6ACB" w14:textId="77777777" w:rsidR="00D2465E" w:rsidRDefault="00000000">
    <w:pPr>
      <w:pStyle w:val="Footer"/>
      <w:jc w:val="center"/>
    </w:pPr>
    <w:r>
      <w:fldChar w:fldCharType="begin"/>
    </w:r>
    <w:r>
      <w:instrText>PAGE</w:instrText>
    </w:r>
    <w:r w:rsidR="00785F39">
      <w:fldChar w:fldCharType="separate"/>
    </w:r>
    <w:r w:rsidR="00785F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AD5AC" w14:textId="77777777" w:rsidR="00B71563" w:rsidRDefault="00B71563">
      <w:pPr>
        <w:spacing w:after="0" w:line="240" w:lineRule="auto"/>
      </w:pPr>
      <w:r>
        <w:separator/>
      </w:r>
    </w:p>
  </w:footnote>
  <w:footnote w:type="continuationSeparator" w:id="0">
    <w:p w14:paraId="3E579269" w14:textId="77777777" w:rsidR="00B71563" w:rsidRDefault="00B71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6ACD" w14:textId="77777777" w:rsidR="00D2465E" w:rsidRDefault="00000000">
    <w:pPr>
      <w:pStyle w:val="Caption"/>
    </w:pPr>
    <w:r>
      <w:rPr>
        <w:color w:val="525252"/>
        <w:sz w:val="16"/>
      </w:rPr>
      <w:t>ACADEMIC WRITING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152421">
    <w:abstractNumId w:val="8"/>
  </w:num>
  <w:num w:numId="2" w16cid:durableId="941644816">
    <w:abstractNumId w:val="6"/>
  </w:num>
  <w:num w:numId="3" w16cid:durableId="1231232785">
    <w:abstractNumId w:val="5"/>
  </w:num>
  <w:num w:numId="4" w16cid:durableId="1816608425">
    <w:abstractNumId w:val="4"/>
  </w:num>
  <w:num w:numId="5" w16cid:durableId="361171274">
    <w:abstractNumId w:val="7"/>
  </w:num>
  <w:num w:numId="6" w16cid:durableId="379401457">
    <w:abstractNumId w:val="3"/>
  </w:num>
  <w:num w:numId="7" w16cid:durableId="1969889884">
    <w:abstractNumId w:val="2"/>
  </w:num>
  <w:num w:numId="8" w16cid:durableId="74400443">
    <w:abstractNumId w:val="1"/>
  </w:num>
  <w:num w:numId="9" w16cid:durableId="212457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DA9"/>
    <w:rsid w:val="00785F39"/>
    <w:rsid w:val="00AA1D8D"/>
    <w:rsid w:val="00B47730"/>
    <w:rsid w:val="00B71563"/>
    <w:rsid w:val="00CB0664"/>
    <w:rsid w:val="00D246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7928D"/>
  <w14:defaultImageDpi w14:val="300"/>
  <w15:docId w15:val="{9E47373F-A419-F64A-8D15-010A3DB6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161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2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161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525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Graham charles Newman</cp:lastModifiedBy>
  <cp:revision>2</cp:revision>
  <dcterms:created xsi:type="dcterms:W3CDTF">2013-12-23T23:15:00Z</dcterms:created>
  <dcterms:modified xsi:type="dcterms:W3CDTF">2026-07-13T16:35:00Z</dcterms:modified>
  <cp:category/>
</cp:coreProperties>
</file>