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bidi w:val="0"/>
        <w:rPr>
          <w:rFonts w:hint="eastAsia"/>
          <w:lang w:val="en-US" w:eastAsia="zh-CN"/>
        </w:rPr>
      </w:pPr>
      <w:r>
        <w:rPr>
          <w:rFonts w:hint="eastAsia"/>
          <w:lang w:val="en-US" w:eastAsia="zh-CN"/>
        </w:rPr>
        <w:t>二、案件影响</w:t>
      </w:r>
    </w:p>
    <w:p>
      <w:pPr>
        <w:pStyle w:val="3"/>
        <w:bidi w:val="0"/>
        <w:rPr>
          <w:rFonts w:hint="eastAsia"/>
          <w:b w:val="0"/>
          <w:bCs/>
          <w:sz w:val="21"/>
          <w:szCs w:val="21"/>
          <w:lang w:val="en-US" w:eastAsia="zh-CN"/>
        </w:rPr>
      </w:pPr>
      <w:r>
        <w:rPr>
          <w:rFonts w:hint="eastAsia"/>
          <w:lang w:val="en-US" w:eastAsia="zh-CN"/>
        </w:rPr>
        <w:t>1.股价分析</w:t>
      </w:r>
    </w:p>
    <w:p>
      <w:pPr>
        <w:ind w:firstLine="420" w:firstLineChars="0"/>
        <w:rPr>
          <w:rFonts w:hint="default" w:ascii="Arial" w:hAnsi="Arial" w:eastAsia="宋体" w:cs="Arial"/>
          <w:i w:val="0"/>
          <w:iCs w:val="0"/>
          <w:caps w:val="0"/>
          <w:color w:val="222222"/>
          <w:spacing w:val="0"/>
          <w:sz w:val="21"/>
          <w:szCs w:val="21"/>
          <w:shd w:val="clear" w:fill="FFFFFF"/>
          <w:lang w:val="en-US" w:eastAsia="zh-CN"/>
        </w:rPr>
      </w:pPr>
      <w:r>
        <w:rPr>
          <w:rFonts w:ascii="Arial" w:hAnsi="Arial" w:eastAsia="宋体" w:cs="Arial"/>
          <w:i w:val="0"/>
          <w:iCs w:val="0"/>
          <w:caps w:val="0"/>
          <w:color w:val="222222"/>
          <w:spacing w:val="0"/>
          <w:sz w:val="21"/>
          <w:szCs w:val="21"/>
          <w:shd w:val="clear" w:fill="FFFFFF"/>
        </w:rPr>
        <w:t>本次交易经收益法评估，博浩达资产增值率高达524.09%。由于涉及溢价收购关联方资产，此次交易似乎并未被市场所看好。公告发布第二天，华神科技股价低开低走，当日下跌8.42%，报收5元/股</w:t>
      </w:r>
      <w:r>
        <w:rPr>
          <w:rFonts w:hint="eastAsia" w:ascii="Arial" w:hAnsi="Arial" w:eastAsia="宋体" w:cs="Arial"/>
          <w:i w:val="0"/>
          <w:iCs w:val="0"/>
          <w:caps w:val="0"/>
          <w:color w:val="222222"/>
          <w:spacing w:val="0"/>
          <w:sz w:val="21"/>
          <w:szCs w:val="21"/>
          <w:shd w:val="clear" w:fill="FFFFFF"/>
          <w:lang w:eastAsia="zh-CN"/>
        </w:rPr>
        <w:t>，</w:t>
      </w:r>
      <w:r>
        <w:rPr>
          <w:rFonts w:hint="eastAsia" w:ascii="Arial" w:hAnsi="Arial" w:eastAsia="宋体" w:cs="Arial"/>
          <w:i w:val="0"/>
          <w:iCs w:val="0"/>
          <w:caps w:val="0"/>
          <w:color w:val="222222"/>
          <w:spacing w:val="0"/>
          <w:sz w:val="21"/>
          <w:szCs w:val="21"/>
          <w:shd w:val="clear" w:fill="FFFFFF"/>
          <w:lang w:val="en-US" w:eastAsia="zh-CN"/>
        </w:rPr>
        <w:t>如图4所示。</w:t>
      </w:r>
    </w:p>
    <w:p>
      <w:pPr>
        <w:ind w:firstLine="420" w:firstLineChars="0"/>
        <w:jc w:val="center"/>
        <w:rPr>
          <w:rFonts w:hint="eastAsia" w:ascii="Arial" w:hAnsi="Arial" w:eastAsia="宋体" w:cs="Arial"/>
          <w:i w:val="0"/>
          <w:iCs w:val="0"/>
          <w:caps w:val="0"/>
          <w:color w:val="222222"/>
          <w:spacing w:val="0"/>
          <w:sz w:val="21"/>
          <w:szCs w:val="21"/>
          <w:shd w:val="clear" w:fill="FFFFFF"/>
          <w:lang w:eastAsia="zh-CN"/>
        </w:rPr>
      </w:pPr>
      <w:r>
        <w:rPr>
          <w:rFonts w:hint="eastAsia" w:ascii="Arial" w:hAnsi="Arial" w:eastAsia="宋体" w:cs="Arial"/>
          <w:i w:val="0"/>
          <w:iCs w:val="0"/>
          <w:caps w:val="0"/>
          <w:color w:val="222222"/>
          <w:spacing w:val="0"/>
          <w:sz w:val="21"/>
          <w:szCs w:val="21"/>
          <w:shd w:val="clear" w:fill="FFFFFF"/>
          <w:lang w:eastAsia="zh-CN"/>
        </w:rPr>
        <w:drawing>
          <wp:inline distT="0" distB="0" distL="114300" distR="114300">
            <wp:extent cx="1645920" cy="2148840"/>
            <wp:effectExtent l="0" t="0" r="0" b="0"/>
            <wp:docPr id="1" name="图片 1" descr="屏幕截图 2024-01-14 15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01-14 154205"/>
                    <pic:cNvPicPr>
                      <a:picLocks noChangeAspect="1"/>
                    </pic:cNvPicPr>
                  </pic:nvPicPr>
                  <pic:blipFill>
                    <a:blip r:embed="rId4"/>
                    <a:stretch>
                      <a:fillRect/>
                    </a:stretch>
                  </pic:blipFill>
                  <pic:spPr>
                    <a:xfrm>
                      <a:off x="0" y="0"/>
                      <a:ext cx="1645920" cy="2148840"/>
                    </a:xfrm>
                    <a:prstGeom prst="rect">
                      <a:avLst/>
                    </a:prstGeom>
                  </pic:spPr>
                </pic:pic>
              </a:graphicData>
            </a:graphic>
          </wp:inline>
        </w:drawing>
      </w:r>
    </w:p>
    <w:p>
      <w:pPr>
        <w:ind w:firstLine="420" w:firstLineChars="0"/>
        <w:jc w:val="center"/>
        <w:rPr>
          <w:rFonts w:hint="eastAsia" w:ascii="Arial" w:hAnsi="Arial" w:eastAsia="宋体" w:cs="Arial"/>
          <w:i w:val="0"/>
          <w:iCs w:val="0"/>
          <w:caps w:val="0"/>
          <w:color w:val="222222"/>
          <w:spacing w:val="0"/>
          <w:sz w:val="21"/>
          <w:szCs w:val="21"/>
          <w:shd w:val="clear" w:fill="FFFFFF"/>
          <w:lang w:val="en-US" w:eastAsia="zh-CN"/>
        </w:rPr>
      </w:pPr>
      <w:r>
        <w:rPr>
          <w:rFonts w:hint="eastAsia" w:ascii="Arial" w:hAnsi="Arial" w:eastAsia="宋体" w:cs="Arial"/>
          <w:i w:val="0"/>
          <w:iCs w:val="0"/>
          <w:caps w:val="0"/>
          <w:color w:val="222222"/>
          <w:spacing w:val="0"/>
          <w:sz w:val="21"/>
          <w:szCs w:val="21"/>
          <w:shd w:val="clear" w:fill="FFFFFF"/>
          <w:lang w:val="en-US" w:eastAsia="zh-CN"/>
        </w:rPr>
        <w:t>图4：发布公告第二天华神科技的股票变动情况</w:t>
      </w:r>
    </w:p>
    <w:p>
      <w:pPr>
        <w:ind w:firstLine="420" w:firstLineChars="0"/>
        <w:jc w:val="center"/>
        <w:rPr>
          <w:rFonts w:hint="eastAsia" w:ascii="Arial" w:hAnsi="Arial" w:eastAsia="宋体" w:cs="Arial"/>
          <w:i w:val="0"/>
          <w:iCs w:val="0"/>
          <w:caps w:val="0"/>
          <w:color w:val="222222"/>
          <w:spacing w:val="0"/>
          <w:sz w:val="21"/>
          <w:szCs w:val="21"/>
          <w:shd w:val="clear" w:fill="FFFFFF"/>
          <w:lang w:val="en-US" w:eastAsia="zh-CN"/>
        </w:rPr>
      </w:pPr>
    </w:p>
    <w:p>
      <w:pPr>
        <w:ind w:firstLine="420" w:firstLineChars="0"/>
        <w:jc w:val="center"/>
        <w:rPr>
          <w:rFonts w:hint="default" w:ascii="Arial" w:hAnsi="Arial" w:eastAsia="宋体" w:cs="Arial"/>
          <w:i w:val="0"/>
          <w:iCs w:val="0"/>
          <w:caps w:val="0"/>
          <w:color w:val="222222"/>
          <w:spacing w:val="0"/>
          <w:sz w:val="21"/>
          <w:szCs w:val="21"/>
          <w:shd w:val="clear" w:fill="FFFFFF"/>
          <w:lang w:val="en-US" w:eastAsia="zh-CN"/>
        </w:rPr>
      </w:pPr>
      <w:r>
        <w:rPr>
          <w:rFonts w:hint="default" w:ascii="Arial" w:hAnsi="Arial" w:eastAsia="宋体" w:cs="Arial"/>
          <w:i w:val="0"/>
          <w:iCs w:val="0"/>
          <w:caps w:val="0"/>
          <w:color w:val="222222"/>
          <w:spacing w:val="0"/>
          <w:sz w:val="21"/>
          <w:szCs w:val="21"/>
          <w:shd w:val="clear" w:fill="FFFFFF"/>
          <w:lang w:val="en-US" w:eastAsia="zh-CN"/>
        </w:rPr>
        <w:drawing>
          <wp:inline distT="0" distB="0" distL="114300" distR="114300">
            <wp:extent cx="5267960" cy="2647315"/>
            <wp:effectExtent l="0" t="0" r="5080" b="4445"/>
            <wp:docPr id="2" name="图片 2" descr="屏幕截图 2024-01-14 15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01-14 154100"/>
                    <pic:cNvPicPr>
                      <a:picLocks noChangeAspect="1"/>
                    </pic:cNvPicPr>
                  </pic:nvPicPr>
                  <pic:blipFill>
                    <a:blip r:embed="rId5"/>
                    <a:stretch>
                      <a:fillRect/>
                    </a:stretch>
                  </pic:blipFill>
                  <pic:spPr>
                    <a:xfrm>
                      <a:off x="0" y="0"/>
                      <a:ext cx="5267960" cy="2647315"/>
                    </a:xfrm>
                    <a:prstGeom prst="rect">
                      <a:avLst/>
                    </a:prstGeom>
                  </pic:spPr>
                </pic:pic>
              </a:graphicData>
            </a:graphic>
          </wp:inline>
        </w:drawing>
      </w:r>
    </w:p>
    <w:p>
      <w:pPr>
        <w:ind w:firstLine="420" w:firstLineChars="0"/>
        <w:jc w:val="center"/>
        <w:rPr>
          <w:rFonts w:hint="eastAsia" w:ascii="Arial" w:hAnsi="Arial" w:eastAsia="宋体" w:cs="Arial"/>
          <w:i w:val="0"/>
          <w:iCs w:val="0"/>
          <w:caps w:val="0"/>
          <w:color w:val="222222"/>
          <w:spacing w:val="0"/>
          <w:sz w:val="21"/>
          <w:szCs w:val="21"/>
          <w:shd w:val="clear" w:fill="FFFFFF"/>
          <w:lang w:val="en-US" w:eastAsia="zh-CN"/>
        </w:rPr>
      </w:pPr>
      <w:r>
        <w:rPr>
          <w:rFonts w:hint="eastAsia" w:ascii="Arial" w:hAnsi="Arial" w:eastAsia="宋体" w:cs="Arial"/>
          <w:i w:val="0"/>
          <w:iCs w:val="0"/>
          <w:caps w:val="0"/>
          <w:color w:val="222222"/>
          <w:spacing w:val="0"/>
          <w:sz w:val="21"/>
          <w:szCs w:val="21"/>
          <w:shd w:val="clear" w:fill="FFFFFF"/>
          <w:lang w:val="en-US" w:eastAsia="zh-CN"/>
        </w:rPr>
        <w:t>图5：从发布公告起至目前（2024-01-12）为止华神科技股票变动情况</w:t>
      </w:r>
    </w:p>
    <w:p>
      <w:pPr>
        <w:ind w:firstLine="420" w:firstLineChars="0"/>
        <w:jc w:val="center"/>
        <w:rPr>
          <w:rFonts w:hint="eastAsia" w:ascii="Arial" w:hAnsi="Arial" w:eastAsia="宋体" w:cs="Arial"/>
          <w:i w:val="0"/>
          <w:iCs w:val="0"/>
          <w:caps w:val="0"/>
          <w:color w:val="222222"/>
          <w:spacing w:val="0"/>
          <w:sz w:val="21"/>
          <w:szCs w:val="21"/>
          <w:shd w:val="clear" w:fill="FFFFFF"/>
          <w:lang w:val="en-US" w:eastAsia="zh-CN"/>
        </w:rPr>
      </w:pPr>
    </w:p>
    <w:p>
      <w:pPr>
        <w:ind w:firstLine="420" w:firstLineChars="0"/>
        <w:jc w:val="both"/>
        <w:rPr>
          <w:rFonts w:hint="eastAsia" w:ascii="Arial" w:hAnsi="Arial" w:eastAsia="宋体" w:cs="Arial"/>
          <w:i w:val="0"/>
          <w:iCs w:val="0"/>
          <w:caps w:val="0"/>
          <w:color w:val="222222"/>
          <w:spacing w:val="0"/>
          <w:sz w:val="21"/>
          <w:szCs w:val="21"/>
          <w:shd w:val="clear" w:fill="FFFFFF"/>
          <w:lang w:val="en-US" w:eastAsia="zh-CN"/>
        </w:rPr>
      </w:pPr>
      <w:r>
        <w:rPr>
          <w:rFonts w:hint="eastAsia" w:ascii="Arial" w:hAnsi="Arial" w:eastAsia="宋体" w:cs="Arial"/>
          <w:i w:val="0"/>
          <w:iCs w:val="0"/>
          <w:caps w:val="0"/>
          <w:color w:val="222222"/>
          <w:spacing w:val="0"/>
          <w:sz w:val="21"/>
          <w:szCs w:val="21"/>
          <w:shd w:val="clear" w:fill="FFFFFF"/>
          <w:lang w:val="en-US" w:eastAsia="zh-CN"/>
        </w:rPr>
        <w:t>从图5可知，根据2023年11月19日的公告后，华神科技股票价格经历了暴跌。随后，在持续了25天的相对稳定期后，从11月27日开始，华神科技股票进入了一段持续下降趋势，直至2024年1月10日触及该时间内的最低价，每股报价4.88元。</w:t>
      </w:r>
    </w:p>
    <w:p>
      <w:pPr>
        <w:ind w:firstLine="420" w:firstLineChars="0"/>
        <w:jc w:val="both"/>
        <w:rPr>
          <w:rFonts w:hint="eastAsia" w:ascii="Arial" w:hAnsi="Arial" w:eastAsia="宋体" w:cs="Arial"/>
          <w:i w:val="0"/>
          <w:iCs w:val="0"/>
          <w:caps w:val="0"/>
          <w:color w:val="222222"/>
          <w:spacing w:val="0"/>
          <w:sz w:val="21"/>
          <w:szCs w:val="21"/>
          <w:shd w:val="clear" w:fill="FFFFFF"/>
          <w:lang w:val="en-US" w:eastAsia="zh-CN"/>
        </w:rPr>
      </w:pPr>
      <w:r>
        <w:rPr>
          <w:rFonts w:hint="eastAsia" w:ascii="Arial" w:hAnsi="Arial" w:eastAsia="宋体" w:cs="Arial"/>
          <w:i w:val="0"/>
          <w:iCs w:val="0"/>
          <w:caps w:val="0"/>
          <w:color w:val="222222"/>
          <w:spacing w:val="0"/>
          <w:sz w:val="21"/>
          <w:szCs w:val="21"/>
          <w:shd w:val="clear" w:fill="FFFFFF"/>
          <w:lang w:val="en-US" w:eastAsia="zh-CN"/>
        </w:rPr>
        <w:t>从发布公告以来，华神科技的股票价格在经历了短暂的质疑后，确实经历了长达一个多月的股票升值，收购标的公司的公告带来了一段时间的正向收益。然而，随着时间的推移，股票价格出现了回落，并低于发布公告前的水平。</w:t>
      </w:r>
    </w:p>
    <w:p>
      <w:pPr>
        <w:ind w:firstLine="420" w:firstLineChars="0"/>
        <w:jc w:val="both"/>
        <w:rPr>
          <w:rFonts w:hint="eastAsia" w:ascii="Arial" w:hAnsi="Arial" w:eastAsia="宋体" w:cs="Arial"/>
          <w:i w:val="0"/>
          <w:iCs w:val="0"/>
          <w:caps w:val="0"/>
          <w:color w:val="222222"/>
          <w:spacing w:val="0"/>
          <w:sz w:val="21"/>
          <w:szCs w:val="21"/>
          <w:shd w:val="clear" w:fill="FFFFFF"/>
          <w:lang w:val="en-US" w:eastAsia="zh-CN"/>
        </w:rPr>
      </w:pPr>
    </w:p>
    <w:p>
      <w:pPr>
        <w:ind w:firstLine="420" w:firstLineChars="0"/>
        <w:rPr>
          <w:rFonts w:ascii="Arial" w:hAnsi="Arial" w:cs="Arial"/>
          <w:i w:val="0"/>
          <w:iCs w:val="0"/>
          <w:caps w:val="0"/>
          <w:color w:val="222222"/>
          <w:spacing w:val="0"/>
          <w:sz w:val="21"/>
          <w:szCs w:val="21"/>
          <w:shd w:val="clear" w:fill="FFFFFF"/>
        </w:rPr>
      </w:pPr>
      <w:r>
        <w:rPr>
          <w:rFonts w:ascii="Arial" w:hAnsi="Arial" w:cs="Arial"/>
          <w:i w:val="0"/>
          <w:iCs w:val="0"/>
          <w:caps w:val="0"/>
          <w:color w:val="222222"/>
          <w:spacing w:val="0"/>
          <w:sz w:val="21"/>
          <w:szCs w:val="21"/>
          <w:shd w:val="clear" w:fill="FFFFFF"/>
        </w:rPr>
        <w:t>据华神科技披露的备考数据，以2022年度为例，按照备考口径，本次交易完成后，华神科技营业利润将提升119.96%，归属于母公司股东的净利润将提升84.11%，基本每股收益将提升38.77%</w:t>
      </w:r>
    </w:p>
    <w:p>
      <w:pPr>
        <w:ind w:firstLine="420" w:firstLineChars="0"/>
        <w:rPr>
          <w:rFonts w:hint="default" w:ascii="Arial" w:hAnsi="Arial" w:cs="Arial"/>
          <w:i w:val="0"/>
          <w:iCs w:val="0"/>
          <w:caps w:val="0"/>
          <w:color w:val="222222"/>
          <w:spacing w:val="0"/>
          <w:sz w:val="21"/>
          <w:szCs w:val="21"/>
          <w:shd w:val="clear" w:fill="FFFFFF"/>
        </w:rPr>
      </w:pPr>
      <w:r>
        <w:rPr>
          <w:rFonts w:hint="default" w:ascii="Arial" w:hAnsi="Arial" w:cs="Arial"/>
          <w:i w:val="0"/>
          <w:iCs w:val="0"/>
          <w:caps w:val="0"/>
          <w:color w:val="222222"/>
          <w:spacing w:val="0"/>
          <w:sz w:val="21"/>
          <w:szCs w:val="21"/>
          <w:shd w:val="clear" w:fill="FFFFFF"/>
        </w:rPr>
        <w:t>以2023年度为例，若华神科技2023年度净利润与上年度保持不变的情况下，考虑交易对方须完成博浩达2023年度净利润业绩承诺（即8502.99万元）因素，则本次交易完成后（以博浩达2023年末前顺利完成并表进入华神科技为前提），华神科技2023年度净利润预计将实现251.04%的增长。</w:t>
      </w:r>
    </w:p>
    <w:p>
      <w:pPr>
        <w:ind w:firstLine="420" w:firstLineChars="0"/>
        <w:rPr>
          <w:rFonts w:hint="eastAsia" w:ascii="Arial" w:hAnsi="Arial" w:eastAsia="宋体" w:cs="Arial"/>
          <w:i w:val="0"/>
          <w:iCs w:val="0"/>
          <w:caps w:val="0"/>
          <w:color w:val="222222"/>
          <w:spacing w:val="0"/>
          <w:sz w:val="21"/>
          <w:szCs w:val="21"/>
          <w:shd w:val="clear" w:fill="FFFFFF"/>
          <w:lang w:eastAsia="zh-CN"/>
        </w:rPr>
      </w:pPr>
      <w:r>
        <w:rPr>
          <w:rFonts w:hint="eastAsia" w:ascii="Arial" w:hAnsi="Arial" w:eastAsia="宋体" w:cs="Arial"/>
          <w:i w:val="0"/>
          <w:iCs w:val="0"/>
          <w:caps w:val="0"/>
          <w:color w:val="222222"/>
          <w:spacing w:val="0"/>
          <w:sz w:val="21"/>
          <w:szCs w:val="21"/>
          <w:shd w:val="clear" w:fill="FFFFFF"/>
          <w:lang w:eastAsia="zh-CN"/>
        </w:rPr>
        <w:drawing>
          <wp:inline distT="0" distB="0" distL="114300" distR="114300">
            <wp:extent cx="5271135" cy="2632710"/>
            <wp:effectExtent l="0" t="0" r="1905" b="3810"/>
            <wp:docPr id="3" name="图片 3" descr="屏幕截图 2024-01-14 16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01-14 161955"/>
                    <pic:cNvPicPr>
                      <a:picLocks noChangeAspect="1"/>
                    </pic:cNvPicPr>
                  </pic:nvPicPr>
                  <pic:blipFill>
                    <a:blip r:embed="rId6"/>
                    <a:stretch>
                      <a:fillRect/>
                    </a:stretch>
                  </pic:blipFill>
                  <pic:spPr>
                    <a:xfrm>
                      <a:off x="0" y="0"/>
                      <a:ext cx="5271135" cy="2632710"/>
                    </a:xfrm>
                    <a:prstGeom prst="rect">
                      <a:avLst/>
                    </a:prstGeom>
                  </pic:spPr>
                </pic:pic>
              </a:graphicData>
            </a:graphic>
          </wp:inline>
        </w:drawing>
      </w:r>
    </w:p>
    <w:p>
      <w:pPr>
        <w:ind w:firstLine="420" w:firstLineChars="0"/>
        <w:jc w:val="center"/>
        <w:rPr>
          <w:rFonts w:hint="default" w:ascii="Arial" w:hAnsi="Arial" w:cs="Arial"/>
          <w:i w:val="0"/>
          <w:iCs w:val="0"/>
          <w:caps w:val="0"/>
          <w:color w:val="222222"/>
          <w:spacing w:val="0"/>
          <w:sz w:val="21"/>
          <w:szCs w:val="21"/>
          <w:shd w:val="clear" w:fill="FFFFFF"/>
        </w:rPr>
      </w:pPr>
      <w:r>
        <w:rPr>
          <w:rFonts w:hint="eastAsia" w:ascii="Arial" w:hAnsi="Arial" w:eastAsia="宋体" w:cs="Arial"/>
          <w:i w:val="0"/>
          <w:iCs w:val="0"/>
          <w:caps w:val="0"/>
          <w:color w:val="222222"/>
          <w:spacing w:val="0"/>
          <w:sz w:val="21"/>
          <w:szCs w:val="21"/>
          <w:shd w:val="clear" w:fill="FFFFFF"/>
          <w:lang w:val="en-US" w:eastAsia="zh-CN"/>
        </w:rPr>
        <w:t>图6：华神科技2023年全年股票价格变动情况</w:t>
      </w:r>
    </w:p>
    <w:p>
      <w:pPr>
        <w:ind w:firstLine="420" w:firstLineChars="0"/>
        <w:rPr>
          <w:rFonts w:hint="default" w:ascii="Arial" w:hAnsi="Arial" w:cs="Arial"/>
          <w:i w:val="0"/>
          <w:iCs w:val="0"/>
          <w:caps w:val="0"/>
          <w:color w:val="222222"/>
          <w:spacing w:val="0"/>
          <w:sz w:val="21"/>
          <w:szCs w:val="21"/>
          <w:shd w:val="clear" w:fill="FFFFFF"/>
        </w:rPr>
      </w:pPr>
    </w:p>
    <w:p>
      <w:pPr>
        <w:ind w:firstLine="420" w:firstLineChars="0"/>
        <w:jc w:val="both"/>
        <w:rPr>
          <w:rFonts w:hint="default" w:ascii="Arial" w:hAnsi="Arial" w:eastAsia="宋体" w:cs="Arial"/>
          <w:i w:val="0"/>
          <w:iCs w:val="0"/>
          <w:caps w:val="0"/>
          <w:color w:val="222222"/>
          <w:spacing w:val="0"/>
          <w:sz w:val="21"/>
          <w:szCs w:val="21"/>
          <w:shd w:val="clear" w:fill="FFFFFF"/>
          <w:lang w:val="en-US" w:eastAsia="zh-CN"/>
        </w:rPr>
      </w:pPr>
      <w:r>
        <w:rPr>
          <w:rFonts w:hint="eastAsia" w:ascii="Arial" w:hAnsi="Arial" w:eastAsia="宋体" w:cs="Arial"/>
          <w:i w:val="0"/>
          <w:iCs w:val="0"/>
          <w:caps w:val="0"/>
          <w:color w:val="222222"/>
          <w:spacing w:val="0"/>
          <w:sz w:val="21"/>
          <w:szCs w:val="21"/>
          <w:shd w:val="clear" w:fill="FFFFFF"/>
          <w:lang w:val="en-US" w:eastAsia="zh-CN"/>
        </w:rPr>
        <w:t>图6显示2023年华神科技全年股票价格上涨了11.45%，说明收购标的公司的行为最终带来了一定的收益，但未来发展走势尚不明朗，尚待观察。</w:t>
      </w:r>
    </w:p>
    <w:p>
      <w:pPr>
        <w:ind w:firstLine="420" w:firstLineChars="0"/>
        <w:jc w:val="both"/>
        <w:rPr>
          <w:rFonts w:hint="eastAsia" w:ascii="Arial" w:hAnsi="Arial" w:eastAsia="宋体" w:cs="Arial"/>
          <w:i w:val="0"/>
          <w:iCs w:val="0"/>
          <w:caps w:val="0"/>
          <w:color w:val="222222"/>
          <w:spacing w:val="0"/>
          <w:sz w:val="21"/>
          <w:szCs w:val="21"/>
          <w:shd w:val="clear" w:fill="FFFFFF"/>
          <w:lang w:eastAsia="zh-CN"/>
        </w:rPr>
      </w:pPr>
    </w:p>
    <w:p>
      <w:pPr>
        <w:ind w:firstLine="420" w:firstLineChars="0"/>
        <w:rPr>
          <w:rFonts w:ascii="Arial" w:hAnsi="Arial" w:eastAsia="宋体" w:cs="Arial"/>
          <w:i w:val="0"/>
          <w:iCs w:val="0"/>
          <w:caps w:val="0"/>
          <w:color w:val="222222"/>
          <w:spacing w:val="0"/>
          <w:sz w:val="21"/>
          <w:szCs w:val="21"/>
          <w:shd w:val="clear" w:fill="FFFFFF"/>
        </w:rPr>
      </w:pPr>
      <w:r>
        <w:rPr>
          <w:rFonts w:ascii="Arial" w:hAnsi="Arial" w:eastAsia="宋体" w:cs="Arial"/>
          <w:i w:val="0"/>
          <w:iCs w:val="0"/>
          <w:caps w:val="0"/>
          <w:color w:val="222222"/>
          <w:spacing w:val="0"/>
          <w:sz w:val="21"/>
          <w:szCs w:val="21"/>
          <w:shd w:val="clear" w:fill="FFFFFF"/>
        </w:rPr>
        <w:t>其证券部相关负责人在</w:t>
      </w:r>
      <w:r>
        <w:rPr>
          <w:rFonts w:hint="eastAsia" w:ascii="Arial" w:hAnsi="Arial" w:eastAsia="宋体" w:cs="Arial"/>
          <w:i w:val="0"/>
          <w:iCs w:val="0"/>
          <w:caps w:val="0"/>
          <w:color w:val="222222"/>
          <w:spacing w:val="0"/>
          <w:sz w:val="21"/>
          <w:szCs w:val="21"/>
          <w:shd w:val="clear" w:fill="FFFFFF"/>
          <w:lang w:val="en-US" w:eastAsia="zh-CN"/>
        </w:rPr>
        <w:t>随后</w:t>
      </w:r>
      <w:r>
        <w:rPr>
          <w:rFonts w:ascii="Arial" w:hAnsi="Arial" w:eastAsia="宋体" w:cs="Arial"/>
          <w:i w:val="0"/>
          <w:iCs w:val="0"/>
          <w:caps w:val="0"/>
          <w:color w:val="222222"/>
          <w:spacing w:val="0"/>
          <w:sz w:val="21"/>
          <w:szCs w:val="21"/>
          <w:shd w:val="clear" w:fill="FFFFFF"/>
        </w:rPr>
        <w:t>接受采访时表示，本次交易标的估值合理、定价公允，不会损害公司及股东的利益。交易完成后，公司将拓宽业务范围、拓展新的盈利增长点，有利于公司快速实现在合成生物领域的产业布局，提升公司的盈利能力和发展潜力。</w:t>
      </w:r>
    </w:p>
    <w:p>
      <w:pPr>
        <w:ind w:firstLine="420" w:firstLineChars="0"/>
        <w:rPr>
          <w:rFonts w:hint="default" w:ascii="Arial" w:hAnsi="Arial" w:eastAsia="宋体" w:cs="Arial"/>
          <w:i w:val="0"/>
          <w:iCs w:val="0"/>
          <w:caps w:val="0"/>
          <w:color w:val="222222"/>
          <w:spacing w:val="0"/>
          <w:sz w:val="21"/>
          <w:szCs w:val="21"/>
          <w:shd w:val="clear" w:fill="FFFFFF"/>
          <w:lang w:val="en-US" w:eastAsia="zh-CN"/>
        </w:rPr>
      </w:pPr>
      <w:r>
        <w:rPr>
          <w:rFonts w:hint="eastAsia" w:ascii="Arial" w:hAnsi="Arial" w:eastAsia="宋体" w:cs="Arial"/>
          <w:i w:val="0"/>
          <w:iCs w:val="0"/>
          <w:caps w:val="0"/>
          <w:color w:val="222222"/>
          <w:spacing w:val="0"/>
          <w:sz w:val="21"/>
          <w:szCs w:val="21"/>
          <w:shd w:val="clear" w:fill="FFFFFF"/>
          <w:lang w:val="en-US" w:eastAsia="zh-CN"/>
        </w:rPr>
        <w:t>华神科技收购标的公司总的看来收益良多，具有较好的发展前景，未来的市场实力值得期待。</w:t>
      </w:r>
    </w:p>
    <w:p>
      <w:pPr>
        <w:pStyle w:val="3"/>
        <w:numPr>
          <w:ilvl w:val="0"/>
          <w:numId w:val="1"/>
        </w:numPr>
        <w:bidi w:val="0"/>
        <w:rPr>
          <w:rFonts w:hint="eastAsia"/>
          <w:lang w:val="en-US" w:eastAsia="zh-CN"/>
        </w:rPr>
      </w:pPr>
      <w:r>
        <w:rPr>
          <w:rFonts w:hint="eastAsia"/>
          <w:lang w:val="en-US" w:eastAsia="zh-CN"/>
        </w:rPr>
        <w:t>股民评论分析</w:t>
      </w:r>
    </w:p>
    <w:p>
      <w:pPr>
        <w:ind w:firstLine="420" w:firstLineChars="0"/>
        <w:rPr>
          <w:rFonts w:hint="eastAsia"/>
          <w:lang w:val="en-US" w:eastAsia="zh-CN"/>
        </w:rPr>
      </w:pPr>
      <w:r>
        <w:rPr>
          <w:rFonts w:hint="eastAsia"/>
          <w:lang w:val="en-US" w:eastAsia="zh-CN"/>
        </w:rPr>
        <w:t>由于涉及溢价收购关联方资产，此次披露的交易草案引起了不少争议。</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事实上，已经有投资者就此次交易表达了不满，称这是在股价5.46元/股（公司10月19日收盘价）的情况下以3.9元/股折价定向增发，还要用5倍溢价购买大股东手里的个人资产。还有投资者在网络平台上贴出了本次交易事项的投票决议流程称：“投票方法在此，期待方案再次被否，公司别老想自己的算盘了。”</w:t>
      </w:r>
    </w:p>
    <w:p>
      <w:pPr>
        <w:ind w:firstLine="420" w:firstLineChars="0"/>
        <w:rPr>
          <w:rFonts w:hint="eastAsia"/>
          <w:lang w:val="en-US" w:eastAsia="zh-CN"/>
        </w:rPr>
      </w:pPr>
      <w:r>
        <w:rPr>
          <w:rFonts w:hint="eastAsia"/>
          <w:lang w:val="en-US" w:eastAsia="zh-CN"/>
        </w:rPr>
        <w:t>不过，也有投资者对此次交易表示满意。一位长期跟踪华神科技的投资者向《证券日报》记者表示：“博浩达在肌醇领域具备领先优势，我从2022年就关注博浩达的发展，一直期待它能够被置入上市公司。这次交易与华神科技去年被股东大会否决的增发计划有所不同，</w:t>
      </w:r>
      <w:bookmarkStart w:id="0" w:name="_GoBack"/>
      <w:bookmarkEnd w:id="0"/>
      <w:r>
        <w:rPr>
          <w:rFonts w:hint="eastAsia"/>
          <w:lang w:val="en-US" w:eastAsia="zh-CN"/>
        </w:rPr>
        <w:t>博浩达是实控人手中较为优质的资产，我会投票赞成本次交易。”</w:t>
      </w:r>
    </w:p>
    <w:p>
      <w:pPr>
        <w:ind w:firstLine="420" w:firstLineChars="0"/>
        <w:rPr>
          <w:rFonts w:hint="eastAsia" w:asciiTheme="minorEastAsia" w:hAnsiTheme="minorEastAsia" w:eastAsiaTheme="minorEastAsia" w:cstheme="minorEastAsia"/>
          <w:sz w:val="21"/>
          <w:szCs w:val="21"/>
          <w:lang w:val="en-US" w:eastAsia="zh-CN"/>
        </w:rPr>
      </w:pPr>
    </w:p>
    <w:p>
      <w:pPr>
        <w:ind w:firstLine="420" w:firstLineChars="0"/>
        <w:rPr>
          <w:rFonts w:hint="eastAsia" w:asciiTheme="minorEastAsia" w:hAnsiTheme="minorEastAsia" w:eastAsiaTheme="minorEastAsia" w:cstheme="minorEastAsia"/>
          <w:i w:val="0"/>
          <w:iCs w:val="0"/>
          <w:caps w:val="0"/>
          <w:color w:val="222222"/>
          <w:spacing w:val="12"/>
          <w:sz w:val="21"/>
          <w:szCs w:val="21"/>
          <w:shd w:val="clear" w:fill="FFFFFF"/>
        </w:rPr>
      </w:pPr>
      <w:r>
        <w:rPr>
          <w:rFonts w:hint="eastAsia" w:asciiTheme="minorEastAsia" w:hAnsiTheme="minorEastAsia" w:eastAsiaTheme="minorEastAsia" w:cstheme="minorEastAsia"/>
          <w:i w:val="0"/>
          <w:iCs w:val="0"/>
          <w:caps w:val="0"/>
          <w:color w:val="222222"/>
          <w:spacing w:val="12"/>
          <w:sz w:val="21"/>
          <w:szCs w:val="21"/>
          <w:shd w:val="clear" w:fill="FFFFFF"/>
        </w:rPr>
        <w:t>目前来看，华神科技本次交易方案的争议点主要集中在关联方标的资产的溢价是否合理、此次交易是否真正有利于公司未来发展、对中小投资者是否公平等方面。</w:t>
      </w:r>
    </w:p>
    <w:p>
      <w:pPr>
        <w:ind w:firstLine="420" w:firstLineChars="0"/>
        <w:jc w:val="center"/>
        <w:rPr>
          <w:rFonts w:hint="eastAsia"/>
          <w:lang w:val="en-US" w:eastAsia="zh-CN"/>
        </w:rPr>
      </w:pPr>
      <w:r>
        <w:rPr>
          <w:rFonts w:hint="eastAsia"/>
          <w:lang w:val="en-US" w:eastAsia="zh-CN"/>
        </w:rPr>
        <w:drawing>
          <wp:inline distT="0" distB="0" distL="114300" distR="114300">
            <wp:extent cx="2788920" cy="868680"/>
            <wp:effectExtent l="0" t="0" r="0" b="0"/>
            <wp:docPr id="4" name="图片 4" descr="屏幕截图 2024-01-14 16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01-14 163510"/>
                    <pic:cNvPicPr>
                      <a:picLocks noChangeAspect="1"/>
                    </pic:cNvPicPr>
                  </pic:nvPicPr>
                  <pic:blipFill>
                    <a:blip r:embed="rId7"/>
                    <a:stretch>
                      <a:fillRect/>
                    </a:stretch>
                  </pic:blipFill>
                  <pic:spPr>
                    <a:xfrm>
                      <a:off x="0" y="0"/>
                      <a:ext cx="2788920" cy="868680"/>
                    </a:xfrm>
                    <a:prstGeom prst="rect">
                      <a:avLst/>
                    </a:prstGeom>
                  </pic:spPr>
                </pic:pic>
              </a:graphicData>
            </a:graphic>
          </wp:inline>
        </w:drawing>
      </w:r>
    </w:p>
    <w:p>
      <w:pPr>
        <w:ind w:firstLine="420" w:firstLineChars="0"/>
        <w:jc w:val="center"/>
        <w:rPr>
          <w:rFonts w:hint="eastAsia"/>
          <w:lang w:val="en-US" w:eastAsia="zh-CN"/>
        </w:rPr>
      </w:pPr>
      <w:r>
        <w:rPr>
          <w:rFonts w:hint="eastAsia"/>
          <w:lang w:val="en-US" w:eastAsia="zh-CN"/>
        </w:rPr>
        <w:t>图7：本周股民对华神科技股票评价情况</w:t>
      </w:r>
    </w:p>
    <w:p>
      <w:pPr>
        <w:ind w:firstLine="420" w:firstLineChars="0"/>
        <w:jc w:val="center"/>
        <w:rPr>
          <w:rFonts w:hint="eastAsia"/>
          <w:lang w:val="en-US" w:eastAsia="zh-CN"/>
        </w:rPr>
      </w:pPr>
    </w:p>
    <w:p>
      <w:pPr>
        <w:ind w:firstLine="420" w:firstLineChars="0"/>
        <w:jc w:val="both"/>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华神科技2023年12月28日在深交所互动易中披露，截至2023年12月20日公司股东户数为3.84万户，较上期（2023年9月30日）减少2098户，减幅为5.18%。</w:t>
      </w:r>
    </w:p>
    <w:p>
      <w:pPr>
        <w:ind w:firstLine="420" w:firstLineChars="0"/>
        <w:jc w:val="center"/>
        <w:rPr>
          <w:rFonts w:hint="eastAsia" w:ascii="Helvetica" w:hAnsi="Helvetica" w:eastAsia="宋体" w:cs="Helvetica"/>
          <w:i w:val="0"/>
          <w:iCs w:val="0"/>
          <w:caps w:val="0"/>
          <w:color w:val="333333"/>
          <w:spacing w:val="0"/>
          <w:sz w:val="19"/>
          <w:szCs w:val="19"/>
          <w:shd w:val="clear" w:fill="FFFFFF"/>
          <w:lang w:eastAsia="zh-CN"/>
        </w:rPr>
      </w:pPr>
      <w:r>
        <w:rPr>
          <w:rFonts w:hint="eastAsia" w:ascii="Helvetica" w:hAnsi="Helvetica" w:eastAsia="宋体" w:cs="Helvetica"/>
          <w:i w:val="0"/>
          <w:iCs w:val="0"/>
          <w:caps w:val="0"/>
          <w:color w:val="333333"/>
          <w:spacing w:val="0"/>
          <w:sz w:val="19"/>
          <w:szCs w:val="19"/>
          <w:shd w:val="clear" w:fill="FFFFFF"/>
          <w:lang w:eastAsia="zh-CN"/>
        </w:rPr>
        <w:drawing>
          <wp:inline distT="0" distB="0" distL="114300" distR="114300">
            <wp:extent cx="5273040" cy="2636520"/>
            <wp:effectExtent l="0" t="0" r="0" b="0"/>
            <wp:docPr id="5" name="图片 5" descr="D2322B68070BCFB0A433660542C02B91ED_w800h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2322B68070BCFB0A433660542C02B91ED_w800h400"/>
                    <pic:cNvPicPr>
                      <a:picLocks noChangeAspect="1"/>
                    </pic:cNvPicPr>
                  </pic:nvPicPr>
                  <pic:blipFill>
                    <a:blip r:embed="rId8"/>
                    <a:stretch>
                      <a:fillRect/>
                    </a:stretch>
                  </pic:blipFill>
                  <pic:spPr>
                    <a:xfrm>
                      <a:off x="0" y="0"/>
                      <a:ext cx="5273040" cy="2636520"/>
                    </a:xfrm>
                    <a:prstGeom prst="rect">
                      <a:avLst/>
                    </a:prstGeom>
                  </pic:spPr>
                </pic:pic>
              </a:graphicData>
            </a:graphic>
          </wp:inline>
        </w:drawing>
      </w:r>
    </w:p>
    <w:p>
      <w:pPr>
        <w:ind w:firstLine="420" w:firstLineChars="0"/>
        <w:jc w:val="center"/>
        <w:rPr>
          <w:rFonts w:hint="default" w:ascii="Helvetica" w:hAnsi="Helvetica" w:eastAsia="宋体" w:cs="Helvetica"/>
          <w:i w:val="0"/>
          <w:iCs w:val="0"/>
          <w:caps w:val="0"/>
          <w:color w:val="333333"/>
          <w:spacing w:val="0"/>
          <w:sz w:val="19"/>
          <w:szCs w:val="19"/>
          <w:shd w:val="clear" w:fill="FFFFFF"/>
          <w:lang w:val="en-US" w:eastAsia="zh-CN"/>
        </w:rPr>
      </w:pPr>
      <w:r>
        <w:rPr>
          <w:rFonts w:hint="eastAsia" w:ascii="Helvetica" w:hAnsi="Helvetica" w:eastAsia="宋体" w:cs="Helvetica"/>
          <w:i w:val="0"/>
          <w:iCs w:val="0"/>
          <w:caps w:val="0"/>
          <w:color w:val="333333"/>
          <w:spacing w:val="0"/>
          <w:sz w:val="19"/>
          <w:szCs w:val="19"/>
          <w:shd w:val="clear" w:fill="FFFFFF"/>
          <w:lang w:val="en-US" w:eastAsia="zh-CN"/>
        </w:rPr>
        <w:t>图8</w:t>
      </w:r>
    </w:p>
    <w:p>
      <w:pPr>
        <w:ind w:firstLine="420" w:firstLineChars="0"/>
        <w:jc w:val="both"/>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2023年5月19日至今，公司股东户数显著下降，区间跌幅为18.48%。2023年5月19日至2023年12月20日区间股价下降2.10%</w:t>
      </w:r>
      <w:r>
        <w:rPr>
          <w:rFonts w:hint="eastAsia" w:asciiTheme="minorEastAsia" w:hAnsiTheme="minorEastAsia" w:eastAsiaTheme="minorEastAsia" w:cstheme="minorEastAsia"/>
          <w:i w:val="0"/>
          <w:iCs w:val="0"/>
          <w:caps w:val="0"/>
          <w:color w:val="333333"/>
          <w:spacing w:val="0"/>
          <w:sz w:val="21"/>
          <w:szCs w:val="21"/>
          <w:shd w:val="clear" w:fill="FFFFFF"/>
          <w:lang w:eastAsia="zh-CN"/>
        </w:rPr>
        <w:t>，</w:t>
      </w: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如图8所示</w:t>
      </w:r>
      <w:r>
        <w:rPr>
          <w:rFonts w:hint="eastAsia" w:asciiTheme="minorEastAsia" w:hAnsiTheme="minorEastAsia" w:eastAsiaTheme="minorEastAsia" w:cstheme="minorEastAsia"/>
          <w:i w:val="0"/>
          <w:iCs w:val="0"/>
          <w:caps w:val="0"/>
          <w:color w:val="333333"/>
          <w:spacing w:val="0"/>
          <w:sz w:val="21"/>
          <w:szCs w:val="21"/>
          <w:shd w:val="clear" w:fill="FFFFFF"/>
        </w:rPr>
        <w:t>。</w:t>
      </w:r>
    </w:p>
    <w:p>
      <w:pPr>
        <w:ind w:firstLine="420" w:firstLineChars="0"/>
        <w:jc w:val="both"/>
        <w:rPr>
          <w:rFonts w:hint="eastAsia" w:asciiTheme="minorEastAsia" w:hAnsiTheme="minorEastAsia" w:eastAsiaTheme="minorEastAsia" w:cstheme="minorEastAsia"/>
          <w:i w:val="0"/>
          <w:iCs w:val="0"/>
          <w:caps w:val="0"/>
          <w:color w:val="333333"/>
          <w:spacing w:val="0"/>
          <w:sz w:val="21"/>
          <w:szCs w:val="21"/>
          <w:shd w:val="clear" w:fill="FFFFFF"/>
        </w:rPr>
      </w:pPr>
    </w:p>
    <w:p>
      <w:pPr>
        <w:ind w:firstLine="420" w:firstLineChars="0"/>
        <w:jc w:val="both"/>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综上所述，华神科技本次交易方案引发了广泛的争议和不满情绪。投资者对交易的态度存在分歧。</w:t>
      </w:r>
    </w:p>
    <w:p>
      <w:pPr>
        <w:ind w:firstLine="420" w:firstLineChars="0"/>
        <w:jc w:val="both"/>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一些投资者对于交易中关联方标的资产的溢价和交易是否有利于公司未来发展表示质疑，认为这次交易并不公平。这种质疑反映在股价下跌和股东户数的显著减少上。</w:t>
      </w:r>
    </w:p>
    <w:p>
      <w:pPr>
        <w:ind w:firstLine="420" w:firstLineChars="0"/>
        <w:jc w:val="both"/>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然而，仍然有一部分投资者对此次交易表示满意，并认为收购标的公司对华神科技的发展具有积极意义。这些投资者认为，博浩达在肌醇领域具备领先优势，将为华神科技带来更多的利好。</w:t>
      </w:r>
    </w:p>
    <w:p>
      <w:pPr>
        <w:ind w:firstLine="420" w:firstLineChars="0"/>
        <w:jc w:val="both"/>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综合来看，华神科技本次交易方案所引发的争议主要集中在标的资产的溢价是否合理以及交易对公司未来发展的影响上。这些问题需要进一步的讨论和评估，以确保交易的公平性和对公司长期发展的可持续性的贡献。</w:t>
      </w:r>
    </w:p>
    <w:p>
      <w:pPr>
        <w:pStyle w:val="3"/>
        <w:numPr>
          <w:ilvl w:val="0"/>
          <w:numId w:val="1"/>
        </w:numPr>
        <w:bidi w:val="0"/>
        <w:ind w:left="0" w:leftChars="0" w:firstLine="0" w:firstLineChars="0"/>
        <w:rPr>
          <w:rFonts w:hint="eastAsia"/>
          <w:lang w:val="en-US" w:eastAsia="zh-CN"/>
        </w:rPr>
      </w:pPr>
      <w:r>
        <w:rPr>
          <w:rFonts w:hint="eastAsia"/>
          <w:lang w:val="en-US" w:eastAsia="zh-CN"/>
        </w:rPr>
        <w:t>其他经济、管理或社会效益等</w:t>
      </w:r>
    </w:p>
    <w:p>
      <w:pPr>
        <w:ind w:firstLine="420" w:firstLineChars="0"/>
        <w:rPr>
          <w:rFonts w:hint="eastAsia"/>
          <w:lang w:val="en-US" w:eastAsia="zh-CN"/>
        </w:rPr>
      </w:pPr>
      <w:r>
        <w:rPr>
          <w:rFonts w:hint="eastAsia"/>
          <w:lang w:val="en-US" w:eastAsia="zh-CN"/>
        </w:rPr>
        <w:t>经济收益：</w:t>
      </w:r>
    </w:p>
    <w:p>
      <w:pPr>
        <w:ind w:firstLine="420" w:firstLineChars="0"/>
        <w:rPr>
          <w:rFonts w:ascii="Arial" w:hAnsi="Arial" w:eastAsia="宋体" w:cs="Arial"/>
          <w:i w:val="0"/>
          <w:iCs w:val="0"/>
          <w:caps w:val="0"/>
          <w:color w:val="222222"/>
          <w:spacing w:val="0"/>
          <w:sz w:val="21"/>
          <w:szCs w:val="21"/>
          <w:shd w:val="clear" w:fill="FFFFFF"/>
        </w:rPr>
      </w:pPr>
      <w:r>
        <w:rPr>
          <w:rFonts w:ascii="Arial" w:hAnsi="Arial" w:eastAsia="宋体" w:cs="Arial"/>
          <w:i w:val="0"/>
          <w:iCs w:val="0"/>
          <w:caps w:val="0"/>
          <w:color w:val="222222"/>
          <w:spacing w:val="0"/>
          <w:sz w:val="21"/>
          <w:szCs w:val="21"/>
          <w:shd w:val="clear" w:fill="FFFFFF"/>
        </w:rPr>
        <w:t>标的公司2023年业绩预测数达到8,500万元（10月披露的全年预测数，基本上可以说板上钉钉），而形成对比的是，上市公司2022年全年净利润还不到3,400万元。单从数据体量上来看，本次交易完成后，无疑给上市公司盈利增长注入了“强心剂”。根据上市公司披露的备考数据来看，以2022年度为例，本次交易完成后，上市公司营业利润将提升119.96%，归母净利润将提升84.11%，基本每股收益将提升38.77%。以2023年度为例，若在上市公司2023年度净利润与上年度保持不变情况下，考虑标的公司2023年度净利润业绩承诺（即8500万元）因素，则本次交易完成后，上市公司2023年度净利润有望实现251.04%的高增长率，利润增长规模提升非常显著。本次交易若能顺利完成，对于上市公司全体股东而言，都是极大喜讯。</w:t>
      </w:r>
    </w:p>
    <w:p>
      <w:pPr>
        <w:ind w:firstLine="420" w:firstLineChars="0"/>
        <w:rPr>
          <w:rFonts w:ascii="Arial" w:hAnsi="Arial" w:eastAsia="宋体" w:cs="Arial"/>
          <w:i w:val="0"/>
          <w:iCs w:val="0"/>
          <w:caps w:val="0"/>
          <w:color w:val="222222"/>
          <w:spacing w:val="0"/>
          <w:sz w:val="21"/>
          <w:szCs w:val="21"/>
          <w:shd w:val="clear" w:fill="FFFFFF"/>
        </w:rPr>
      </w:pPr>
    </w:p>
    <w:p>
      <w:pPr>
        <w:ind w:firstLine="420" w:firstLineChars="0"/>
        <w:rPr>
          <w:rFonts w:hint="eastAsia" w:ascii="Arial" w:hAnsi="Arial" w:eastAsia="宋体" w:cs="Arial"/>
          <w:i w:val="0"/>
          <w:iCs w:val="0"/>
          <w:caps w:val="0"/>
          <w:color w:val="222222"/>
          <w:spacing w:val="0"/>
          <w:sz w:val="21"/>
          <w:szCs w:val="21"/>
          <w:shd w:val="clear" w:fill="FFFFFF"/>
          <w:lang w:val="en-US" w:eastAsia="zh-CN"/>
        </w:rPr>
      </w:pPr>
      <w:r>
        <w:rPr>
          <w:rFonts w:hint="eastAsia" w:ascii="Arial" w:hAnsi="Arial" w:eastAsia="宋体" w:cs="Arial"/>
          <w:i w:val="0"/>
          <w:iCs w:val="0"/>
          <w:caps w:val="0"/>
          <w:color w:val="222222"/>
          <w:spacing w:val="0"/>
          <w:sz w:val="21"/>
          <w:szCs w:val="21"/>
          <w:shd w:val="clear" w:fill="FFFFFF"/>
          <w:lang w:val="en-US" w:eastAsia="zh-CN"/>
        </w:rPr>
        <w:t>行业发展：</w:t>
      </w:r>
    </w:p>
    <w:p>
      <w:pPr>
        <w:ind w:firstLine="420" w:firstLineChars="0"/>
        <w:rPr>
          <w:rFonts w:hint="eastAsia" w:ascii="Arial" w:hAnsi="Arial" w:eastAsia="宋体" w:cs="Arial"/>
          <w:i w:val="0"/>
          <w:iCs w:val="0"/>
          <w:caps w:val="0"/>
          <w:color w:val="222222"/>
          <w:spacing w:val="0"/>
          <w:sz w:val="21"/>
          <w:szCs w:val="21"/>
          <w:shd w:val="clear" w:fill="FFFFFF"/>
          <w:lang w:val="en-US" w:eastAsia="zh-CN"/>
        </w:rPr>
      </w:pPr>
      <w:r>
        <w:rPr>
          <w:rFonts w:hint="eastAsia" w:asciiTheme="minorEastAsia" w:hAnsiTheme="minorEastAsia" w:eastAsiaTheme="minorEastAsia" w:cstheme="minorEastAsia"/>
          <w:i w:val="0"/>
          <w:iCs w:val="0"/>
          <w:caps w:val="0"/>
          <w:color w:val="000000"/>
          <w:spacing w:val="0"/>
          <w:sz w:val="21"/>
          <w:szCs w:val="21"/>
          <w:shd w:val="clear" w:fill="FFFFFF"/>
        </w:rPr>
        <w:t>本次交易完成后，华神科技将拓宽业务范围、拓展新的盈利增长点，进一步提升公司综合竞争力和行业地位。</w:t>
      </w:r>
    </w:p>
    <w:p>
      <w:pPr>
        <w:ind w:firstLine="420" w:firstLineChars="0"/>
        <w:rPr>
          <w:rFonts w:hint="eastAsia" w:ascii="Arial" w:hAnsi="Arial" w:eastAsia="宋体" w:cs="Arial"/>
          <w:i w:val="0"/>
          <w:iCs w:val="0"/>
          <w:caps w:val="0"/>
          <w:color w:val="222222"/>
          <w:spacing w:val="0"/>
          <w:sz w:val="21"/>
          <w:szCs w:val="21"/>
          <w:shd w:val="clear" w:fill="FFFFFF"/>
          <w:lang w:eastAsia="zh-CN"/>
        </w:rPr>
      </w:pPr>
      <w:r>
        <w:rPr>
          <w:rFonts w:hint="eastAsia" w:ascii="Arial" w:hAnsi="Arial" w:eastAsia="宋体" w:cs="Arial"/>
          <w:i w:val="0"/>
          <w:iCs w:val="0"/>
          <w:caps w:val="0"/>
          <w:color w:val="222222"/>
          <w:spacing w:val="0"/>
          <w:sz w:val="21"/>
          <w:szCs w:val="21"/>
          <w:shd w:val="clear" w:fill="FFFFFF"/>
          <w:lang w:val="en-US" w:eastAsia="zh-CN"/>
        </w:rPr>
        <w:t>标的公司</w:t>
      </w:r>
      <w:r>
        <w:rPr>
          <w:rFonts w:ascii="Arial" w:hAnsi="Arial" w:eastAsia="宋体" w:cs="Arial"/>
          <w:i w:val="0"/>
          <w:iCs w:val="0"/>
          <w:caps w:val="0"/>
          <w:color w:val="222222"/>
          <w:spacing w:val="0"/>
          <w:sz w:val="21"/>
          <w:szCs w:val="21"/>
          <w:shd w:val="clear" w:fill="FFFFFF"/>
        </w:rPr>
        <w:t>所处合成生物领域。该领域作为传统产业升级变革的重要方向之一，目前受到了全球各国的广泛关注。合成生物具有“颠覆性”的技术优势，这一点在标的公司博浩达身上得到了充分的体现。</w:t>
      </w:r>
      <w:r>
        <w:rPr>
          <w:rFonts w:hint="eastAsia" w:ascii="Arial" w:hAnsi="Arial" w:eastAsia="宋体" w:cs="Arial"/>
          <w:i w:val="0"/>
          <w:iCs w:val="0"/>
          <w:caps w:val="0"/>
          <w:color w:val="222222"/>
          <w:spacing w:val="0"/>
          <w:sz w:val="21"/>
          <w:szCs w:val="21"/>
          <w:shd w:val="clear" w:fill="FFFFFF"/>
          <w:lang w:val="en-US" w:eastAsia="zh-CN"/>
        </w:rPr>
        <w:t>标的公司</w:t>
      </w:r>
      <w:r>
        <w:rPr>
          <w:rFonts w:ascii="Arial" w:hAnsi="Arial" w:eastAsia="宋体" w:cs="Arial"/>
          <w:i w:val="0"/>
          <w:iCs w:val="0"/>
          <w:caps w:val="0"/>
          <w:color w:val="222222"/>
          <w:spacing w:val="0"/>
          <w:sz w:val="21"/>
          <w:szCs w:val="21"/>
          <w:shd w:val="clear" w:fill="FFFFFF"/>
        </w:rPr>
        <w:t>主要生产肌醇产品，通过合成生物学方法对微生物遗传信息进行改造，经过发酵得到特定复合酶，最后通过复合酶催化反应得到肌醇。</w:t>
      </w:r>
      <w:r>
        <w:rPr>
          <w:rFonts w:hint="eastAsia" w:ascii="Arial" w:hAnsi="Arial" w:eastAsia="宋体" w:cs="Arial"/>
          <w:i w:val="0"/>
          <w:iCs w:val="0"/>
          <w:caps w:val="0"/>
          <w:color w:val="222222"/>
          <w:spacing w:val="0"/>
          <w:sz w:val="21"/>
          <w:szCs w:val="21"/>
          <w:shd w:val="clear" w:fill="FFFFFF"/>
          <w:lang w:val="en-US" w:eastAsia="zh-CN"/>
        </w:rPr>
        <w:t>同时，</w:t>
      </w:r>
      <w:r>
        <w:rPr>
          <w:rFonts w:ascii="Arial" w:hAnsi="Arial" w:eastAsia="宋体" w:cs="Arial"/>
          <w:i w:val="0"/>
          <w:iCs w:val="0"/>
          <w:caps w:val="0"/>
          <w:color w:val="222222"/>
          <w:spacing w:val="0"/>
          <w:sz w:val="21"/>
          <w:szCs w:val="21"/>
          <w:shd w:val="clear" w:fill="FFFFFF"/>
        </w:rPr>
        <w:t>通过对现有产品的持续挖潜与二次深度开发，不断实现技术迭代，扩大行业领先的技术先发优势，进一步拓宽产品竞争的护城河，</w:t>
      </w:r>
      <w:r>
        <w:rPr>
          <w:rFonts w:hint="eastAsia" w:ascii="Arial" w:hAnsi="Arial" w:eastAsia="宋体" w:cs="Arial"/>
          <w:i w:val="0"/>
          <w:iCs w:val="0"/>
          <w:caps w:val="0"/>
          <w:color w:val="222222"/>
          <w:spacing w:val="0"/>
          <w:sz w:val="21"/>
          <w:szCs w:val="21"/>
          <w:shd w:val="clear" w:fill="FFFFFF"/>
          <w:lang w:val="en-US" w:eastAsia="zh-CN"/>
        </w:rPr>
        <w:t>也是标的公司获取超额利润的关键</w:t>
      </w:r>
      <w:r>
        <w:rPr>
          <w:rFonts w:hint="eastAsia" w:ascii="Arial" w:hAnsi="Arial" w:eastAsia="宋体" w:cs="Arial"/>
          <w:i w:val="0"/>
          <w:iCs w:val="0"/>
          <w:caps w:val="0"/>
          <w:color w:val="222222"/>
          <w:spacing w:val="0"/>
          <w:sz w:val="21"/>
          <w:szCs w:val="21"/>
          <w:shd w:val="clear" w:fill="FFFFFF"/>
          <w:lang w:eastAsia="zh-CN"/>
        </w:rPr>
        <w:t>。</w:t>
      </w:r>
    </w:p>
    <w:p>
      <w:pPr>
        <w:ind w:firstLine="420" w:firstLineChars="0"/>
        <w:rPr>
          <w:rFonts w:hint="eastAsia" w:ascii="Arial" w:hAnsi="Arial" w:eastAsia="宋体" w:cs="Arial"/>
          <w:i w:val="0"/>
          <w:iCs w:val="0"/>
          <w:caps w:val="0"/>
          <w:color w:val="222222"/>
          <w:spacing w:val="0"/>
          <w:sz w:val="21"/>
          <w:szCs w:val="21"/>
          <w:shd w:val="clear" w:fill="FFFFFF"/>
          <w:lang w:eastAsia="zh-CN"/>
        </w:rPr>
      </w:pPr>
    </w:p>
    <w:p>
      <w:pPr>
        <w:ind w:firstLine="420" w:firstLineChars="0"/>
        <w:rPr>
          <w:rFonts w:hint="default" w:ascii="Arial" w:hAnsi="Arial" w:eastAsia="宋体" w:cs="Arial"/>
          <w:i w:val="0"/>
          <w:iCs w:val="0"/>
          <w:caps w:val="0"/>
          <w:color w:val="222222"/>
          <w:spacing w:val="0"/>
          <w:sz w:val="21"/>
          <w:szCs w:val="21"/>
          <w:shd w:val="clear" w:fill="FFFFFF"/>
          <w:lang w:val="en-US" w:eastAsia="zh-CN"/>
        </w:rPr>
      </w:pPr>
      <w:r>
        <w:rPr>
          <w:rFonts w:hint="eastAsia" w:ascii="Arial" w:hAnsi="Arial" w:eastAsia="宋体" w:cs="Arial"/>
          <w:i w:val="0"/>
          <w:iCs w:val="0"/>
          <w:caps w:val="0"/>
          <w:color w:val="222222"/>
          <w:spacing w:val="0"/>
          <w:sz w:val="21"/>
          <w:szCs w:val="21"/>
          <w:shd w:val="clear" w:fill="FFFFFF"/>
          <w:lang w:val="en-US" w:eastAsia="zh-CN"/>
        </w:rPr>
        <w:t>社会效益：</w:t>
      </w:r>
    </w:p>
    <w:p>
      <w:pPr>
        <w:ind w:firstLine="420" w:firstLineChars="0"/>
        <w:rPr>
          <w:rFonts w:ascii="Arial" w:hAnsi="Arial" w:eastAsia="宋体" w:cs="Arial"/>
          <w:i w:val="0"/>
          <w:iCs w:val="0"/>
          <w:caps w:val="0"/>
          <w:color w:val="222222"/>
          <w:spacing w:val="0"/>
          <w:sz w:val="21"/>
          <w:szCs w:val="21"/>
          <w:shd w:val="clear" w:fill="FFFFFF"/>
        </w:rPr>
      </w:pPr>
      <w:r>
        <w:rPr>
          <w:rFonts w:hint="eastAsia" w:asciiTheme="minorEastAsia" w:hAnsiTheme="minorEastAsia" w:cstheme="minorEastAsia"/>
          <w:i w:val="0"/>
          <w:iCs w:val="0"/>
          <w:caps w:val="0"/>
          <w:color w:val="222222"/>
          <w:spacing w:val="0"/>
          <w:sz w:val="21"/>
          <w:szCs w:val="21"/>
          <w:shd w:val="clear" w:fill="FFFFFF"/>
          <w:lang w:val="en-US" w:eastAsia="zh-CN"/>
        </w:rPr>
        <w:t>标的</w:t>
      </w:r>
      <w:r>
        <w:rPr>
          <w:rFonts w:hint="eastAsia" w:asciiTheme="minorEastAsia" w:hAnsiTheme="minorEastAsia" w:eastAsiaTheme="minorEastAsia" w:cstheme="minorEastAsia"/>
          <w:i w:val="0"/>
          <w:iCs w:val="0"/>
          <w:caps w:val="0"/>
          <w:color w:val="222222"/>
          <w:spacing w:val="0"/>
          <w:sz w:val="21"/>
          <w:szCs w:val="21"/>
          <w:shd w:val="clear" w:fill="FFFFFF"/>
        </w:rPr>
        <w:t>公司以食品级玉米淀粉为主要原料，采用多酶法一步合成肌醇，与传统化工法肌醇生产工艺相比，能耗降低和废水排放方面都有较大的优势，成本方面也有大幅度降低，解决了传统工艺收率低、高污染、高成本的问题。</w:t>
      </w:r>
      <w:r>
        <w:rPr>
          <w:rFonts w:hint="eastAsia" w:asciiTheme="minorEastAsia" w:hAnsiTheme="minorEastAsia" w:cstheme="minorEastAsia"/>
          <w:i w:val="0"/>
          <w:iCs w:val="0"/>
          <w:caps w:val="0"/>
          <w:color w:val="222222"/>
          <w:spacing w:val="0"/>
          <w:sz w:val="21"/>
          <w:szCs w:val="21"/>
          <w:shd w:val="clear" w:fill="FFFFFF"/>
          <w:lang w:val="en-US" w:eastAsia="zh-CN"/>
        </w:rPr>
        <w:t>标的公司</w:t>
      </w:r>
      <w:r>
        <w:rPr>
          <w:rFonts w:ascii="Arial" w:hAnsi="Arial" w:eastAsia="宋体" w:cs="Arial"/>
          <w:i w:val="0"/>
          <w:iCs w:val="0"/>
          <w:caps w:val="0"/>
          <w:color w:val="222222"/>
          <w:spacing w:val="0"/>
          <w:sz w:val="21"/>
          <w:szCs w:val="21"/>
          <w:shd w:val="clear" w:fill="FFFFFF"/>
        </w:rPr>
        <w:t>的新技术可以有效降低成本，并且减少含磷废水、VOC废气的排放，更加环保。</w:t>
      </w:r>
    </w:p>
    <w:p>
      <w:pPr>
        <w:ind w:firstLine="420" w:firstLineChars="0"/>
        <w:rPr>
          <w:rFonts w:hint="eastAsia" w:asciiTheme="minorEastAsia" w:hAnsiTheme="minorEastAsia" w:eastAsiaTheme="minorEastAsia" w:cstheme="minorEastAsia"/>
          <w:i w:val="0"/>
          <w:iCs w:val="0"/>
          <w:caps w:val="0"/>
          <w:color w:val="222222"/>
          <w:spacing w:val="0"/>
          <w:sz w:val="21"/>
          <w:szCs w:val="21"/>
          <w:shd w:val="clear" w:fill="FFFFFF"/>
        </w:rPr>
      </w:pPr>
      <w:r>
        <w:rPr>
          <w:rFonts w:hint="eastAsia" w:asciiTheme="minorEastAsia" w:hAnsiTheme="minorEastAsia" w:eastAsiaTheme="minorEastAsia" w:cstheme="minorEastAsia"/>
          <w:i w:val="0"/>
          <w:iCs w:val="0"/>
          <w:caps w:val="0"/>
          <w:color w:val="222222"/>
          <w:spacing w:val="0"/>
          <w:sz w:val="21"/>
          <w:szCs w:val="21"/>
          <w:shd w:val="clear" w:fill="FFFFFF"/>
        </w:rPr>
        <w:t>公司已成功与全球大量客户建立合作伙伴关系，拟通过产业链的扩展与延伸，进一步拓展市场价值，推动绿色生物产业集群的形成和发展。</w:t>
      </w:r>
    </w:p>
    <w:p>
      <w:pPr>
        <w:ind w:firstLine="420" w:firstLineChars="0"/>
        <w:rPr>
          <w:rFonts w:hint="eastAsia" w:asciiTheme="minorEastAsia" w:hAnsiTheme="minorEastAsia" w:eastAsiaTheme="minorEastAsia" w:cstheme="minorEastAsia"/>
          <w:i w:val="0"/>
          <w:iCs w:val="0"/>
          <w:caps w:val="0"/>
          <w:color w:val="222222"/>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PingFangSC-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2CFE87"/>
    <w:multiLevelType w:val="singleLevel"/>
    <w:tmpl w:val="312CFE87"/>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5NjA3ODgyODY2YzYyNzU3OWU4YjFiY2FlYWI5YTYifQ=="/>
  </w:docVars>
  <w:rsids>
    <w:rsidRoot w:val="322C3157"/>
    <w:rsid w:val="02602EF3"/>
    <w:rsid w:val="06A42D76"/>
    <w:rsid w:val="08B2041A"/>
    <w:rsid w:val="08EB5414"/>
    <w:rsid w:val="0B300371"/>
    <w:rsid w:val="0D4B79A7"/>
    <w:rsid w:val="0E715598"/>
    <w:rsid w:val="0EC25296"/>
    <w:rsid w:val="0F657507"/>
    <w:rsid w:val="16E27C22"/>
    <w:rsid w:val="1A7E661C"/>
    <w:rsid w:val="1AD638FD"/>
    <w:rsid w:val="20490B12"/>
    <w:rsid w:val="226233C0"/>
    <w:rsid w:val="23091F48"/>
    <w:rsid w:val="26EA3491"/>
    <w:rsid w:val="27CC1914"/>
    <w:rsid w:val="2B18613F"/>
    <w:rsid w:val="2C270E22"/>
    <w:rsid w:val="322C3157"/>
    <w:rsid w:val="33E902D9"/>
    <w:rsid w:val="34D506C9"/>
    <w:rsid w:val="377E22FF"/>
    <w:rsid w:val="3AFB6FDB"/>
    <w:rsid w:val="3BCE2A95"/>
    <w:rsid w:val="3D11510F"/>
    <w:rsid w:val="43947908"/>
    <w:rsid w:val="4422039F"/>
    <w:rsid w:val="44D84D08"/>
    <w:rsid w:val="4572397E"/>
    <w:rsid w:val="477A6F36"/>
    <w:rsid w:val="484E168E"/>
    <w:rsid w:val="494D62C3"/>
    <w:rsid w:val="4D9556D9"/>
    <w:rsid w:val="4DD27A9D"/>
    <w:rsid w:val="51F34F19"/>
    <w:rsid w:val="549B654F"/>
    <w:rsid w:val="553A69D5"/>
    <w:rsid w:val="56F64DB1"/>
    <w:rsid w:val="5AD74801"/>
    <w:rsid w:val="5B510A5B"/>
    <w:rsid w:val="5CC31B3E"/>
    <w:rsid w:val="5EEB4A1E"/>
    <w:rsid w:val="61BD395C"/>
    <w:rsid w:val="68774E44"/>
    <w:rsid w:val="69000A2F"/>
    <w:rsid w:val="69586082"/>
    <w:rsid w:val="6CB676E3"/>
    <w:rsid w:val="6E276AFF"/>
    <w:rsid w:val="704E20A9"/>
    <w:rsid w:val="738A69BF"/>
    <w:rsid w:val="73DA1BE9"/>
    <w:rsid w:val="744A1B8C"/>
    <w:rsid w:val="756622D6"/>
    <w:rsid w:val="7A4A2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2024-01-14T06:29:00Z</dcterms:created>
  <dc:creator>？叶</dc:creator>
  <cp:lastModifiedBy>？叶</cp:lastModifiedBy>
  <dcterms:modified xsi:type="dcterms:W3CDTF">2024-01-14T09:14:35Z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3F6516E0432D4625AF7E35A229042867_11</vt:lpwstr>
  </property>
</Properties>
</file>