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pPr>
      <w:r>
        <w:rPr>
          <w:rFonts w:ascii="Noto Sans CJK SC" w:hAnsi="Noto Sans CJK SC" w:eastAsia="Noto Sans CJK SC"/>
          <w:b/>
          <w:color w:val="1677FF"/>
          <w:sz w:val="22"/>
        </w:rPr>
        <w:t>PRODUCT REQUIREMENTS</w:t>
      </w:r>
    </w:p>
    <w:p>
      <w:pPr>
        <w:spacing w:before="320"/>
      </w:pPr>
      <w:r>
        <w:rPr>
          <w:rFonts w:ascii="Noto Sans CJK SC" w:hAnsi="Noto Sans CJK SC" w:eastAsia="Noto Sans CJK SC"/>
          <w:b/>
          <w:color w:val="17365D"/>
          <w:sz w:val="60"/>
        </w:rPr>
        <w:t>卓鉴统一身份管理平台</w:t>
      </w:r>
    </w:p>
    <w:p>
      <w:pPr>
        <w:spacing w:before="160"/>
      </w:pPr>
      <w:r>
        <w:rPr>
          <w:rFonts w:ascii="Noto Sans CJK SC" w:hAnsi="Noto Sans CJK SC" w:eastAsia="Noto Sans CJK SC"/>
          <w:b w:val="0"/>
          <w:color w:val="1F2937"/>
          <w:sz w:val="38"/>
        </w:rPr>
        <w:t>详细产品需求规格说明书</w:t>
      </w:r>
    </w:p>
    <w:p>
      <w:pPr>
        <w:spacing w:before="480"/>
      </w:pPr>
      <w:r>
        <w:rPr>
          <w:rFonts w:ascii="Noto Sans CJK SC" w:hAnsi="Noto Sans CJK SC" w:eastAsia="Noto Sans CJK SC"/>
          <w:b w:val="0"/>
          <w:color w:val="1677FF"/>
          <w:sz w:val="24"/>
        </w:rPr>
        <w:t>V1.1  ·  前端优先评审稿</w:t>
      </w:r>
    </w:p>
    <w:p>
      <w:pPr>
        <w:spacing w:before="120"/>
      </w:pPr>
      <w:r>
        <w:rPr>
          <w:rFonts w:ascii="Noto Sans CJK SC" w:hAnsi="Noto Sans CJK SC" w:eastAsia="Noto Sans CJK SC"/>
          <w:b w:val="0"/>
          <w:color w:val="1F2937"/>
          <w:sz w:val="22"/>
        </w:rPr>
        <w:t>React / React DOM 19.3.0  +  Ant Design 6.6.5</w:t>
      </w:r>
    </w:p>
    <w:p>
      <w:pPr>
        <w:spacing w:before="120"/>
      </w:pPr>
      <w:r>
        <w:rPr>
          <w:rFonts w:ascii="Noto Sans CJK SC" w:hAnsi="Noto Sans CJK SC" w:eastAsia="Noto Sans CJK SC"/>
          <w:b w:val="0"/>
          <w:color w:val="667085"/>
          <w:sz w:val="20"/>
        </w:rPr>
        <w:t>政企身份  /  公众身份  /  统一认证  /  应用授权  /  审计同步</w:t>
      </w:r>
    </w:p>
    <w:p>
      <w:pPr>
        <w:spacing w:before="640"/>
      </w:pPr>
      <w:r>
        <w:rPr>
          <w:rFonts w:ascii="Noto Sans CJK SC" w:hAnsi="Noto Sans CJK SC" w:eastAsia="Noto Sans CJK SC"/>
          <w:b w:val="0"/>
          <w:color w:val="1F2937"/>
          <w:sz w:val="22"/>
        </w:rPr>
        <w:t>编制日期  2026年9月26日</w:t>
      </w:r>
    </w:p>
    <w:p>
      <w:pPr>
        <w:spacing w:before="320"/>
      </w:pPr>
      <w:r>
        <w:rPr>
          <w:rFonts w:ascii="Noto Sans CJK SC" w:hAnsi="Noto Sans CJK SC" w:eastAsia="Noto Sans CJK SC"/>
          <w:b w:val="0"/>
          <w:color w:val="1F2937"/>
          <w:sz w:val="22"/>
        </w:rPr>
        <w:t>本轮交付：详细需求规格 + 前端与 Mock 数据。</w:t>
        <w:br/>
        <w:t>不包含后端开发、真实身份核验或生产安全认证。</w:t>
      </w:r>
    </w:p>
    <w:p>
      <w:pPr>
        <w:spacing w:before="520"/>
      </w:pPr>
      <w:r>
        <w:rPr>
          <w:rFonts w:ascii="Noto Sans CJK SC" w:hAnsi="Noto Sans CJK SC" w:eastAsia="Noto Sans CJK SC"/>
          <w:b w:val="0"/>
          <w:color w:val="667085"/>
          <w:sz w:val="18"/>
        </w:rPr>
        <w:t>命名约定：英文工程名 data-elements-idaas；中文产品名“卓鉴”；系统名称“统一身份管理平台”；完整名称“卓鉴统一身份管理平台”。政企侧与公众侧共用同一产品品牌。</w:t>
      </w:r>
    </w:p>
    <w:p>
      <w:pPr>
        <w:spacing w:before="520"/>
      </w:pPr>
      <w:r>
        <w:rPr>
          <w:rFonts w:ascii="Noto Sans CJK SC" w:hAnsi="Noto Sans CJK SC" w:eastAsia="Noto Sans CJK SC"/>
          <w:b w:val="0"/>
          <w:color w:val="667085"/>
          <w:sz w:val="18"/>
        </w:rPr>
        <w:t>依据用户提供的《2-统一身份认证平台-产品标准方案.docx》编制。目标产品的完整范围与当前前端实现范围分开记录；本轮边界见第15章，实际验收状态见前端工程内的覆盖与验收记录。</w:t>
      </w:r>
    </w:p>
    <w:p>
      <w:pPr>
        <w:pStyle w:val="Heading1"/>
      </w:pPr>
      <w:r>
        <w:t>阅读导航</w:t>
      </w:r>
    </w:p>
    <w:p>
      <w:r>
        <w:t>点击章节跳转；Word导航窗格可继续定位到各页面规格及业务规则。</w:t>
      </w:r>
    </w:p>
    <w:p>
      <w:pPr>
        <w:spacing w:after="180"/>
      </w:pPr>
      <w:hyperlink w:anchor="ch_1">
        <w:r>
          <w:rPr>
            <w:color w:val="1677FF"/>
          </w:rPr>
          <w:t>01　文档约定与需求基线</w:t>
        </w:r>
      </w:hyperlink>
    </w:p>
    <w:p>
      <w:pPr>
        <w:spacing w:after="180"/>
      </w:pPr>
      <w:hyperlink w:anchor="ch_2">
        <w:r>
          <w:rPr>
            <w:color w:val="1677FF"/>
          </w:rPr>
          <w:t>02　产品定位、范围与角色</w:t>
        </w:r>
      </w:hyperlink>
    </w:p>
    <w:p>
      <w:pPr>
        <w:spacing w:after="180"/>
      </w:pPr>
      <w:hyperlink w:anchor="ch_3">
        <w:r>
          <w:rPr>
            <w:color w:val="1677FF"/>
          </w:rPr>
          <w:t>03　总体架构与业务闭环</w:t>
        </w:r>
      </w:hyperlink>
    </w:p>
    <w:p>
      <w:pPr>
        <w:spacing w:after="180"/>
      </w:pPr>
      <w:hyperlink w:anchor="ch_4">
        <w:r>
          <w:rPr>
            <w:color w:val="1677FF"/>
          </w:rPr>
          <w:t>04　信息架构与页面目录</w:t>
        </w:r>
      </w:hyperlink>
    </w:p>
    <w:p>
      <w:pPr>
        <w:spacing w:after="180"/>
      </w:pPr>
      <w:hyperlink w:anchor="ch_5">
        <w:r>
          <w:rPr>
            <w:color w:val="1677FF"/>
          </w:rPr>
          <w:t>05　统一设计规范与交互规范</w:t>
        </w:r>
      </w:hyperlink>
    </w:p>
    <w:p>
      <w:pPr>
        <w:spacing w:after="180"/>
      </w:pPr>
      <w:hyperlink w:anchor="ch_6">
        <w:r>
          <w:rPr>
            <w:color w:val="1677FF"/>
          </w:rPr>
          <w:t>06　政企侧统一身份认证中心</w:t>
        </w:r>
      </w:hyperlink>
    </w:p>
    <w:p>
      <w:pPr>
        <w:spacing w:after="180"/>
      </w:pPr>
      <w:hyperlink w:anchor="ch_7">
        <w:r>
          <w:rPr>
            <w:color w:val="1677FF"/>
          </w:rPr>
          <w:t>07　政企侧管理平台：应用、组织与用户</w:t>
        </w:r>
      </w:hyperlink>
    </w:p>
    <w:p>
      <w:pPr>
        <w:spacing w:after="180"/>
      </w:pPr>
      <w:hyperlink w:anchor="ch_8">
        <w:r>
          <w:rPr>
            <w:color w:val="1677FF"/>
          </w:rPr>
          <w:t>08　政企侧管理平台：授权、同步、审计与设置</w:t>
        </w:r>
      </w:hyperlink>
    </w:p>
    <w:p>
      <w:pPr>
        <w:spacing w:after="180"/>
      </w:pPr>
      <w:hyperlink w:anchor="ch_9">
        <w:r>
          <w:rPr>
            <w:color w:val="1677FF"/>
          </w:rPr>
          <w:t>09　公众侧认证与管理平台</w:t>
        </w:r>
      </w:hyperlink>
    </w:p>
    <w:p>
      <w:pPr>
        <w:spacing w:after="180"/>
      </w:pPr>
      <w:hyperlink w:anchor="ch_10">
        <w:r>
          <w:rPr>
            <w:color w:val="1677FF"/>
          </w:rPr>
          <w:t>10　权限、数据与跨模块业务规则</w:t>
        </w:r>
      </w:hyperlink>
    </w:p>
    <w:p>
      <w:pPr>
        <w:spacing w:after="180"/>
      </w:pPr>
      <w:hyperlink w:anchor="ch_11">
        <w:r>
          <w:rPr>
            <w:color w:val="1677FF"/>
          </w:rPr>
          <w:t>11　核心数据模型与接口需求</w:t>
        </w:r>
      </w:hyperlink>
    </w:p>
    <w:p>
      <w:pPr>
        <w:spacing w:after="180"/>
      </w:pPr>
      <w:hyperlink w:anchor="ch_12">
        <w:r>
          <w:rPr>
            <w:color w:val="1677FF"/>
          </w:rPr>
          <w:t>12　非功能要求、运行环境与历史差异</w:t>
        </w:r>
      </w:hyperlink>
    </w:p>
    <w:p>
      <w:pPr>
        <w:spacing w:after="180"/>
      </w:pPr>
      <w:hyperlink w:anchor="ch_13">
        <w:r>
          <w:rPr>
            <w:color w:val="1677FF"/>
          </w:rPr>
          <w:t>13　React与Ant Design前端实施契约</w:t>
        </w:r>
      </w:hyperlink>
    </w:p>
    <w:p>
      <w:pPr>
        <w:spacing w:after="180"/>
      </w:pPr>
      <w:hyperlink w:anchor="ch_14">
        <w:r>
          <w:rPr>
            <w:color w:val="1677FF"/>
          </w:rPr>
          <w:t>14　验收、追溯与待确认事项</w:t>
        </w:r>
      </w:hyperlink>
    </w:p>
    <w:p>
      <w:pPr>
        <w:spacing w:after="180"/>
      </w:pPr>
      <w:hyperlink w:anchor="ch_15">
        <w:r>
          <w:rPr>
            <w:color w:val="1677FF"/>
          </w:rPr>
          <w:t>15　本轮前端与Mock阶段实施规格</w:t>
        </w:r>
      </w:hyperlink>
    </w:p>
    <w:p>
      <w:pPr>
        <w:spacing w:before="200"/>
      </w:pPr>
      <w:r>
        <w:t>建议：第2—4章确认范围；第5章确认设计规范；第6—9章逐页评审；第10—14章用于开发与验收；第15章确认本轮前端边界。</w:t>
      </w:r>
    </w:p>
    <w:p>
      <w:bookmarkStart w:id="1" w:name="ch_1"/>
      <w:pPr>
        <w:pStyle w:val="Heading1"/>
      </w:pPr>
      <w:r>
        <w:t>01　文档约定与需求基线</w:t>
      </w:r>
      <w:bookmarkEnd w:id="1"/>
    </w:p>
    <w:p>
      <w:pPr>
        <w:pStyle w:val="Heading2"/>
      </w:pPr>
      <w:r>
        <w:t>1.1 编写目的</w:t>
      </w:r>
    </w:p>
    <w:p>
      <w:r>
        <w:rPr>
          <w:b w:val="0"/>
        </w:rPr>
        <w:t>把原方案的能力描述转化为可设计、可开发、可测试的需求，明确每类页面的组成、字段、动作、权限、业务规则和异常反馈。页面不仅需要功能完整，还必须具备统一的视觉秩序：布局对齐、层级清晰、留白适度、信息密度一致，采用Ant Design原生组件与主题机制，不另造一套外观相似但行为不同的组件体系。</w:t>
      </w:r>
    </w:p>
    <w:p>
      <w:r>
        <w:rPr>
          <w:b w:val="0"/>
        </w:rPr>
        <w:t>本说明书不等于详细数据库设计、密码算法实现方案或第三方接口合同。它规定产品必须达到的行为和边界，由技术设计进一步落实存储、加密、部署和接口实现。</w:t>
      </w:r>
    </w:p>
    <w:p>
      <w:pPr>
        <w:pStyle w:val="Heading2"/>
      </w:pPr>
      <w:r>
        <w:t>1.2 需求来源与标识</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标识</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含义</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适用规则</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S｜原方案</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附件明确描述的业务能力</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模块标题后给出原方案章节及附件物理页码，便于逐项追溯</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U｜用户要求</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本次明确提出的前端与视觉要求</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使用最新稳定React和Ant Design，遵循Ant Design设计体系，页面美观工整</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D｜产品细化</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为实施补充的页面、字段、状态、规则、指标</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除明确引用的S/U/T外，本文具体路由、默认值、长度、流程和验收阈值均属D，按评审稿执行</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T｜技术更新</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针对最新框架或安全规范调整的实现要求</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不冒充原方案内容；差异集中记录于第12章</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C｜待确认</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原文未明确且不能擅自确定的条件</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记录决策人类别、影响和关闭条件，不以假数据或默认放行绕过</w:t>
            </w:r>
          </w:p>
        </w:tc>
      </w:tr>
    </w:tbl>
    <w:p>
      <w:pPr>
        <w:spacing w:after="40"/>
      </w:pPr>
    </w:p>
    <w:p>
      <w:r>
        <w:rPr>
          <w:b w:val="0"/>
        </w:rPr>
        <w:t>优先级P0表示核心闭环及上线安全前提；P1表示原方案完整能力与效率优化；P2表示依赖外部供应商或专项集成的能力。此优先级为实施建议，不代表从产品范围删除P1/P2。原方案所有功能均在第14章映射。</w:t>
      </w:r>
    </w:p>
    <w:p>
      <w:r>
        <w:rPr>
          <w:b w:val="0"/>
        </w:rPr>
        <w:t>页面ID采用A（政企认证）、G（政企管理）、P（公众认证）、C（公众管理）。同一页面内的编辑抽屉、详情页签、结果弹窗不重复建立业务模块。验收编号采用AC，通用交互采用UI，业务约束采用BR。</w:t>
      </w:r>
    </w:p>
    <w:p>
      <w:pPr>
        <w:pStyle w:val="Heading2"/>
      </w:pPr>
      <w:r>
        <w:t>1.3 经核查的技术版本</w:t>
      </w:r>
    </w:p>
    <w:tbl>
      <w:tblPr>
        <w:tblW w:type="auto" w:w="0"/>
        <w:jc w:val="center"/>
        <w:tblLayout w:type="fixed"/>
        <w:tblLook w:firstColumn="1" w:firstRow="1" w:lastColumn="0" w:lastRow="0" w:noHBand="0" w:noVBand="1" w:val="04A0"/>
      </w:tblPr>
      <w:tblGrid>
        <w:gridCol w:w="1701"/>
        <w:gridCol w:w="3685"/>
        <w:gridCol w:w="4252"/>
      </w:tblGrid>
      <w:tr>
        <w:trPr>
          <w:cantSplit/>
          <w:tblHeader/>
        </w:trPr>
        <w:tc>
          <w:tcPr>
            <w:tcW w:type="dxa" w:w="1701"/>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项目</w:t>
            </w:r>
          </w:p>
        </w:tc>
        <w:tc>
          <w:tcPr>
            <w:tcW w:type="dxa" w:w="3685"/>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本次版本基线</w:t>
            </w:r>
          </w:p>
        </w:tc>
        <w:tc>
          <w:tcPr>
            <w:tcW w:type="dxa" w:w="4252"/>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使用约束</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React、React DOM</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19.3.0，官方版本页记录发布于2026-09-09</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两者使用相同精确版本；不使用Canary、Beta、RC作为生产基线</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Ant Design</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antd 6.6.5，官方更新日志记录发布于2026-09-20</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按6.x当前API开发，不直接套用4.x/5.x模板</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Ant Design Icons</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使用与antd 6兼容的6.x版本</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精确版本在工程初始化时核查并锁定，不在本文编造补丁号</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TypeScript及构建工具</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TypeScript严格类型检查；构建工具由工程设计选定</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原方案未指定；不得因使用某脚手架引入第二套基础UI库</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依赖冻结</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初始化日复核官方稳定版本后形成锁文件</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“最新”不等于每次部署自动升级；版本变化先做兼容及视觉回归</w:t>
            </w:r>
          </w:p>
        </w:tc>
      </w:tr>
    </w:tbl>
    <w:p>
      <w:pPr>
        <w:spacing w:after="40"/>
      </w:pPr>
    </w:p>
    <w:p>
      <w:r>
        <w:rPr>
          <w:b w:val="0"/>
        </w:rPr>
        <w:t>核查依据：</w:t>
      </w:r>
      <w:hyperlink r:id="rId11">
        <w:r>
          <w:rPr>
            <w:color w:val="1677FF"/>
          </w:rPr>
          <w:t>React Versions</w:t>
        </w:r>
      </w:hyperlink>
      <w:r>
        <w:rPr>
          <w:b w:val="0"/>
        </w:rPr>
        <w:t>、</w:t>
      </w:r>
      <w:hyperlink r:id="rId12">
        <w:r>
          <w:rPr>
            <w:color w:val="1677FF"/>
          </w:rPr>
          <w:t>Ant Design Changelog</w:t>
        </w:r>
      </w:hyperlink>
      <w:r>
        <w:rPr>
          <w:b w:val="0"/>
        </w:rPr>
        <w:t>、</w:t>
      </w:r>
      <w:hyperlink r:id="rId13">
        <w:r>
          <w:rPr>
            <w:color w:val="1677FF"/>
          </w:rPr>
          <w:t>Ant Design v6迁移说明</w:t>
        </w:r>
      </w:hyperlink>
      <w:r>
        <w:rPr>
          <w:b w:val="0"/>
        </w:rPr>
        <w:t>，核查日2026-09-26。antd 6支持React 18及以上；本项目不安装仅用于antd 5的React 19兼容补丁。</w:t>
      </w:r>
    </w:p>
    <w:p>
      <w:pPr>
        <w:pStyle w:val="Heading2"/>
      </w:pPr>
      <w:r>
        <w:t>1.4 阅读路径</w:t>
      </w:r>
    </w:p>
    <w:p>
      <w:r>
        <w:rPr>
          <w:b w:val="0"/>
        </w:rPr>
        <w:t>产品与业务评审重点阅读第2、3、6—10、14章；设计人员重点阅读第4、5章及各页面规格；开发人员重点阅读第5、10—13章；测试人员以页面验收点、第10章跨模块约束及第14章验收矩阵共同生成用例。</w:t>
      </w:r>
    </w:p>
    <w:p>
      <w:bookmarkStart w:id="2" w:name="ch_2"/>
      <w:pPr>
        <w:pStyle w:val="Heading1"/>
      </w:pPr>
      <w:r>
        <w:t>02　产品定位、范围与角色</w:t>
      </w:r>
      <w:bookmarkEnd w:id="2"/>
    </w:p>
    <w:p>
      <w:pPr>
        <w:pStyle w:val="Heading2"/>
      </w:pPr>
      <w:r>
        <w:t>2.1 产品定位</w:t>
      </w:r>
    </w:p>
    <w:p>
      <w:r>
        <w:rPr>
          <w:b w:val="0"/>
        </w:rPr>
        <w:t>卓鉴统一身份管理平台为业务应用提供统一账户管理、统一身份认证、统一授权管理、统一应用管理、统一审计管理，即原方案的5A能力；同步管理负责机构和用户身份数据向应用流转。目标是形成权威身份信息源，减少多头维护，并使登录、授权、变更和追溯形成闭环。</w:t>
      </w:r>
    </w:p>
    <w:p>
      <w:r>
        <w:rPr>
          <w:b w:val="0"/>
        </w:rPr>
        <w:t>依据：原方案§4.5—4.7，附件第21—23页。原方案第18页总体业务框架图同时表达用户、认证、权限、应用、同步、审计六个中心；本文将“5A能力”和“六个支撑中心”区分，不将两者混为同一分类。</w:t>
      </w:r>
    </w:p>
    <w:p>
      <w:pPr>
        <w:pStyle w:val="Heading2"/>
      </w:pPr>
      <w:r>
        <w:t>2.2 产品边界</w:t>
      </w:r>
    </w:p>
    <w:tbl>
      <w:tblPr>
        <w:tblW w:type="auto" w:w="0"/>
        <w:jc w:val="center"/>
        <w:tblLayout w:type="fixed"/>
        <w:tblLook w:firstColumn="1" w:firstRow="1" w:lastColumn="0" w:lastRow="0" w:noHBand="0" w:noVBand="1" w:val="04A0"/>
      </w:tblPr>
      <w:tblGrid>
        <w:gridCol w:w="1247"/>
        <w:gridCol w:w="2324"/>
        <w:gridCol w:w="3458"/>
        <w:gridCol w:w="2608"/>
      </w:tblGrid>
      <w:tr>
        <w:trPr>
          <w:cantSplit/>
          <w:tblHeader/>
        </w:trPr>
        <w:tc>
          <w:tcPr>
            <w:tcW w:type="dxa" w:w="1247"/>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产品面</w:t>
            </w:r>
          </w:p>
        </w:tc>
        <w:tc>
          <w:tcPr>
            <w:tcW w:type="dxa" w:w="232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使用对象</w:t>
            </w:r>
          </w:p>
        </w:tc>
        <w:tc>
          <w:tcPr>
            <w:tcW w:type="dxa" w:w="345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本次覆盖</w:t>
            </w:r>
          </w:p>
        </w:tc>
        <w:tc>
          <w:tcPr>
            <w:tcW w:type="dxa" w:w="260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不默认包含</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政企侧统一认证中心</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政企办公人员、管理人员、接入应用</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登录、组合认证、密码服务、单点登录和退出</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面向内部员工开放自助注册；原文未要求</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政企侧管理平台</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获得平台管理权限的人员</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总览、应用、组织用户、授权、同步、审计、系统设置、个人中心</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各业务系统实际业务数据的查询和处理</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公众侧统一认证中心</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自然人、法人账户使用者</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注册、登录、密码服务、单点登录、第三方登录适配</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未接入实名服务时自动判定实名通过</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公众侧管理平台</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公众侧管理人员</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概览、应用、自然人、法人、统计、日志、角色成员、安全设置</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将政企侧全部组织、同步、权限组功能无条件复制过去</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集成服务</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上下游身份平台、第三方应用、认证供应商</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标准认证、授权校验、身份查询、同步、日志及适配接口</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保证所有遗留系统无需改造即可接入</w:t>
            </w:r>
          </w:p>
        </w:tc>
      </w:tr>
    </w:tbl>
    <w:p>
      <w:pPr>
        <w:spacing w:after="40"/>
      </w:pPr>
    </w:p>
    <w:p>
      <w:r>
        <w:rPr>
          <w:b w:val="0"/>
        </w:rPr>
        <w:t>原方案明确区分政府侧与公众侧，本文将“政府侧”在页面名称中表述为“政企侧”，业务内容不缩减。两侧可以共享前端工程和基础组件，但身份域、管理权限、数据查询及客户端注册边界必须显式区分。是否物理分库、分实例部署属于C。</w:t>
      </w:r>
    </w:p>
    <w:p>
      <w:pPr>
        <w:pStyle w:val="Heading2"/>
      </w:pPr>
      <w:r>
        <w:t>2.3 角色及管理边界</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角色</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可执行工作</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必须限制的边界</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平台管理人员</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维护被授予的系统功能、机构范围、应用范围</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管理权限由系统角色授予；不是天然可访问所有业务应用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分级管理员</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管理指定区划或单位的机构、人员；在允许时向下委派</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子级范围不得超过上级授权；不可扩展到兄弟或上级机构</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应用管理人员</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维护指定应用配置、角色、资源及用户</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不得管理未授权应用，不得因此获得平台管理员管理权</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审计人员</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在授权范围内查询登录、操作、API及统计信息</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审计查看权与业务编辑权分离；日志不提供直接修改入口</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政企普通用户</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认证、改密、访问已授权应用</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不因拥有统一账号而获得管理后台入口</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公众侧管理人员</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在公众域维护自然人、法人及应用</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不自动获得政企域数据或权限</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自然人、法人账户使用者</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注册、认证和使用已授权的公众服务</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注册成功不等于实名核验通过，也不等于具有法人代表资格</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应用机器身份</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在授权范围调用接口、接收同步</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与自然人用户身份分开，不能用应用密钥模拟管理员登录</w:t>
            </w:r>
          </w:p>
        </w:tc>
      </w:tr>
    </w:tbl>
    <w:p>
      <w:pPr>
        <w:spacing w:after="40"/>
      </w:pPr>
    </w:p>
    <w:p>
      <w:r>
        <w:rPr>
          <w:b w:val="0"/>
        </w:rPr>
        <w:t>依据：原方案§3.2、§5.2.4.1.3、§5.2.8.1、§5.3—5.4。应用管理、审计等为本文建议的职责拆分，可通过自定义系统角色组合实现，不强制写死为不可修改角色。</w:t>
      </w:r>
    </w:p>
    <w:p>
      <w:pPr>
        <w:pStyle w:val="Heading2"/>
      </w:pPr>
      <w:r>
        <w:t>2.4 不做的内容</w:t>
      </w:r>
    </w:p>
    <w:p>
      <w:r>
        <w:rPr>
          <w:b w:val="0"/>
        </w:rPr>
        <w:t>本平台不管理业务数据库中的表、字段、行级数据访问策略，不提供元数据平台业务操作界面；可登记其应用、角色、菜单及按钮权限，并由业务系统执行相应鉴权。人员资源管理不扩展为薪酬、考勤、招聘系统。统计不扩展为通用商业智能平台。原方案提到上游平台及认证厂商集成，本文只规定接入边界，不宣称相关服务已经购买、连通或通过认证。</w:t>
      </w:r>
    </w:p>
    <w:p>
      <w:bookmarkStart w:id="3" w:name="ch_3"/>
      <w:pPr>
        <w:pStyle w:val="Heading1"/>
      </w:pPr>
      <w:r>
        <w:t>03　总体架构与业务闭环</w:t>
      </w:r>
      <w:bookmarkEnd w:id="3"/>
    </w:p>
    <w:p>
      <w:pPr>
        <w:pStyle w:val="Heading2"/>
      </w:pPr>
      <w:r>
        <w:t>3.1 逻辑架构</w:t>
      </w:r>
    </w:p>
    <w:p>
      <w:r>
        <w:rPr>
          <w:b w:val="0"/>
        </w:rPr>
        <w:t>沿用原方案第18—21页的三条集成链路：上游权威身份源向本平台提供身份信息；本平台向下游应用或下级身份平台提供数据同步和认证服务；短信、CA/RA、人脸、微信、支付宝等提供相应认证能力。下级平台上报数据按接口合同接收，不等同于允许任意应用改写权威身份。</w:t>
      </w:r>
    </w:p>
    <w:p>
      <w:r>
        <w:rPr>
          <w:b w:val="0"/>
        </w:rPr>
        <w:t>管理端负责“配置和查看”，认证中心负责“核验和建立会话”，业务应用负责“使用身份和执行业务权限”，同步服务负责“分发变更并记录结果”。不能用管理页面的状态切换替代后端实际生效。</w:t>
      </w:r>
    </w:p>
    <w:tbl>
      <w:tblPr>
        <w:tblW w:type="auto" w:w="0"/>
        <w:jc w:val="center"/>
        <w:tblLayout w:type="fixed"/>
        <w:tblLook w:firstColumn="1" w:firstRow="1" w:lastColumn="0" w:lastRow="0" w:noHBand="0" w:noVBand="1" w:val="04A0"/>
      </w:tblPr>
      <w:tblGrid>
        <w:gridCol w:w="1701"/>
        <w:gridCol w:w="3685"/>
        <w:gridCol w:w="4252"/>
      </w:tblGrid>
      <w:tr>
        <w:trPr>
          <w:cantSplit/>
          <w:tblHeader/>
        </w:trPr>
        <w:tc>
          <w:tcPr>
            <w:tcW w:type="dxa" w:w="1701"/>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中心</w:t>
            </w:r>
          </w:p>
        </w:tc>
        <w:tc>
          <w:tcPr>
            <w:tcW w:type="dxa" w:w="3685"/>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核心对象</w:t>
            </w:r>
          </w:p>
        </w:tc>
        <w:tc>
          <w:tcPr>
            <w:tcW w:type="dxa" w:w="4252"/>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对外结果</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用户中心</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用户、机构、任职、条线、自然人、法人</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唯一身份标识、归属、状态和受控属性</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认证中心</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登录事务、认证方式、会话、令牌</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认证结果、单点登录、退出结果</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应用中心</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应用、客户端、环境、接入配置</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接入登记、配置版本、连通验证结果</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权限中心</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角色、资源、授权关系、权限组、API权限</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有效权限及其来源、作用域和生效状态</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同步中心</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目标配置、待办队列、同步任务、实体记录</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分发状态、错误原因、重试结果</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审计中心</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登录事件、操作事件、API事件</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可检索证据、趋势和追溯链路</w:t>
            </w:r>
          </w:p>
        </w:tc>
      </w:tr>
    </w:tbl>
    <w:p>
      <w:pPr>
        <w:spacing w:after="40"/>
      </w:pPr>
    </w:p>
    <w:p>
      <w:pPr>
        <w:pStyle w:val="Heading2"/>
      </w:pPr>
      <w:r>
        <w:t>3.2 应用接入闭环</w:t>
      </w:r>
    </w:p>
    <w:p>
      <w:r>
        <w:rPr>
          <w:b w:val="0"/>
        </w:rPr>
        <w:t>创建应用草稿 → 配置基本信息和环境 → 选择接入方式 → 配置回调地址及凭据 → 接入测试 → 登记资源和角色 → 配置用户/机构同步范围 → 授权用户 → 验证登录及权限 → 启用应用。</w:t>
      </w:r>
    </w:p>
    <w:p>
      <w:r>
        <w:rPr>
          <w:b w:val="0"/>
        </w:rPr>
        <w:t>接入测试与应用启用分离。测试通过只能证明已测试的链路，不能证明全部角色和接口均正确。启用前至少确认回调校验、未授权用户拒绝、禁用账号拒绝、退出或令牌失效策略。测试失败保留草稿，不生成“已上线”状态。</w:t>
      </w:r>
    </w:p>
    <w:p>
      <w:pPr>
        <w:pStyle w:val="Heading2"/>
      </w:pPr>
      <w:r>
        <w:t>3.3 人员全生命周期闭环</w:t>
      </w:r>
    </w:p>
    <w:p>
      <w:r>
        <w:rPr>
          <w:b w:val="0"/>
        </w:rPr>
        <w:t>创建或接收上游用户 → 指定主职与其他任职 → 赋予应用访问资格和角色 → 同步身份数据 → 记录授权和同步结果 → 任职变更触发履历及权限重算 → 停用时阻断认证并回收会话 → 按下游能力同步停用 → 保留历史审计。</w:t>
      </w:r>
    </w:p>
    <w:p>
      <w:r>
        <w:rPr>
          <w:b w:val="0"/>
        </w:rPr>
        <w:t>用户、任职和授权是独立对象。调动不应创建第二个用户；同一人在不同机构的排序随任职保存。上游权威字段默认只读并显示来源，本地扩展字段可按权限编辑。确需本地覆盖上游字段时应另定治理规则，不能静默覆盖。</w:t>
      </w:r>
    </w:p>
    <w:p>
      <w:pPr>
        <w:pStyle w:val="Heading2"/>
      </w:pPr>
      <w:r>
        <w:t>3.4 授权与回收闭环</w:t>
      </w:r>
    </w:p>
    <w:p>
      <w:r>
        <w:rPr>
          <w:b w:val="0"/>
        </w:rPr>
        <w:t>选择授权视角 → 选择对象和目标应用/角色 → 查看已有来源 → 编辑新增或移除项 → 预览新增、失去和仍保留的有效权限 → 后端校验范围与版本 → 提交 → 显示权限版本及下游传播结果 → 记录审计。</w:t>
      </w:r>
    </w:p>
    <w:p>
      <w:r>
        <w:rPr>
          <w:b w:val="0"/>
        </w:rPr>
        <w:t>“应用授权”“用户授权”“机构授权”是同一授权关系的不同视角，不维护三套相互独立的数据。移除一种来源后，仍通过其他来源持有的权限继续有效，页面必须解释原因。</w:t>
      </w:r>
    </w:p>
    <w:p>
      <w:pPr>
        <w:pStyle w:val="Heading2"/>
      </w:pPr>
      <w:r>
        <w:t>3.5 同步失败恢复闭环</w:t>
      </w:r>
    </w:p>
    <w:p>
      <w:r>
        <w:rPr>
          <w:b w:val="0"/>
        </w:rPr>
        <w:t>变更形成任务 → 按目标应用与依赖顺序入队 → 发送 → 接收确认 → 记录实体成功或失败 → 管理员查看脱敏原因 → 修正配置或数据 → 仅重试失败项 → 保留前后两次执行记录。</w:t>
      </w:r>
    </w:p>
    <w:p>
      <w:r>
        <w:rPr>
          <w:b w:val="0"/>
        </w:rPr>
        <w:t>中止任务仅阻止尚未执行的项目，不自动回滚已成功的下游修改。取消队列中的任务不删除历史证据。以上是对原方案“中止并移除”的实施细化。</w:t>
      </w:r>
    </w:p>
    <w:p>
      <w:pPr>
        <w:pStyle w:val="Heading2"/>
      </w:pPr>
      <w:r>
        <w:t>3.6 公众注册与管理闭环</w:t>
      </w:r>
    </w:p>
    <w:p>
      <w:r>
        <w:rPr>
          <w:b w:val="0"/>
        </w:rPr>
        <w:t>选择自然人或法人注册 → 填写对应信息 → 验证联系方式及必要声明 → 提交 → 创建注册账户 → 按已接入能力完成实名或关系核验 → 返回原业务应用或结果页 → 管理后台查看信息与日志。</w:t>
      </w:r>
    </w:p>
    <w:p>
      <w:r>
        <w:rPr>
          <w:b w:val="0"/>
        </w:rPr>
        <w:t>“注册状态”“账号启停状态”“实名核验状态”“法人关联关系状态”分别存储和展示。原方案未给出完整实名审核、法人代表核验或子账号创建流程，本文保留展示与适配要求，相关扩展在确认供应商和业务规则后实施。</w:t>
      </w:r>
    </w:p>
    <w:p>
      <w:bookmarkStart w:id="4" w:name="ch_4"/>
      <w:pPr>
        <w:pStyle w:val="Heading1"/>
      </w:pPr>
      <w:r>
        <w:t>04　信息架构与页面目录</w:t>
      </w:r>
      <w:bookmarkEnd w:id="4"/>
    </w:p>
    <w:p>
      <w:pPr>
        <w:pStyle w:val="Heading2"/>
      </w:pPr>
      <w:r>
        <w:t>4.1 全局导航</w:t>
      </w:r>
    </w:p>
    <w:p>
      <w:r>
        <w:rPr>
          <w:b w:val="0"/>
        </w:rPr>
        <w:t>政企侧左侧导航保持原方案模块顺序：总览、应用管理、组织架构管理、授权管理、同步管理、审计管理、系统管理。个人中心位于顶部头像菜单。公众侧导航为：概览、应用管理、自然人管理、法人管理、审计管理、日志管理、系统管理。</w:t>
      </w:r>
    </w:p>
    <w:p>
      <w:r>
        <w:rPr>
          <w:b w:val="0"/>
        </w:rPr>
        <w:t>页面只显示当前账号可用菜单。通过URL直接访问无权页面时仍由服务端拒绝并展示403，不以隐藏菜单作为鉴权。具备双域管理资格时顶部可切换“政企侧/公众侧”；不具备资格时不显示切换入口。切换清理上一域查询、选择和缓存。</w:t>
      </w:r>
    </w:p>
    <w:p>
      <w:pPr>
        <w:pStyle w:val="Heading2"/>
      </w:pPr>
      <w:r>
        <w:t>4.2 政企侧页面索引</w:t>
      </w:r>
    </w:p>
    <w:p>
      <w:r>
        <w:rPr>
          <w:b w:val="0"/>
        </w:rPr>
        <w:t>路由为D级建议；</w:t>
      </w:r>
      <w:r>
        <w:rPr>
          <w:rFonts w:ascii="DejaVu Sans Mono" w:hAnsi="DejaVu Sans Mono"/>
          <w:b w:val="0"/>
          <w:sz w:val="17"/>
        </w:rPr>
        <w:t>:id</w:t>
      </w:r>
      <w:r>
        <w:rPr>
          <w:b w:val="0"/>
        </w:rPr>
        <w:t>代表不可变对象ID。权限码是实施命名建议，服务端为权威判定者。</w:t>
      </w:r>
    </w:p>
    <w:tbl>
      <w:tblPr>
        <w:tblW w:type="auto" w:w="0"/>
        <w:jc w:val="center"/>
        <w:tblLayout w:type="fixed"/>
        <w:tblLook w:firstColumn="1" w:firstRow="1" w:lastColumn="0" w:lastRow="0" w:noHBand="0" w:noVBand="1" w:val="04A0"/>
      </w:tblPr>
      <w:tblGrid>
        <w:gridCol w:w="1247"/>
        <w:gridCol w:w="2324"/>
        <w:gridCol w:w="3458"/>
        <w:gridCol w:w="2608"/>
      </w:tblGrid>
      <w:tr>
        <w:trPr>
          <w:cantSplit/>
          <w:tblHeader/>
        </w:trPr>
        <w:tc>
          <w:tcPr>
            <w:tcW w:type="dxa" w:w="1247"/>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页面ID</w:t>
            </w:r>
          </w:p>
        </w:tc>
        <w:tc>
          <w:tcPr>
            <w:tcW w:type="dxa" w:w="232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页面或工作区</w:t>
            </w:r>
          </w:p>
        </w:tc>
        <w:tc>
          <w:tcPr>
            <w:tcW w:type="dxa" w:w="345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建议路由</w:t>
            </w:r>
          </w:p>
        </w:tc>
        <w:tc>
          <w:tcPr>
            <w:tcW w:type="dxa" w:w="260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模板 / 优先级</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A01—A05</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登录、二次验证、找回、改密、认证结果</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/auth/workforce/*</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认证模板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G01</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总览</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/console/workforce/overview</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概览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G02—G03</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应用列表、接入向导与详情</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/console/workforce/apps[/:id]</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列表+详情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G04—G07</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应用角色、资源、用户、设置</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/console/workforce/apps/:id/*</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详情页签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G08—G10</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组织用户工作区、用户详情、机构编辑</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/console/workforce/organization</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树表+详情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G11</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分级管理员</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/console/workforce/delegates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列表+授权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G12—G14</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条线、职务岗位字典、扩展字段</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/console/workforce/org-settings/*</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配置 / P1</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G15—G17</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应用授权、用户授权、机构授权</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/console/workforce/grants/*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授权工作区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G18</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权限组</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/console/workforce/permission-groups</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列表+详情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G19—G20</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API授权应用、API授权用户</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/console/workforce/api-grants/*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列表+选择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G21</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同步配置</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/console/workforce/sync/configs</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列表+配置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G22—G23</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同步用户、同步机构</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/console/workforce/sync/entities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状态列表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G24—G25</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同步任务、同步记录</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/console/workforce/sync/tasks[/:id]</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任务列表+详情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G26—G28</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操作/API日志、登录日志、统计分析</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/console/workforce/audit/*</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日志+统计 / P0/P1</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G29—G30</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管理员、系统角色</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/console/workforce/system/access/*</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列表+权限配置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G31—G35</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账号安全、SSO、字段加密、API访问、品牌设置</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/console/workforce/system/settings/*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分组设置 / P0/P1</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G36—G37</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账号解锁、个人中心</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/console/workforce/locked-accounts；/profile</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 / P0；详情 / P1</w:t>
            </w:r>
          </w:p>
        </w:tc>
      </w:tr>
    </w:tbl>
    <w:p>
      <w:pPr>
        <w:spacing w:after="40"/>
      </w:pPr>
    </w:p>
    <w:p>
      <w:pPr>
        <w:pStyle w:val="Heading2"/>
      </w:pPr>
      <w:r>
        <w:t>4.3 公众侧页面索引</w:t>
      </w:r>
    </w:p>
    <w:tbl>
      <w:tblPr>
        <w:tblW w:type="auto" w:w="0"/>
        <w:jc w:val="center"/>
        <w:tblLayout w:type="fixed"/>
        <w:tblLook w:firstColumn="1" w:firstRow="1" w:lastColumn="0" w:lastRow="0" w:noHBand="0" w:noVBand="1" w:val="04A0"/>
      </w:tblPr>
      <w:tblGrid>
        <w:gridCol w:w="1247"/>
        <w:gridCol w:w="2324"/>
        <w:gridCol w:w="3458"/>
        <w:gridCol w:w="2608"/>
      </w:tblGrid>
      <w:tr>
        <w:trPr>
          <w:cantSplit/>
          <w:tblHeader/>
        </w:trPr>
        <w:tc>
          <w:tcPr>
            <w:tcW w:type="dxa" w:w="1247"/>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页面ID</w:t>
            </w:r>
          </w:p>
        </w:tc>
        <w:tc>
          <w:tcPr>
            <w:tcW w:type="dxa" w:w="232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页面或工作区</w:t>
            </w:r>
          </w:p>
        </w:tc>
        <w:tc>
          <w:tcPr>
            <w:tcW w:type="dxa" w:w="345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建议路由</w:t>
            </w:r>
          </w:p>
        </w:tc>
        <w:tc>
          <w:tcPr>
            <w:tcW w:type="dxa" w:w="260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模板 / 优先级</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P01</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自然人/法人登录</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/auth/public/login</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认证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P02—P03</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自然人注册、法人注册</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/auth/public/register/*</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分步表单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P04</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找回与修改密码</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/auth/public/password/*</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认证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C01</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公众侧概览</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/console/public/overview</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概览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C02</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公众侧应用管理</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/console/public/apps[/:id]</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列表+配置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C03—C04</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自然人列表与详情、法人列表与详情</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/console/public/persons[/:id]；/entities[/:id]</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列表+详情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C05</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公众侧审计统计</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/console/public/audit</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统计 / P1</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C06</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单点登录、操作、API日志</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/console/public/logs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日志 / P0</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C07—C08</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公众侧成员、系统角色</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/console/public/system/access/*</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列表+授权 / P0</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C09</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公众侧安全及登录窗口设置</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/console/public/system/settings</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配置 / P0</w:t>
            </w:r>
          </w:p>
        </w:tc>
      </w:tr>
    </w:tbl>
    <w:p>
      <w:pPr>
        <w:spacing w:after="40"/>
      </w:pPr>
    </w:p>
    <w:p>
      <w:r>
        <w:rPr>
          <w:b w:val="0"/>
        </w:rPr>
        <w:t>公众侧认证也使用A02、A05定义的通用二次验证和结果组件，但使用公众域上下文；不共用后台管理会话。法人详情的子账号与子账号日志属于C04页签，不增设来源未要求的完整子账号运营模块。</w:t>
      </w:r>
    </w:p>
    <w:p>
      <w:bookmarkStart w:id="5" w:name="ch_5"/>
      <w:pPr>
        <w:pStyle w:val="Heading1"/>
      </w:pPr>
      <w:r>
        <w:t>05　统一设计规范与交互规范</w:t>
      </w:r>
      <w:bookmarkEnd w:id="5"/>
    </w:p>
    <w:p>
      <w:pPr>
        <w:pStyle w:val="Heading2"/>
      </w:pPr>
      <w:r>
        <w:t>5.1 设计目标及实施边界</w:t>
      </w:r>
    </w:p>
    <w:p>
      <w:r>
        <w:rPr>
          <w:b w:val="0"/>
        </w:rPr>
        <w:t>UI-01：整体呈现浅色、清晰、克制的企业级管理系统。白色内容容器置于浅灰页面底色；主色使用Ant Design默认蓝色体系；主要依靠文字层级、空间、分组和状态表达重要性。禁止将身份管理后台设计成霓虹大屏、重渐变展示站或大量装饰卡片的营销页面。</w:t>
      </w:r>
    </w:p>
    <w:p>
      <w:r>
        <w:rPr>
          <w:b w:val="0"/>
        </w:rPr>
        <w:t>UI-02：Ant Design提供设计语言、主题机制及组件行为，并不规定本项目每个侧栏必须多少像素。下文侧栏宽度、页面留白、表单列数等是遵循其原则选择的项目统一规格，而非假称官方强制值。未被本文覆盖的基础控件细节以当前稳定版Ant Design官方组件文档为准。</w:t>
      </w:r>
    </w:p>
    <w:p>
      <w:r>
        <w:rPr>
          <w:b w:val="0"/>
        </w:rPr>
        <w:t>设计依据：</w:t>
      </w:r>
      <w:hyperlink r:id="rId14">
        <w:r>
          <w:rPr>
            <w:color w:val="1677FF"/>
          </w:rPr>
          <w:t>Ant Design布局</w:t>
        </w:r>
      </w:hyperlink>
      <w:r>
        <w:rPr>
          <w:b w:val="0"/>
        </w:rPr>
        <w:t>、</w:t>
      </w:r>
      <w:hyperlink r:id="rId15">
        <w:r>
          <w:rPr>
            <w:color w:val="1677FF"/>
          </w:rPr>
          <w:t>字体规范</w:t>
        </w:r>
      </w:hyperlink>
      <w:r>
        <w:rPr>
          <w:b w:val="0"/>
        </w:rPr>
        <w:t>、</w:t>
      </w:r>
      <w:hyperlink r:id="rId16">
        <w:r>
          <w:rPr>
            <w:color w:val="1677FF"/>
          </w:rPr>
          <w:t>主题定制</w:t>
        </w:r>
      </w:hyperlink>
      <w:r>
        <w:rPr>
          <w:b w:val="0"/>
        </w:rPr>
        <w:t>。这些依据用于基础体系；本项目具体排版和业务交互按以下UI编号验收。</w:t>
      </w:r>
    </w:p>
    <w:p>
      <w:pPr>
        <w:pStyle w:val="Heading2"/>
      </w:pPr>
      <w:r>
        <w:t>5.2 色彩与Design Token</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项目</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项目采用方式</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使用要求</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主色</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默认colorPrimary，基线#1677ff</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主按钮、链接、选中导航、关键交互，不作为所有标题背景</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成功/警告/错误</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colorSuccess、colorWarning、colorError</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使用Tag/Badge/Alert语义，并同时显示文字；不只靠颜色区分</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页面与容器</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colorBgLayout、colorBgContainer</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浅灰背景、白色内容区，避免各模块自行调不同灰色</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文本层级</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colorText、colorTextSecondary、colorTextTertiary</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主信息、解释、辅助信息三级；不可用低对比度文字承载关键数值</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边框与圆角</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colorBorderSecondary、borderRadius及组件Token</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继承组件默认规则；容器与控件不得统一强改成大胶囊圆角</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阴影</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继承浮层组件默认阴影</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常规列表不靠厚重阴影分隔；浮层与底层的层级清楚</w:t>
            </w:r>
          </w:p>
        </w:tc>
      </w:tr>
    </w:tbl>
    <w:p>
      <w:pPr>
        <w:spacing w:after="40"/>
      </w:pPr>
    </w:p>
    <w:p>
      <w:r>
        <w:rPr>
          <w:b w:val="0"/>
        </w:rPr>
        <w:t>UI-03：全局主题仅由ConfigProvider集中配置；业务容器通过theme.useToken消费主题值。禁止散落硬编码颜色，禁止通过全局</w:t>
      </w:r>
      <w:r>
        <w:rPr>
          <w:rFonts w:ascii="DejaVu Sans Mono" w:hAnsi="DejaVu Sans Mono"/>
          <w:b w:val="0"/>
          <w:sz w:val="17"/>
        </w:rPr>
        <w:t>.ant-*</w:t>
      </w:r>
      <w:r>
        <w:rPr>
          <w:b w:val="0"/>
        </w:rPr>
        <w:t>选择器修改所有按钮、输入框或表格。确有差异时使用组件Token或公开的语义化styles/classNames，并记录理由。</w:t>
      </w:r>
    </w:p>
    <w:p>
      <w:r>
        <w:rPr>
          <w:b w:val="0"/>
        </w:rPr>
        <w:t>UI-04：首版只承诺统一浅色主题。深色/紧凑主题可作为独立配置评估，不因组件支持就默认扩展交付范围。品牌Logo和名称可设置，不能让运营配置破坏核心组件风格和状态语义。</w:t>
      </w:r>
    </w:p>
    <w:p>
      <w:pPr>
        <w:pStyle w:val="Heading2"/>
      </w:pPr>
      <w:r>
        <w:t>5.3 尺寸、栅格与对齐</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元素</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本项目统一规格</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响应或例外</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顶部栏</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高64px，品牌左对齐，工具右对齐</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只保留域标识、必要帮助和账号入口，不堆叠多个工具条</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左侧导航</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展开240px，折叠80px</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窄屏可折叠；菜单选中态、展开态使用原生Menu</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内容外边距</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宽屏24px</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窄桌面16px；移动认证页16px</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内容区布局</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24列Row/Col或等价弹性布局</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不用绝对定位拼接表单和列表；列间距统一16/24px</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间距刻度</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4、8、12、16、24、32、48px</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相同层级固定一档；禁止同排卡片间距随机变化</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字体</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继承Ant Design系统字体栈，正文14px</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页面标题20px，区块标题16px，辅助信息12px；主要信息不缩小迁就布局</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表单控件</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常规controlHeight 32px</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登录表单采用大号40px；不要混用多种高度</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普通表单</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详情配置内容推荐最大960px</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长页面不拉满1920px导致视线分散；宽授权表格可占满</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双栏树表</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树区域建议280px，其余为主内容</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树面板内部滚动；主内容不得被树的超长名称挤出</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详情抽屉</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优先使用Drawer大号736px</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短表单可采用560px项目规格；窄屏不超过视口减两侧留白</w:t>
            </w:r>
          </w:p>
        </w:tc>
      </w:tr>
    </w:tbl>
    <w:p>
      <w:pPr>
        <w:spacing w:after="40"/>
      </w:pPr>
    </w:p>
    <w:p>
      <w:r>
        <w:rPr>
          <w:b w:val="0"/>
        </w:rPr>
        <w:t>UI-05：页面标题、筛选区首字段、列表首列内容形成稳定的左侧对齐线。按钮与所属区域右边界对齐。页内不同时出现多个近似但不相等的容器边距。</w:t>
      </w:r>
    </w:p>
    <w:p>
      <w:r>
        <w:rPr>
          <w:b w:val="0"/>
        </w:rPr>
        <w:t>UI-06：原生Table采用medium密度，确有高密度场景才统一使用small。行高由字体、行高和单元格内边距自然形成，不能为凑固定像素压缩文字或遮挡第二行。列表中头像、状态、操作保持垂直居中。</w:t>
      </w:r>
    </w:p>
    <w:p>
      <w:pPr>
        <w:pStyle w:val="Heading2"/>
      </w:pPr>
      <w:r>
        <w:t>5.4 页面模板</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模板</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自上而下结构</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主要Ant Design组件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概览</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页面标题和时间口径 → 核心指标 → 趋势/排行 → 必要异常摘要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Typography、Card、Statistic、Row/Col、Table、Alert</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筛选列表</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标题/说明 → 筛选区 → 工具栏 → 表格 → 分页</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Form、Input、Select、DatePicker、Space、Table</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组织工作区</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标题 → 左树右表 → 按对象打开详情或编辑</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Tree、Input.Search、Table、Drawer、Descriptions</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对象详情</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返回入口+对象标题/状态 → 对象摘要 → Tabs → 当前页签操作</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Breadcrumb、Typography、Tag、Descriptions、Tabs</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授权工作区</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对象选择 → 已有权限及来源 → 本次变更 → 影响预览 → 提交</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Tree/Select、Table、Checkbox、Alert、Modal</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分步接入</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标题 → Steps → 当前步骤表单 → 上一步/下一步/保存草稿</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Steps、Form、Result、Button</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系统设置</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标题/说明 → 设置分组 → 当前配置 → 页尾保存</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Tabs、Form、Switch、InputNumber、Alert</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认证与注册</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品牌 → 身份/方式切换 → 表单 → 错误/帮助 → 必要声明</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Typography、Tabs、Form、Input.Password、Button、Result</w:t>
            </w:r>
          </w:p>
        </w:tc>
      </w:tr>
    </w:tbl>
    <w:p>
      <w:pPr>
        <w:spacing w:after="40"/>
      </w:pPr>
    </w:p>
    <w:p>
      <w:r>
        <w:rPr>
          <w:b w:val="0"/>
        </w:rPr>
        <w:t>UI-07：模板结构统一，不等于每个页面强行增加四张指标卡。没有支撑用户任务的图表、卡片或欢迎语不添加。复杂业务差异通过内容和状态表达，不通过一页一个视觉风格表达。</w:t>
      </w:r>
    </w:p>
    <w:p>
      <w:pPr>
        <w:pStyle w:val="Heading2"/>
      </w:pPr>
      <w:r>
        <w:t>5.5 列表、查询与批量操作</w:t>
      </w:r>
    </w:p>
    <w:p>
      <w:r>
        <w:rPr>
          <w:b w:val="0"/>
        </w:rPr>
        <w:t>UI-08：默认筛选区最多两行；高频条件展开，低频条件放“展开筛选”。文本输入回车触发查询；下拉变更后统一由“查询”执行，除非页面明确采用即时筛选并全页一致。重置恢复页面默认条件和第一页，不清除系统限定的管理范围。</w:t>
      </w:r>
    </w:p>
    <w:p>
      <w:r>
        <w:rPr>
          <w:b w:val="0"/>
        </w:rPr>
        <w:t>UI-09：表格文本左对齐，数量和金额类数值右对齐，日期时间格式一致；状态列用文字+Tag/Badge。名称过长显示省略及可访问的完整信息，不截断唯一标识的可复制内容。空值使用“—”，真实0显示“0”；未获取成功不能显示0冒充正常。</w:t>
      </w:r>
    </w:p>
    <w:p>
      <w:r>
        <w:rPr>
          <w:b w:val="0"/>
        </w:rPr>
        <w:t>UI-10：业务名称可进入详情；操作列最多展示两个高频文本动作，其他进入Dropdown。危险操作不与“查看”使用同一含义的图标。操作列使用当前版固定列能力，不通过绝对定位覆盖数据。</w:t>
      </w:r>
    </w:p>
    <w:p>
      <w:r>
        <w:rPr>
          <w:b w:val="0"/>
        </w:rPr>
        <w:t>UI-11：分页默认20条，可选20/50/100，为项目建议。分页、筛选、排序由服务端完成；计数限定在用户可见范围内。返回列表恢复搜索条件和页码；数据删除导致当前页为空时回退至最后有效页。</w:t>
      </w:r>
    </w:p>
    <w:p>
      <w:r>
        <w:rPr>
          <w:b w:val="0"/>
        </w:rPr>
        <w:t>UI-12：批量操作明确“已选N项”。允许跨页选择时必须持久化所选ID并明确跨页；更换身份域、应用或筛选条件时清空选择并提示。不把“全选本页”解释为全部结果；批量提交前显示数量、目标和不可操作项，部分失败显示逐项原因及重试入口。</w:t>
      </w:r>
    </w:p>
    <w:p>
      <w:pPr>
        <w:pStyle w:val="Heading2"/>
      </w:pPr>
      <w:r>
        <w:t>5.6 表单与编辑规则</w:t>
      </w:r>
    </w:p>
    <w:p>
      <w:r>
        <w:rPr>
          <w:b w:val="0"/>
        </w:rPr>
        <w:t>UI-13：普通编辑使用垂直标签Form布局；短字段可双列，说明、URL、复杂选择占整行。必填项统一标识，提示放在字段下方或Tooltip，不用占位符代替标签。相同字段在创建、编辑和筛选中使用同一名称。</w:t>
      </w:r>
    </w:p>
    <w:p>
      <w:r>
        <w:rPr>
          <w:b w:val="0"/>
        </w:rPr>
        <w:t>UI-14：字段校验分为即时格式校验、提交前校验和服务端业务校验。错误紧邻对应字段；首次提交错误滚动并聚焦首个错误。唯一性校验以保存时服务端结果为准，异步预校验不是最终通过证明。保存失败保留非敏感输入。</w:t>
      </w:r>
    </w:p>
    <w:p>
      <w:r>
        <w:rPr>
          <w:b w:val="0"/>
        </w:rPr>
        <w:t>UI-15：每个动作区域只保留一个主要动作。例如列表工具栏主按钮为“新建应用”，筛选区可有独立“查询”动作，不机械禁止两个区域各自拥有主动作。抽屉/弹窗页脚统一“取消”和“保存”；危险操作使用明确动词，不只写“确定”。</w:t>
      </w:r>
    </w:p>
    <w:p>
      <w:r>
        <w:rPr>
          <w:b w:val="0"/>
        </w:rPr>
        <w:t>UI-16：有未保存改动时，返回、切换页签或关闭抽屉需询问是否放弃。保存按钮请求中进入loading并防重复提交。并发编辑返回版本冲突时，提示“内容已被其他管理员更新，请刷新后重新修改”，不覆盖他人结果。</w:t>
      </w:r>
    </w:p>
    <w:p>
      <w:pPr>
        <w:pStyle w:val="Heading2"/>
      </w:pPr>
      <w:r>
        <w:t>5.7 抽屉、弹窗与提示</w:t>
      </w:r>
    </w:p>
    <w:p>
      <w:r>
        <w:rPr>
          <w:b w:val="0"/>
        </w:rPr>
        <w:t>使用Drawer完成保留列表上下文的编辑/详情；跨应用、大量对象和多步授权使用独立页面。Modal用于短表单、确认和结果，不把长资源树塞进窄弹窗。不连续叠加两个业务抽屉，确需二次选择时采用选择弹窗且能清楚返回。</w:t>
      </w:r>
    </w:p>
    <w:p>
      <w:r>
        <w:rPr>
          <w:b w:val="0"/>
        </w:rPr>
        <w:t>UI-17：轻量成功反馈用message；需要持续关注或跳转的异步任务结果用notification；页面内持续问题用Alert；阻断访问或完整结果用Result。错误不得同时以message、Modal和Alert重复轰炸。</w:t>
      </w:r>
    </w:p>
    <w:p>
      <w:r>
        <w:rPr>
          <w:b w:val="0"/>
        </w:rPr>
        <w:t>UI-18：主题上下文通过ConfigProvider → Ant Design App传递；业务反馈使用App.useApp()取得message/modal/notification。Drawer采用当前size接口，销毁隐藏内容使用destroyOnHidden等当前API，不抄用旧版宽高或样式属性。依据：</w:t>
      </w:r>
      <w:hyperlink r:id="rId17">
        <w:r>
          <w:rPr>
            <w:color w:val="1677FF"/>
          </w:rPr>
          <w:t>Ant Design App</w:t>
        </w:r>
      </w:hyperlink>
      <w:r>
        <w:rPr>
          <w:b w:val="0"/>
        </w:rPr>
        <w:t>、</w:t>
      </w:r>
      <w:hyperlink r:id="rId18">
        <w:r>
          <w:rPr>
            <w:color w:val="1677FF"/>
          </w:rPr>
          <w:t>Drawer</w:t>
        </w:r>
      </w:hyperlink>
      <w:r>
        <w:rPr>
          <w:b w:val="0"/>
        </w:rPr>
        <w:t>、</w:t>
      </w:r>
      <w:hyperlink r:id="rId19">
        <w:r>
          <w:rPr>
            <w:color w:val="1677FF"/>
          </w:rPr>
          <w:t>Modal</w:t>
        </w:r>
      </w:hyperlink>
      <w:r>
        <w:rPr>
          <w:b w:val="0"/>
        </w:rPr>
        <w:t>。</w:t>
      </w:r>
    </w:p>
    <w:p>
      <w:pPr>
        <w:pStyle w:val="Heading2"/>
      </w:pPr>
      <w:r>
        <w:t>5.8 加载、空态和异常状态</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状态</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展示要求</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可执行动作</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页面首次加载</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保留导航与标题，内容区域Skeleton</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不用整屏反复闪烁的“加载授权资料”遮罩</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表格刷新</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保留原表结构，Table loading</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请求期间避免重复提交；已显示数据注明刷新状态</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无业务数据</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Empty说明尚未创建何种对象</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有创建权时提供相应入口，无权时不展示</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查询无结果</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“未找到符合条件的结果”</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重置筛选，不暗示系统没有任何数据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接口失败</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可理解原因+请求追踪号</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重试；不显示堆栈、密钥或数据库错误</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无权限</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403及“当前账号无此页面访问权限”</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返回有权限页面，不显示越权对象信息</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登录过期</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保存安全的返回路径，进入登录</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重登后恢复路径；不恢复密码、验证码</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数据已删除</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明确对象不存在或已不可访问</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返回列表；不继续用旧缓存编辑</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任务部分成功</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成功/失败/未处理数量分开显示</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查看明细、仅重试失败项</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外部服务未配置</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显示“未配置/暂不可用”及管理员处理入口</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不提供看似成功的扫码或人脸结果</w:t>
            </w:r>
          </w:p>
        </w:tc>
      </w:tr>
    </w:tbl>
    <w:p>
      <w:pPr>
        <w:spacing w:after="40"/>
      </w:pPr>
    </w:p>
    <w:p>
      <w:pPr>
        <w:pStyle w:val="Heading2"/>
      </w:pPr>
      <w:r>
        <w:t>5.9 响应式、可访问性与文案</w:t>
      </w:r>
    </w:p>
    <w:p>
      <w:r>
        <w:rPr>
          <w:b w:val="0"/>
        </w:rPr>
        <w:t>UI-19：管理端以1280×720、1440×900、1920×1080作为项目验收视口；公众认证页额外验证375px、390px和768px宽度。小屏认证表单单列，验证码按钮与输入框不互相遮挡。宽表格在表格容器内滚动，不能导致整页横向溢出。</w:t>
      </w:r>
    </w:p>
    <w:p>
      <w:r>
        <w:rPr>
          <w:b w:val="0"/>
        </w:rPr>
        <w:t>UI-20：所有主要动作可用键盘完成，焦点可见；打开浮层后焦点进入浮层，关闭后返回触发位置。图标按钮有可读名称；表单错误关联到字段；状态同时使用文字。正文及关键标签对比度作为专项检查项，不以“用了Ant Design”代替测试。</w:t>
      </w:r>
    </w:p>
    <w:p>
      <w:r>
        <w:rPr>
          <w:b w:val="0"/>
        </w:rPr>
        <w:t>UI-21：界面使用完整、具体的动词短语。例如“停用用户”“撤销应用访问权限”“重试失败项”。显示后台任务时写“任务已提交”，不能写“同步成功”。删除、禁用、移除关系、撤销授权分别表达，不混用。</w:t>
      </w:r>
    </w:p>
    <w:p>
      <w:r>
        <w:rPr>
          <w:b w:val="0"/>
        </w:rPr>
        <w:t>UI-22：视觉验收必须检查长名称、200%缩放、无数据、大量数据、错误、加载、禁用及无权限状态。所有截图使用同一设计基线；项目自有样式的偏差容限为布局位置与间距不超过2px，原生组件内部渲染差异不通过强改CSS消除。</w:t>
      </w:r>
    </w:p>
    <w:p>
      <w:bookmarkStart w:id="6" w:name="ch_6"/>
      <w:pPr>
        <w:pStyle w:val="Heading1"/>
      </w:pPr>
      <w:r>
        <w:t>06　政企侧统一身份认证中心</w:t>
      </w:r>
      <w:bookmarkEnd w:id="6"/>
    </w:p>
    <w:p>
      <w:r>
        <w:rPr>
          <w:b w:val="0"/>
        </w:rPr>
        <w:t>本章对应原方案§5.1及§5.2.1，附件第26—29页。原方案明确提供统一登录页、登录接口、单点登录、密码管理和管理后台登录。以下页面字段、状态与校验为D；协议变更为T，见第12章。</w:t>
      </w:r>
    </w:p>
    <w:p>
      <w:pPr>
        <w:pStyle w:val="Heading2"/>
      </w:pPr>
      <w:r>
        <w:t>6.1 A01｜统一登录与管理端登录</w:t>
      </w:r>
    </w:p>
    <w:p>
      <w:r>
        <w:rPr>
          <w:b/>
        </w:rPr>
        <w:t>目标与入口：</w:t>
      </w:r>
      <w:r>
        <w:rPr>
          <w:b w:val="0"/>
        </w:rPr>
        <w:t xml:space="preserve"> 用户从业务应用发起登录，或访问管理端后跳转至认证中心。两种入口复用视觉组件，但认证事务必须携带并校验不同的目标应用和身份域。管理端登录成功后仍需检查管理权限，普通用户不得进入后台。</w:t>
      </w:r>
    </w:p>
    <w:p>
      <w:r>
        <w:rPr>
          <w:b/>
        </w:rPr>
        <w:t>页面布局：</w:t>
      </w:r>
      <w:r>
        <w:rPr>
          <w:b w:val="0"/>
        </w:rPr>
        <w:t xml:space="preserve"> 桌面可采用左侧品牌说明、右侧登录卡片；背景简洁，不放无关数据可视化。登录卡建议宽400px，内边距32px；移动端隐藏大面积品牌说明。顶部显示系统名称，下方显示“正在登录：已登记应用名称”，应用名称由服务端返回，不能相信URL自由文本。账号密码、短信等方式用Tabs，CA、人脸等仅在已配置且适用于本应用时显示。</w:t>
      </w:r>
    </w:p>
    <w:tbl>
      <w:tblPr>
        <w:tblW w:type="auto" w:w="0"/>
        <w:jc w:val="center"/>
        <w:tblLayout w:type="fixed"/>
        <w:tblLook w:firstColumn="1" w:firstRow="1" w:lastColumn="0" w:lastRow="0" w:noHBand="0" w:noVBand="1" w:val="04A0"/>
      </w:tblPr>
      <w:tblGrid>
        <w:gridCol w:w="1247"/>
        <w:gridCol w:w="2324"/>
        <w:gridCol w:w="3458"/>
        <w:gridCol w:w="2608"/>
      </w:tblGrid>
      <w:tr>
        <w:trPr>
          <w:cantSplit/>
          <w:tblHeader/>
        </w:trPr>
        <w:tc>
          <w:tcPr>
            <w:tcW w:type="dxa" w:w="1247"/>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字段/控件</w:t>
            </w:r>
          </w:p>
        </w:tc>
        <w:tc>
          <w:tcPr>
            <w:tcW w:type="dxa" w:w="232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类型与必填</w:t>
            </w:r>
          </w:p>
        </w:tc>
        <w:tc>
          <w:tcPr>
            <w:tcW w:type="dxa" w:w="345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默认与校验</w:t>
            </w:r>
          </w:p>
        </w:tc>
        <w:tc>
          <w:tcPr>
            <w:tcW w:type="dxa" w:w="2608"/>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安全要求</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账号</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Input，账号方式必填</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去除首尾空白；长度按账户策略</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错误不区分账号不存在或密码错误</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密码</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Input.Password，账号方式必填</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不自动去除空格；不在日志记录</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允许密码管理器填充；不默认勾选长期登录</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手机号</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区号+Input，短信方式必填</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根据已支持地区规则校验</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发码接口防枚举与限流</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验证码</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Input，短信方式必填</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长度、有效期、重发间隔由服务端策略返回</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单次有效；倒计时只是交互，不替代服务端限制</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登录按钮</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主按钮</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表单提交时loading</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同一认证事务重复提交由服务端去重</w:t>
            </w:r>
          </w:p>
        </w:tc>
      </w:tr>
      <w:tr>
        <w:trPr>
          <w:cantSplit/>
        </w:trPr>
        <w:tc>
          <w:tcPr>
            <w:tcW w:type="dxa" w:w="1247"/>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忘记密码</w:t>
            </w:r>
          </w:p>
        </w:tc>
        <w:tc>
          <w:tcPr>
            <w:tcW w:type="dxa" w:w="232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文本链接</w:t>
            </w:r>
          </w:p>
        </w:tc>
        <w:tc>
          <w:tcPr>
            <w:tcW w:type="dxa" w:w="345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跳转A03并保留安全的返回上下文</w:t>
            </w:r>
          </w:p>
        </w:tc>
        <w:tc>
          <w:tcPr>
            <w:tcW w:type="dxa" w:w="2608"/>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不携带密码或验证码</w:t>
            </w:r>
          </w:p>
        </w:tc>
      </w:tr>
      <w:tr>
        <w:trPr>
          <w:cantSplit/>
        </w:trPr>
        <w:tc>
          <w:tcPr>
            <w:tcW w:type="dxa" w:w="1247"/>
            <w:vAlign w:val="center"/>
            <w:tcMar>
              <w:top w:w="85" w:type="dxa"/>
              <w:bottom w:w="85" w:type="dxa"/>
              <w:left w:w="100" w:type="dxa"/>
              <w:right w:w="100" w:type="dxa"/>
            </w:tcMar>
            <w:tcBorders>
              <w:bottom w:val="single" w:sz="3" w:color="E3E8EF"/>
            </w:tcBorders>
          </w:tcPr>
          <w:p>
            <w:pPr>
              <w:spacing w:after="0" w:line="271" w:lineRule="auto"/>
            </w:pPr>
            <w:r>
              <w:rPr>
                <w:b w:val="0"/>
                <w:sz w:val="18"/>
              </w:rPr>
              <w:t>第三方认证入口</w:t>
            </w:r>
          </w:p>
        </w:tc>
        <w:tc>
          <w:tcPr>
            <w:tcW w:type="dxa" w:w="2324"/>
            <w:vAlign w:val="center"/>
            <w:tcMar>
              <w:top w:w="85" w:type="dxa"/>
              <w:bottom w:w="85" w:type="dxa"/>
              <w:left w:w="100" w:type="dxa"/>
              <w:right w:w="100" w:type="dxa"/>
            </w:tcMar>
            <w:tcBorders>
              <w:bottom w:val="single" w:sz="3" w:color="E3E8EF"/>
            </w:tcBorders>
          </w:tcPr>
          <w:p>
            <w:pPr>
              <w:spacing w:after="0" w:line="271" w:lineRule="auto"/>
            </w:pPr>
            <w:r>
              <w:rPr>
                <w:b w:val="0"/>
                <w:sz w:val="18"/>
              </w:rPr>
              <w:t>图标+名称</w:t>
            </w:r>
          </w:p>
        </w:tc>
        <w:tc>
          <w:tcPr>
            <w:tcW w:type="dxa" w:w="3458"/>
            <w:vAlign w:val="center"/>
            <w:tcMar>
              <w:top w:w="85" w:type="dxa"/>
              <w:bottom w:w="85" w:type="dxa"/>
              <w:left w:w="100" w:type="dxa"/>
              <w:right w:w="100" w:type="dxa"/>
            </w:tcMar>
            <w:tcBorders>
              <w:bottom w:val="single" w:sz="3" w:color="E3E8EF"/>
            </w:tcBorders>
          </w:tcPr>
          <w:p>
            <w:pPr>
              <w:spacing w:after="0" w:line="271" w:lineRule="auto"/>
            </w:pPr>
            <w:r>
              <w:rPr>
                <w:b w:val="0"/>
                <w:sz w:val="18"/>
              </w:rPr>
              <w:t>仅显示已启用且可用的方式</w:t>
            </w:r>
          </w:p>
        </w:tc>
        <w:tc>
          <w:tcPr>
            <w:tcW w:type="dxa" w:w="2608"/>
            <w:vAlign w:val="center"/>
            <w:tcMar>
              <w:top w:w="85" w:type="dxa"/>
              <w:bottom w:w="85" w:type="dxa"/>
              <w:left w:w="100" w:type="dxa"/>
              <w:right w:w="100" w:type="dxa"/>
            </w:tcMar>
            <w:tcBorders>
              <w:bottom w:val="single" w:sz="3" w:color="E3E8EF"/>
            </w:tcBorders>
          </w:tcPr>
          <w:p>
            <w:pPr>
              <w:spacing w:after="0" w:line="271" w:lineRule="auto"/>
            </w:pPr>
            <w:r>
              <w:rPr>
                <w:b w:val="0"/>
                <w:sz w:val="18"/>
              </w:rPr>
              <w:t>不把模拟认证作为生产结果</w:t>
            </w:r>
          </w:p>
        </w:tc>
      </w:tr>
    </w:tbl>
    <w:p>
      <w:pPr>
        <w:spacing w:after="40"/>
      </w:pPr>
    </w:p>
    <w:p>
      <w:r>
        <w:rPr>
          <w:b/>
        </w:rPr>
        <w:t>处理流程：</w:t>
      </w:r>
      <w:r>
        <w:rPr>
          <w:b w:val="0"/>
        </w:rPr>
        <w:t xml:space="preserve"> 校验表单 → 建立/延续认证事务 → 服务端核验账号状态与凭据 → 需要额外认证时进入A02 → 需要强制改密时进入A04 → 校验目标应用访问资格 → 建立合法会话 → 进入已登记回调链路或管理首页。</w:t>
      </w:r>
    </w:p>
    <w:p>
      <w:r>
        <w:rPr>
          <w:b/>
        </w:rPr>
        <w:t>状态：</w:t>
      </w:r>
      <w:r>
        <w:rPr>
          <w:b w:val="0"/>
        </w:rPr>
        <w:t xml:space="preserve"> 密码错误显示“账号或密码不正确”；被锁定显示可公开的解锁方式或等待时间；停用账号显示联系管理员提示；无管理权限显示“当前账号没有管理平台访问权限”；网络故障可重试。错误时不清空账号，按策略清空密码。验证码过期重新获取，不沿用过期事务。</w:t>
      </w:r>
    </w:p>
    <w:p>
      <w:r>
        <w:rPr>
          <w:b/>
        </w:rPr>
        <w:t>验收：</w:t>
      </w:r>
      <w:r>
        <w:rPr>
          <w:b w:val="0"/>
        </w:rPr>
        <w:t xml:space="preserve"> AC-A01-1，有业务应用权限但无后台权限的用户，无法访问管理路由及其API。AC-A01-2，未登记回调地址被拒绝。AC-A01-3，刷新页面不会跳过MFA或首次改密。AC-A01-4，连续错误触发后端锁定策略，修改前端倒计时无法绕过限制。</w:t>
      </w:r>
    </w:p>
    <w:p>
      <w:pPr>
        <w:pStyle w:val="Heading2"/>
      </w:pPr>
      <w:r>
        <w:t>6.2 A02｜多因子认证</w:t>
      </w:r>
    </w:p>
    <w:p>
      <w:r>
        <w:rPr>
          <w:b w:val="0"/>
        </w:rPr>
        <w:t>原方案支持按应用组合多种认证方式，但未明确组合语法。本文建议以“主认证方式+必须完成的附加校验”表达，不将两个可替代的单因子登录入口误称为多因子认证。</w:t>
      </w:r>
    </w:p>
    <w:p>
      <w:r>
        <w:rPr>
          <w:b w:val="0"/>
        </w:rPr>
        <w:t>页面使用步骤说明、脱敏目标、当前验证表单和“更换验证方式”入口。只展示该账号已绑定且符合策略的备用方式；不得因为短信或人脸服务失败而自动降级为更弱方式。每次验证绑定用户、客户端和认证事务，验证结果不能复用于另一应用事务。</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条件</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处理</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用户反馈</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已具备策略所需的验证要素</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正常进入验证步骤</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显示验证方式与脱敏接收对象</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未绑定必要方式</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阻断并进入受控绑定/联系管理员流程</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不要求用户随意填一个新手机号完成绑定</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外部服务超时</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保留事务可用期限，提供重试或合规备用方式</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明确未完成认证，不显示登录成功</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认证事务过期</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返回A01重建事务</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解释“验证已过期，请重新登录”</w:t>
            </w:r>
          </w:p>
        </w:tc>
      </w:tr>
    </w:tbl>
    <w:p>
      <w:pPr>
        <w:spacing w:after="40"/>
      </w:pPr>
    </w:p>
    <w:p>
      <w:r>
        <w:rPr>
          <w:b/>
        </w:rPr>
        <w:t>验收：</w:t>
      </w:r>
      <w:r>
        <w:rPr>
          <w:b w:val="0"/>
        </w:rPr>
        <w:t xml:space="preserve"> AC-A02-1，删除或修改前端步骤参数不能绕过剩余认证。AC-A02-2，验证码不能跨用户、跨事务使用。AC-A02-3，供应商错误不会被映射为验证通过。</w:t>
      </w:r>
    </w:p>
    <w:p>
      <w:pPr>
        <w:pStyle w:val="Heading2"/>
      </w:pPr>
      <w:r>
        <w:t>6.3 A03｜忘记密码</w:t>
      </w:r>
    </w:p>
    <w:p>
      <w:r>
        <w:rPr>
          <w:b w:val="0"/>
        </w:rPr>
        <w:t>采用Steps三步：确认账号 → 验证身份 → 设置新密码；完成后Result提示返回登录。账号不存在时使用不泄露存在性的统一反馈。身份验证仅使用已绑定的验证方式或已确定的人工流程；不提供任意填手机号接收重置验证码的路径。</w:t>
      </w:r>
    </w:p>
    <w:p>
      <w:r>
        <w:rPr>
          <w:b w:val="0"/>
        </w:rPr>
        <w:t>新密码与确认密码为必填Input.Password，强度要求根据后端策略动态展示；即时显示满足项，不以单一颜色进度条代替说明。密码重置成功后按安全策略撤销既有会话并通知用户；页面说明“请使用新密码重新登录”。未接入短信等找回通道时显示管理员联系方式或受控申请方式，不能显示空壳发码入口。</w:t>
      </w:r>
    </w:p>
    <w:p>
      <w:r>
        <w:rPr>
          <w:b/>
        </w:rPr>
        <w:t>验收：</w:t>
      </w:r>
      <w:r>
        <w:rPr>
          <w:b w:val="0"/>
        </w:rPr>
        <w:t xml:space="preserve"> AC-A03-1，重置凭据一次使用后失效。AC-A03-2，两个新密码不一致不能提交。AC-A03-3，新密码在网络请求之外不写入前端缓存、埋点或日志。AC-A03-4，找回操作不把停用账号重新启用。</w:t>
      </w:r>
    </w:p>
    <w:p>
      <w:pPr>
        <w:pStyle w:val="Heading2"/>
      </w:pPr>
      <w:r>
        <w:t>6.4 A04｜修改密码与强制改密</w:t>
      </w:r>
    </w:p>
    <w:p>
      <w:r>
        <w:rPr>
          <w:b w:val="0"/>
        </w:rPr>
        <w:t>普通改密要求当前密码、新密码和确认密码；首次登录、初始密码或策略到期触发强制改密时，根据服务端的有限认证态执行。强制改密完成前，有限认证态只能访问改密及必要验证接口，不能调用业务接口。</w:t>
      </w:r>
    </w:p>
    <w:p>
      <w:r>
        <w:rPr>
          <w:b w:val="0"/>
        </w:rPr>
        <w:t>页面以Alert解释原因，例如“你正在使用初始密码，请修改后继续”。密码规则不在各页面硬编码，统一读取当前策略。修改成功后是否继续当前认证事务由后端策略确定，其他会话回收规则应明确并写入审计。</w:t>
      </w:r>
    </w:p>
    <w:p>
      <w:r>
        <w:rPr>
          <w:b/>
        </w:rPr>
        <w:t>验收：</w:t>
      </w:r>
      <w:r>
        <w:rPr>
          <w:b w:val="0"/>
        </w:rPr>
        <w:t xml:space="preserve"> AC-A04-1，直接跳转业务路由不能绕过强制改密。AC-A04-2，密码策略变更后，登录、改密和后台重置三个路径执行同一有效策略。</w:t>
      </w:r>
    </w:p>
    <w:p>
      <w:pPr>
        <w:pStyle w:val="Heading2"/>
      </w:pPr>
      <w:r>
        <w:t>6.5 A05｜单点登录、回调与单点退出结果</w:t>
      </w:r>
    </w:p>
    <w:p>
      <w:r>
        <w:rPr>
          <w:b w:val="0"/>
        </w:rPr>
        <w:t>SSO过程通常无需额外操作页；需等待或失败时使用简洁状态页，不展示授权码或令牌。保持原方案“一处登录，访问有权应用”的目的，不能解释为免除应用授权。</w:t>
      </w:r>
    </w:p>
    <w:p>
      <w:r>
        <w:rPr>
          <w:b w:val="0"/>
        </w:rPr>
        <w:t>统一退出分为平台会话终止和下游应用退出通知。前者成功后不得继续使用本平台会话；后者按接入能力记录待处理、成功、失败或不支持。结果页显示“已退出卓鉴统一身份管理平台”，必要时说明某些应用退出状态无法确认，禁止在未确认时宣称“所有应用均已退出”。</w:t>
      </w:r>
    </w:p>
    <w:p>
      <w:r>
        <w:rPr>
          <w:b/>
        </w:rPr>
        <w:t>接口要求：</w:t>
      </w:r>
      <w:r>
        <w:rPr>
          <w:b w:val="0"/>
        </w:rPr>
        <w:t xml:space="preserve"> 对外优先采用授权码+PKCE；需要标准身份声明时采用OIDC扩展。原方案中的第三方密码模式登录接口不作为新接入默认能力，见T-01。认证中心自身验证账号密码的接口不等于对外开放OAuth密码授权模式。</w:t>
      </w:r>
    </w:p>
    <w:p>
      <w:r>
        <w:rPr>
          <w:b/>
        </w:rPr>
        <w:t>验收：</w:t>
      </w:r>
      <w:r>
        <w:rPr>
          <w:b w:val="0"/>
        </w:rPr>
        <w:t xml:space="preserve"> AC-A05-1，授权码过期、重复使用或客户端不匹配时拒绝。AC-A05-2，无应用权限用户即便存在SSO会话也被拒绝。AC-A05-3，退出通知部分失败可追溯，不把失败状态伪装为全部成功。</w:t>
      </w:r>
    </w:p>
    <w:p>
      <w:bookmarkStart w:id="7" w:name="ch_7"/>
      <w:pPr>
        <w:pStyle w:val="Heading1"/>
      </w:pPr>
      <w:r>
        <w:t>07　政企侧管理平台：应用、组织与用户</w:t>
      </w:r>
      <w:bookmarkEnd w:id="7"/>
    </w:p>
    <w:p>
      <w:pPr>
        <w:pStyle w:val="Heading2"/>
      </w:pPr>
      <w:r>
        <w:t>7.1 G01｜总览</w:t>
      </w:r>
    </w:p>
    <w:p>
      <w:r>
        <w:rPr>
          <w:b w:val="0"/>
        </w:rPr>
        <w:t>依据：原方案§5.2.2，附件第29页。</w:t>
      </w:r>
    </w:p>
    <w:p>
      <w:r>
        <w:rPr>
          <w:b/>
        </w:rPr>
        <w:t>页面目标：</w:t>
      </w:r>
      <w:r>
        <w:rPr>
          <w:b w:val="0"/>
        </w:rPr>
        <w:t xml:space="preserve"> 快速了解平台管理规模和近期登录情况，再进入相应对象或日志。顶部显示统计范围、统计时区和最近更新时间；四张同高指标卡展示接入应用数、组织机构总数、用户总数、本月登录次数。下方左侧为近一周登录次数/登录人数趋势，右侧为本月登录排行。建议异常摘要作为D增补，仅展示实际可统计的同步失败等状态，不新增虚构风险评分。</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指标</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建议统计定义</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下钻行为</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接入应用数</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当前域已登记、未删除应用数；启用数可作辅助值</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进入带相同范围的应用列表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组织机构总数</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可见范围内未删除机构数，含停用</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进入组织工作区</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用户总数</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可见范围内不重复userId数量，不因多岗重复计数</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进入用户列表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本月登录次数</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本月成功的登录事件数，后台/业务应用范围显式选择</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进入同口径成功登录日志</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登录人数</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所选时间桶内成功登录的去重用户数</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展示去重口径，不将每日人数相加作为月人数</w:t>
            </w:r>
          </w:p>
        </w:tc>
      </w:tr>
    </w:tbl>
    <w:p>
      <w:pPr>
        <w:spacing w:after="40"/>
      </w:pPr>
    </w:p>
    <w:p>
      <w:r>
        <w:rPr>
          <w:b w:val="0"/>
        </w:rPr>
        <w:t>默认最近7个自然日含今日，本月排行按自然月。图表无数据保持坐标含义并显示说明；统计请求失败显示失败状态，不显示0。禁止无意义3D饼图、过度动画和大面积渐变。图表库属于独立依赖，不是antd内置能力，须验证与当前框架兼容。</w:t>
      </w:r>
    </w:p>
    <w:p>
      <w:r>
        <w:rPr>
          <w:b/>
        </w:rPr>
        <w:t>验收：</w:t>
      </w:r>
      <w:r>
        <w:rPr>
          <w:b w:val="0"/>
        </w:rPr>
        <w:t xml:space="preserve"> AC-G01-1，同一用户在两个岗位不重复增加用户总数。AC-G01-2，指标下钻后的筛选与原指标口径一致。AC-G01-3，机构范围受限管理员看不到全平台数量泄漏。</w:t>
      </w:r>
    </w:p>
    <w:p>
      <w:pPr>
        <w:pStyle w:val="Heading2"/>
      </w:pPr>
      <w:r>
        <w:t>7.2 G02｜应用列表与应用分组</w:t>
      </w:r>
    </w:p>
    <w:p>
      <w:r>
        <w:rPr>
          <w:b w:val="0"/>
        </w:rPr>
        <w:t>依据：原方案§5.2.3.1，附件第29—30页。</w:t>
      </w:r>
    </w:p>
    <w:p>
      <w:r>
        <w:rPr>
          <w:b w:val="0"/>
        </w:rPr>
        <w:t>筛选条件：应用名称/编码、应用分组、接入环境、状态；列表列：应用名称及图标、应用编码、分组、环境、接入方式、状态、更新时间、操作。工具栏“新建应用”为主动作，“管理分组”为次动作。默认表格而非满屏大卡片，保证多应用时能够比较环境与状态。</w:t>
      </w:r>
    </w:p>
    <w:p>
      <w:r>
        <w:rPr>
          <w:b w:val="0"/>
        </w:rPr>
        <w:t>点击名称进入G03；行操作为“配置”“授权”，其余放“更多”：启用/停用、接入测试、删除。新建分组只需名称、编码、说明、排序。删除仍被应用引用的分组时要求先迁移或改为未分组，不能级联删除应用。</w:t>
      </w:r>
    </w:p>
    <w:p>
      <w:r>
        <w:rPr>
          <w:b w:val="0"/>
        </w:rPr>
        <w:t>应用建议生命周期为草稿、启用、停用；接入检测状态另列未检测、通过、失败，避免与生命周期混为一个状态。停用先展示影响：将不能建立该应用新的认证会话，存量访问按既定令牌/会话策略回收；异步回收状态须可见。删除应用需先停用并处理关联授权、同步和历史保留策略，禁止无提示级联删除。</w:t>
      </w:r>
    </w:p>
    <w:p>
      <w:r>
        <w:rPr>
          <w:b/>
        </w:rPr>
        <w:t>验收：</w:t>
      </w:r>
      <w:r>
        <w:rPr>
          <w:b w:val="0"/>
        </w:rPr>
        <w:t xml:space="preserve"> AC-G02-1，应用编码唯一性由服务端保障。AC-G02-2，没有该应用管理权的账号不能查询或修改其密钥。AC-G02-3，分组移除不会删除应用及授权关系。</w:t>
      </w:r>
    </w:p>
    <w:p>
      <w:pPr>
        <w:pStyle w:val="Heading2"/>
      </w:pPr>
      <w:r>
        <w:t>7.3 G03｜应用创建向导及详情</w:t>
      </w:r>
    </w:p>
    <w:p>
      <w:r>
        <w:rPr>
          <w:b/>
        </w:rPr>
        <w:t>布局：</w:t>
      </w:r>
      <w:r>
        <w:rPr>
          <w:b w:val="0"/>
        </w:rPr>
        <w:t xml:space="preserve"> 新建采用独立页面Steps：基本信息 → 接入配置 → 验证与完成；支持保存草稿。应用详情顶部固定显示名称、编码、环境、启停状态，下方Tabs为基本信息、角色、资源、用户、应用设置、同步范围。未配置项明确标注，不通过空表伪装为已完成。</w:t>
      </w:r>
    </w:p>
    <w:p>
      <w:r>
        <w:rPr>
          <w:b w:val="0"/>
        </w:rPr>
        <w:t>以下为D字段规范；接入环境、接入方式、安全密钥、分组及指定机构同步范围来自S。</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必填/类型</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规则及呈现</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应用名称</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是，Input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建议2—100字符；可修改；同名需用编码/环境区分</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应用编码</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建议3—64字符，字母数字及下划线/短横线；创建后不随名称改变</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应用图标</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否，Upload</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支持PNG/JPEG，建议不超过2MB；前后端校验实际格式，拒绝可执行内容</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应用分组</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否，Select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选择已存在分组，不隐式新建</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接入环境</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生产、测试等可配置枚举；不同环境分开凭据和回调</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负责人/联系方式</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否，选择或Input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D补充，用于接入与异常联系；不作为授权依据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访问地址</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是，Input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生产要求HTTPS；不得把任意外链视为可信回调</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接入协议/客户端类型</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区分服务端保密客户端与浏览器公开客户端</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回调地址</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接入时必填，多行输入</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精确登记和匹配；禁止生产任意通配回调；由后端校验</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退出回调/通知地址</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按接入能力，Input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显示已支持的退出能力；未支持则标注</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client_id</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系统生成，只读</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可复制；不能用于证明调用者已被认证</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client_secret</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仅保密客户端存在</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创建/轮换时一次性显示；以后只显示脱敏值和轮换时间</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机构同步范围</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按同步需要，Tree选择</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明确是否包含下级；不代表这些机构用户自动获得应用访问权</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说明</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否，TextArea</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建议最多500字符，不允许HTML脚本</w:t>
            </w:r>
          </w:p>
        </w:tc>
      </w:tr>
    </w:tbl>
    <w:p>
      <w:pPr>
        <w:spacing w:after="40"/>
      </w:pPr>
    </w:p>
    <w:p>
      <w:r>
        <w:rPr>
          <w:b/>
        </w:rPr>
        <w:t>凭据操作：</w:t>
      </w:r>
      <w:r>
        <w:rPr>
          <w:b w:val="0"/>
        </w:rPr>
        <w:t xml:space="preserve"> “轮换密钥”要求敏感操作权限及再次确认；新密钥保存到受控位置。是否支持新旧密钥重叠窗口由接入实现确认，界面不得虚构支持。浏览器公开客户端不显示“生成client_secret”，也不把密钥写入前端构建产物。</w:t>
      </w:r>
    </w:p>
    <w:p>
      <w:r>
        <w:rPr>
          <w:b/>
        </w:rPr>
        <w:t>接入检测：</w:t>
      </w:r>
      <w:r>
        <w:rPr>
          <w:b w:val="0"/>
        </w:rPr>
        <w:t xml:space="preserve"> 显示检测时间、阶段、结果、脱敏原因和请求追踪号；分别检测配置合法性、回调链路和鉴权用例。若测试涉及真实登录，使用明确的测试账户与授权范围，管理员不得“模拟任意用户”。</w:t>
      </w:r>
    </w:p>
    <w:p>
      <w:r>
        <w:rPr>
          <w:b/>
        </w:rPr>
        <w:t>验收：</w:t>
      </w:r>
      <w:r>
        <w:rPr>
          <w:b w:val="0"/>
        </w:rPr>
        <w:t xml:space="preserve"> AC-G03-1，生产回调不合法不能启用。AC-G03-2，密钥详情刷新后不能再次查看明文。AC-G03-3，机构同步范围与应用授权相互独立。AC-G03-4，公开客户端配置不能保存client_secret。</w:t>
      </w:r>
    </w:p>
    <w:p>
      <w:pPr>
        <w:pStyle w:val="Heading2"/>
      </w:pPr>
      <w:r>
        <w:t>7.4 G04｜应用角色管理</w:t>
      </w:r>
    </w:p>
    <w:p>
      <w:r>
        <w:rPr>
          <w:b w:val="0"/>
        </w:rPr>
        <w:t>依据：原方案§5.2.3.2，附件第30页。</w:t>
      </w:r>
    </w:p>
    <w:p>
      <w:r>
        <w:rPr>
          <w:b w:val="0"/>
        </w:rPr>
        <w:t>页签上部搜索角色名称/编码和状态；表格列为角色名称、编码、描述、关联用户数、资源数、状态、更新时间、操作。新增/编辑抽屉字段为角色名称（必填，2—50字符）、角色编码（必填，3—64字符、应用内唯一）、描述（可选500字符）、状态。角色编码创建后只读，修改名称不影响历史引用。</w:t>
      </w:r>
    </w:p>
    <w:p>
      <w:r>
        <w:rPr>
          <w:b w:val="0"/>
        </w:rPr>
        <w:t>“关联用户”展示用户、机构、任职、授权来源，支持新增或移除该角色的直接关联；来自权限组的关联进入来源详情处理，不在此伪装成可直接移除。“资源授权”用可搜索树或树形表格展示菜单/按钮，右侧展示已选数量和变更清单。父菜单选中是否代表全部后代必须显式配置；本项目默认逐项授权，不因半选父节点意外批量增加按钮权限。</w:t>
      </w:r>
    </w:p>
    <w:p>
      <w:r>
        <w:rPr>
          <w:b w:val="0"/>
        </w:rPr>
        <w:t>停用角色不删除授权记录，但角色资源不再参与有效权限计算；恢复时应显示将重新生效的范围。删除有引用的角色需先解除或迁移引用，历史日志保留角色编码快照。</w:t>
      </w:r>
    </w:p>
    <w:p>
      <w:r>
        <w:rPr>
          <w:b/>
        </w:rPr>
        <w:t>验收：</w:t>
      </w:r>
      <w:r>
        <w:rPr>
          <w:b w:val="0"/>
        </w:rPr>
        <w:t xml:space="preserve"> AC-G04-1，应用A角色不能挂接应用B资源。AC-G04-2，停用后相应资源权限失效，其他角色提供的同一权限保留。AC-G04-3，资源授权前后可查看准确差异。</w:t>
      </w:r>
    </w:p>
    <w:p>
      <w:pPr>
        <w:pStyle w:val="Heading2"/>
      </w:pPr>
      <w:r>
        <w:t>7.5 G05｜应用资源管理</w:t>
      </w:r>
    </w:p>
    <w:p>
      <w:r>
        <w:rPr>
          <w:b w:val="0"/>
        </w:rPr>
        <w:t>依据：原方案§5.2.3.3，附件第30页。S仅明确菜单、按钮资源；额外API资源不能默认塞入此目录，平台API授权见G19/G20。</w:t>
      </w:r>
    </w:p>
    <w:p>
      <w:r>
        <w:rPr>
          <w:b w:val="0"/>
        </w:rPr>
        <w:t>采用树形Table，列为资源名称、类型、资源编码/权限标识、上级资源、路由或标识、排序、状态、操作。工具栏包括新增根资源、导入、导出；行内新增子资源、编辑、启停、删除。树搜索保留命中节点的祖先路径，不能让结果失去上下文。</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类型</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规则</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资源名称</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Input，必填</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建议2—100字符；显示名称与权限码分开</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资源类型</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Select，必填</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菜单、按钮；类型变化涉及引用时不允许直接修改</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上级资源</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TreeSelect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根菜单可空；按钮必须绑定有效菜单；禁止循环引用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资源编码</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Input，必填</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应用内唯一且稳定；建议字母、数字、点、冒号、下划线、短横线</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路由/操作标识</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Input，按类型必填</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菜单为前端路由，按钮为动作标识；不得把路由当唯一后端授权依据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排序/状态</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InputNumber、Select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同级排序；停用后不参与有效权限输出</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扩展属性</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动态Form.Item</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由G14的应用资源字段定义渲染，不运行自定义脚本</w:t>
            </w:r>
          </w:p>
        </w:tc>
      </w:tr>
    </w:tbl>
    <w:p>
      <w:pPr>
        <w:spacing w:after="40"/>
      </w:pPr>
    </w:p>
    <w:p>
      <w:r>
        <w:rPr>
          <w:b w:val="0"/>
        </w:rPr>
        <w:t>导入先解析、校验和预览：校验编码冲突、父节点不存在、循环引用和类型错误；确认后提交。错误清单给出行号、字段、原因。导出范围区分当前筛选/全部可见，不导出密钥等无关信息。删除父节点有子节点或授权引用时默认阻止，并给出受影响对象入口。</w:t>
      </w:r>
    </w:p>
    <w:p>
      <w:r>
        <w:rPr>
          <w:b/>
        </w:rPr>
        <w:t>验收：</w:t>
      </w:r>
      <w:r>
        <w:rPr>
          <w:b w:val="0"/>
        </w:rPr>
        <w:t xml:space="preserve"> AC-G05-1，无法构造循环树。AC-G05-2，导入失败行不会悄悄丢弃。AC-G05-3，隐藏菜单后仍直接调用业务API的请求必须由业务后端按权限拒绝，不能依赖前端隐藏。</w:t>
      </w:r>
    </w:p>
    <w:p>
      <w:pPr>
        <w:pStyle w:val="Heading2"/>
      </w:pPr>
      <w:r>
        <w:t>7.6 G06｜应用用户管理</w:t>
      </w:r>
    </w:p>
    <w:p>
      <w:r>
        <w:rPr>
          <w:b w:val="0"/>
        </w:rPr>
        <w:t>依据：原方案§5.2.3.4，附件第30页。</w:t>
      </w:r>
    </w:p>
    <w:p>
      <w:r>
        <w:rPr>
          <w:b w:val="0"/>
        </w:rPr>
        <w:t>展示该应用的已授权用户，列为用户姓名、账号、主职机构、账号状态、应用角色、授权来源、权限状态、操作。筛选为关键词、机构、角色、账号状态、来源；默认不重复列出同一人的多条任职，可在详情展开。</w:t>
      </w:r>
    </w:p>
    <w:p>
      <w:r>
        <w:rPr>
          <w:b w:val="0"/>
        </w:rPr>
        <w:t>批量配置角色先明确“追加角色”或“替换直接角色”，默认追加。替换操作只替换本入口可管理的直接角色，不覆盖权限组、机构等其他来源。页面可跳转G15新增应用访问授权，也可跳转G16查看用户全部授权。</w:t>
      </w:r>
    </w:p>
    <w:p>
      <w:r>
        <w:rPr>
          <w:b/>
        </w:rPr>
        <w:t>验收：</w:t>
      </w:r>
      <w:r>
        <w:rPr>
          <w:b w:val="0"/>
        </w:rPr>
        <w:t xml:space="preserve"> AC-G06-1，同一人通过多个来源被授权时不产生重复用户行。AC-G06-2，批量替换能准确展示将移除的直接角色，且保留其他来源。</w:t>
      </w:r>
    </w:p>
    <w:p>
      <w:pPr>
        <w:pStyle w:val="Heading2"/>
      </w:pPr>
      <w:r>
        <w:t>7.7 G07｜应用认证与扩展设置</w:t>
      </w:r>
    </w:p>
    <w:p>
      <w:r>
        <w:rPr>
          <w:b w:val="0"/>
        </w:rPr>
        <w:t>依据：原方案§5.2.3.5，附件第30—31页。</w:t>
      </w:r>
    </w:p>
    <w:p>
      <w:r>
        <w:rPr>
          <w:b w:val="0"/>
        </w:rPr>
        <w:t>设置分为认证方式、认证组合、扩展信息。方式列表显示名称、供应商配置状态、是否启用、已关联应用数；配置抽屉维护方式名称、类型、必要连接参数和密钥引用。原文要求新增/修改/删除、启停、查看已配置应用、移除已配置应用，均应提供。</w:t>
      </w:r>
    </w:p>
    <w:p>
      <w:r>
        <w:rPr>
          <w:b w:val="0"/>
        </w:rPr>
        <w:t>认证组合编辑时区分必需校验和可替代方式，保存前检查至少存在一条可完成的登录路径。停用已被强制策略引用的唯一方式时阻止保存，或者先完成显式策略替换；不能使所有管理员永久无法登录。供应商秘密只以引用和脱敏状态展示。</w:t>
      </w:r>
    </w:p>
    <w:p>
      <w:r>
        <w:rPr>
          <w:b w:val="0"/>
        </w:rPr>
        <w:t>应用和资源扩展字段在G14统一维护定义，本页填写实例值；删除字段定义前提示影响范围。第三方方式的实现依赖见第14章C-03。</w:t>
      </w:r>
    </w:p>
    <w:p>
      <w:r>
        <w:rPr>
          <w:b/>
        </w:rPr>
        <w:t>验收：</w:t>
      </w:r>
      <w:r>
        <w:rPr>
          <w:b w:val="0"/>
        </w:rPr>
        <w:t xml:space="preserve"> AC-G07-1，未配置完成的方式不能作为已可用方式发布。AC-G07-2，移除应用关联不删除其他应用的认证配置。AC-G07-3，强制组合不能保存为不可完成的路径。</w:t>
      </w:r>
    </w:p>
    <w:p>
      <w:pPr>
        <w:pStyle w:val="Heading2"/>
      </w:pPr>
      <w:r>
        <w:t>7.8 G08｜组织与用户工作区</w:t>
      </w:r>
    </w:p>
    <w:p>
      <w:r>
        <w:rPr>
          <w:b w:val="0"/>
        </w:rPr>
        <w:t>依据：原方案§5.2.4.1，附件第31—32页。</w:t>
      </w:r>
    </w:p>
    <w:p>
      <w:r>
        <w:rPr>
          <w:b/>
        </w:rPr>
        <w:t>布局：</w:t>
      </w:r>
      <w:r>
        <w:rPr>
          <w:b w:val="0"/>
        </w:rPr>
        <w:t xml:space="preserve"> 左侧280px组织树，含搜索、展开/收起和新增入口；右侧上方为选中机构的路径与状态，下面为用户筛选和表格。用户表默认展示选中机构的直接任职人员，“包含下级机构”作为显式开关。可切换“全部可见用户”，不能把权限限定机构树之外的数据载入浏览器。</w:t>
      </w:r>
    </w:p>
    <w:p>
      <w:r>
        <w:rPr>
          <w:b w:val="0"/>
        </w:rPr>
        <w:t>筛选：姓名/账号/手机号、账号状态、岗位、职级；列：姓名、账号、主职机构、当前节点任职、手机（脱敏）、状态、最近登录、操作。工具栏：新建用户、批量新增、导入、导出；同步及批量启停位于选中后的批量动作区。操作：详情、编辑、快速授权、重置密码、启停、同步。</w:t>
      </w:r>
    </w:p>
    <w:p>
      <w:r>
        <w:rPr>
          <w:b w:val="0"/>
        </w:rPr>
        <w:t>原方案提出按区划及“八套班子”标准构建机构体系；本文保留可配置机构类型、行政区划和标准字典能力。原文未给出完整字典清单，不在系统中写死未经确认的分类值。</w:t>
      </w:r>
    </w:p>
    <w:p>
      <w:r>
        <w:rPr>
          <w:b/>
        </w:rPr>
        <w:t>验收：</w:t>
      </w:r>
      <w:r>
        <w:rPr>
          <w:b w:val="0"/>
        </w:rPr>
        <w:t xml:space="preserve"> AC-G08-1，树选择与用户表的范围一致。AC-G08-2，同一个用户可在不同任职节点显示，但“全部用户”只计一次。AC-G08-3，导出和查询执行相同数据权限。</w:t>
      </w:r>
    </w:p>
    <w:p>
      <w:pPr>
        <w:pStyle w:val="Heading2"/>
      </w:pPr>
      <w:r>
        <w:t>7.9 G09｜用户创建、详情与任职履历</w:t>
      </w:r>
    </w:p>
    <w:p>
      <w:r>
        <w:rPr>
          <w:b w:val="0"/>
        </w:rPr>
        <w:t>详情页顶部显示姓名、账号、状态、来源；Tabs为基本信息、任职信息、应用授权、同步状态、变更履历。基本信息使用Descriptions，编辑使用Form；授权和同步页签为对应模块的过滤视图，不建立第二套数据。</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必填/类型</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规则及说明</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userId</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系统生成</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跨任职、改名、调动保持不变；下游以此关联</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账号</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建议3—64字符；当前身份域内唯一；大小写归一规则上线前统一</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姓名</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是，Input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建议1—50字符；支持合法中外文姓名，不限定仅中文</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手机、邮箱</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按认证策略，Input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格式校验；脱敏显示；是否唯一由账号识别策略确定</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主职机构</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是，TreeSelect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选择可管理且有效机构；建议同一时点只有一个有效主职</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职务、岗位、职级、职称</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按需，Select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读取标准/机构内部字典；任职属性挂在任职记录上</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任职类型</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任职必填，Select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主职、其他任职、借调；借调与主职同时可追溯</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任职生效/结束时间</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按需要，DatePicker</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结束不早于开始；重叠和主职切换在后端检查</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节点内排序</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InputNumber</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每条任职独立排序，不修改用户全局顺序</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账号启停状态</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与锁定状态分开；重置密码不得隐式启用</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来源及扩展信息</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只读来源+动态表单</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上游权威字段按规则只读，扩展字段按权限编辑</w:t>
            </w:r>
          </w:p>
        </w:tc>
      </w:tr>
    </w:tbl>
    <w:p>
      <w:pPr>
        <w:spacing w:after="40"/>
      </w:pPr>
    </w:p>
    <w:p>
      <w:r>
        <w:rPr>
          <w:b/>
        </w:rPr>
        <w:t>创建：</w:t>
      </w:r>
      <w:r>
        <w:rPr>
          <w:b w:val="0"/>
        </w:rPr>
        <w:t xml:space="preserve"> 填写信息和主职 → 校验账号唯一性 → 选择受控的初始凭据发放方式 → 保存 → 展示“继续授权应用/查看用户”。禁止所有新用户共用固定弱密码；初始密码策略和安全发放通道属于C，页面不展示永久可查询的初始密码。</w:t>
      </w:r>
    </w:p>
    <w:p>
      <w:r>
        <w:rPr>
          <w:b/>
        </w:rPr>
        <w:t>任职变更：</w:t>
      </w:r>
      <w:r>
        <w:rPr>
          <w:b w:val="0"/>
        </w:rPr>
        <w:t xml:space="preserve"> 新增、结束、调整或设置主职需填写变更原因；提交前展示机构与岗位变化及可能影响的继承授权。保存后自动生成历史记录，包含变化前后、操作者、时间和原因。历史任职不可被普通编辑覆盖。</w:t>
      </w:r>
    </w:p>
    <w:p>
      <w:r>
        <w:rPr>
          <w:b/>
        </w:rPr>
        <w:t>停用/删除：</w:t>
      </w:r>
      <w:r>
        <w:rPr>
          <w:b w:val="0"/>
        </w:rPr>
        <w:t xml:space="preserve"> 停用前提示影响登录、有效授权和同步；停用保留关系便于审计。删除采用受控归档/逻辑删除建议，已有关联和历史时不直接物理清除。存在未完成同步时显示后续传播状态。</w:t>
      </w:r>
    </w:p>
    <w:p>
      <w:r>
        <w:rPr>
          <w:b/>
        </w:rPr>
        <w:t>重置密码：</w:t>
      </w:r>
      <w:r>
        <w:rPr>
          <w:b w:val="0"/>
        </w:rPr>
        <w:t xml:space="preserve"> 仅具备对应权限者可操作，需确认目标；结果返回“重置已提交/已完成”与通知状态，不返回用户旧密码。不允许通过批量重置下载全员明文密码。</w:t>
      </w:r>
    </w:p>
    <w:p>
      <w:r>
        <w:rPr>
          <w:b/>
        </w:rPr>
        <w:t>验收：</w:t>
      </w:r>
      <w:r>
        <w:rPr>
          <w:b w:val="0"/>
        </w:rPr>
        <w:t xml:space="preserve"> AC-G09-1，主职变更不创建新的userId。AC-G09-2，不同任职节点可以设置不同排序。AC-G09-3，密码重置不解除停用状态。AC-G09-4，任职调整前后可以追溯且同步引用同一身份。</w:t>
      </w:r>
    </w:p>
    <w:p>
      <w:pPr>
        <w:pStyle w:val="Heading2"/>
      </w:pPr>
      <w:r>
        <w:t>7.10 G10｜机构维护与批量导入</w:t>
      </w:r>
    </w:p>
    <w:p>
      <w:r>
        <w:rPr>
          <w:b w:val="0"/>
        </w:rPr>
        <w:t>依据：原方案§5.2.4.1.2，附件第32页。</w:t>
      </w:r>
    </w:p>
    <w:p>
      <w:r>
        <w:rPr>
          <w:b w:val="0"/>
        </w:rPr>
        <w:t>新增支持同级、子级和批量创建。表单字段：机构名称（必填2—100字符）、机构编码（必填且当前域唯一）、上级机构、行政区划、机构类型、排序、启停状态、条线、负责人及扩展属性。主字段为S能力的D细化，区划/类型的实际字典由项目确认。</w:t>
      </w:r>
    </w:p>
    <w:p>
      <w:r>
        <w:rPr>
          <w:b w:val="0"/>
        </w:rPr>
        <w:t>机构移动采用选择目标上级并预览影响，不默认开放无确认的树拖拽。禁止移动到自身或后代；超出管理员范围、产生无效上级或破坏分级授权时拒绝。若涉及大量人员、继承条线、机构授权和同步范围变化，展示影响数量并记录变更任务。</w:t>
      </w:r>
    </w:p>
    <w:p>
      <w:r>
        <w:rPr>
          <w:b w:val="0"/>
        </w:rPr>
        <w:t>删除机构前检查子机构、有效任职、分级管理员和授权引用。默认阻止带有效引用的删除，引导先迁移或结束关系。停用机构的建议规则为该节点有效状态向下约束，并触发相关任职资格与授权重算；跨其他有效机构的任职不因此全部失效，见BR-03。启用时不自动清除子节点自身的停用标记。</w:t>
      </w:r>
    </w:p>
    <w:p>
      <w:r>
        <w:rPr>
          <w:b w:val="0"/>
        </w:rPr>
        <w:t>导入采用“模板 → 上传 → 校验预览 → 确认导入 → 结果”五步。用户、机构和资源共用导入任务组件，但各自校验规则独立。批量创建可用可编辑表格录入，仍执行同样唯一性和层级检查。</w:t>
      </w:r>
    </w:p>
    <w:p>
      <w:r>
        <w:rPr>
          <w:b/>
        </w:rPr>
        <w:t>验收：</w:t>
      </w:r>
      <w:r>
        <w:rPr>
          <w:b w:val="0"/>
        </w:rPr>
        <w:t xml:space="preserve"> AC-G10-1，移动不会形成循环机构。AC-G10-2，越级管理员不能移动越权节点。AC-G10-3，导入结果与实际创建/失败数量一致。AC-G10-4，机构停用不删除人员历史。</w:t>
      </w:r>
    </w:p>
    <w:p>
      <w:pPr>
        <w:pStyle w:val="Heading2"/>
      </w:pPr>
      <w:r>
        <w:t>7.11 G11｜分级管理员</w:t>
      </w:r>
    </w:p>
    <w:p>
      <w:r>
        <w:rPr>
          <w:b w:val="0"/>
        </w:rPr>
        <w:t>依据：原方案§5.2.4.1.3，附件第32页。</w:t>
      </w:r>
    </w:p>
    <w:p>
      <w:r>
        <w:rPr>
          <w:b w:val="0"/>
        </w:rPr>
        <w:t>列表列：管理员姓名/账号、所属机构、管理范围、可用功能、可管理应用、是否可继续下放、上级委派人、状态、操作。筛选管理员、机构范围、状态。配置页依次选择用户、管理机构、包含下级、可委派功能/应用、是否允许再委派；显示授权上限和本次子范围。</w:t>
      </w:r>
    </w:p>
    <w:p>
      <w:r>
        <w:rPr>
          <w:b w:val="0"/>
        </w:rPr>
        <w:t>服务端检查“可委派权限是当前有效管理权限的子集”，不能只看前端树是否禁用。授予再委派不等于授予平台所有授权管理权。撤销上级委派或缩小范围时，对其派生下级委派做重算并展示受影响管理员，不留下失去来源的悬挂权限。</w:t>
      </w:r>
    </w:p>
    <w:p>
      <w:r>
        <w:rPr>
          <w:b/>
        </w:rPr>
        <w:t>验收：</w:t>
      </w:r>
      <w:r>
        <w:rPr>
          <w:b w:val="0"/>
        </w:rPr>
        <w:t xml:space="preserve"> AC-G11-1，篡改请求选择上级或兄弟机构时拒绝。AC-G11-2，上级授权回收能使超出部分的下级授权失效。AC-G11-3，管理权限变化留有委派链和审计。</w:t>
      </w:r>
    </w:p>
    <w:p>
      <w:pPr>
        <w:pStyle w:val="Heading2"/>
      </w:pPr>
      <w:r>
        <w:t>7.12 G12｜条线管理</w:t>
      </w:r>
    </w:p>
    <w:p>
      <w:r>
        <w:rPr>
          <w:b w:val="0"/>
        </w:rPr>
        <w:t>依据：原方案§5.2.4.2，附件第33页。</w:t>
      </w:r>
    </w:p>
    <w:p>
      <w:r>
        <w:rPr>
          <w:b w:val="0"/>
        </w:rPr>
        <w:t>列表包含条线名称、编码、说明、关联机构数、状态及操作；新增、编辑、删除、查询能力完整。机构可关联多个条线，在机构详情展示“本机构配置”和“上级继承”两组来源，并指明继承起点。</w:t>
      </w:r>
    </w:p>
    <w:p>
      <w:r>
        <w:rPr>
          <w:b w:val="0"/>
        </w:rPr>
        <w:t>本文建议条线有效集合为上级有效条线与本机构配置条线的并集；原方案未描述屏蔽继承或覆盖规则，首版不自行添加“排除上级条线”能力。删除有引用的条线需先确认迁移策略。条线本身不自动授予应用权限，除非后续单独定义条线授权能力。</w:t>
      </w:r>
    </w:p>
    <w:p>
      <w:r>
        <w:rPr>
          <w:b/>
        </w:rPr>
        <w:t>验收：</w:t>
      </w:r>
      <w:r>
        <w:rPr>
          <w:b w:val="0"/>
        </w:rPr>
        <w:t xml:space="preserve"> AC-G12-1，上级条线变更能够更新下级有效条线。AC-G12-2，同一条线多个来源去重显示但保留来源解释。AC-G12-3，条线变化不误改手动应用授权。</w:t>
      </w:r>
    </w:p>
    <w:p>
      <w:pPr>
        <w:pStyle w:val="Heading2"/>
      </w:pPr>
      <w:r>
        <w:t>7.13 G13—G14｜组织字典与扩展字段</w:t>
      </w:r>
    </w:p>
    <w:p>
      <w:r>
        <w:rPr>
          <w:b w:val="0"/>
        </w:rPr>
        <w:t>依据：原方案§5.2.4.3与§5.2.3.5，附件第31、33页。</w:t>
      </w:r>
    </w:p>
    <w:p>
      <w:r>
        <w:rPr>
          <w:b w:val="0"/>
        </w:rPr>
        <w:t>G13用Tabs区分职务、岗位、职级、职称；表格列为名称、编码、适用范围（通用/机构内部）、所属机构、排序、状态、操作。新增/编辑表单沿用统一模板；被任职引用的数据不可直接删除，允许停用以禁止新的选用，同时保留历史显示。</w:t>
      </w:r>
    </w:p>
    <w:p>
      <w:r>
        <w:rPr>
          <w:b w:val="0"/>
        </w:rPr>
        <w:t>G14用对象类型切换用户、机构、应用、应用资源；字段列表包含显示名、字段编码、类型、必填、默认值、展示顺序、敏感级别、状态。支持文本、数字、日期、单选、多选、布尔等受控类型；不提供任意JavaScript表达式。新字段默认非必填；已有数据的字段改为必填前需检查历史缺值并明确补齐方案。</w:t>
      </w:r>
    </w:p>
    <w:p>
      <w:r>
        <w:rPr>
          <w:b w:val="0"/>
        </w:rPr>
        <w:t>扩展字段编码在对象类型内唯一且稳定；已有数据后禁止直接修改类型或物理删除。敏感标记关联脱敏和加密策略，不因为出现在动态表单中就绕过字段级可见权限。字段长度、枚举项和默认值在前后端统一校验。</w:t>
      </w:r>
    </w:p>
    <w:p>
      <w:r>
        <w:rPr>
          <w:b/>
        </w:rPr>
        <w:t>验收：</w:t>
      </w:r>
      <w:r>
        <w:rPr>
          <w:b w:val="0"/>
        </w:rPr>
        <w:t xml:space="preserve"> AC-G13-1，停用岗位不破坏历史履历。AC-G14-1，扩展字段在创建、编辑、详情和导入中一致生效。AC-G14-2，敏感字段在无权账户的接口响应中不返回明文。</w:t>
      </w:r>
    </w:p>
    <w:p>
      <w:bookmarkStart w:id="8" w:name="ch_8"/>
      <w:pPr>
        <w:pStyle w:val="Heading1"/>
      </w:pPr>
      <w:r>
        <w:t>08　政企侧管理平台：授权、同步、审计与设置</w:t>
      </w:r>
      <w:bookmarkEnd w:id="8"/>
    </w:p>
    <w:p>
      <w:pPr>
        <w:pStyle w:val="Heading2"/>
      </w:pPr>
      <w:r>
        <w:t>8.1 G15｜应用授权</w:t>
      </w:r>
    </w:p>
    <w:p>
      <w:r>
        <w:rPr>
          <w:b w:val="0"/>
        </w:rPr>
        <w:t>依据：原方案§5.2.5.1，附件第33—34页。入口为“授权管理 → 应用授权”，或应用详情中的“授权”。</w:t>
      </w:r>
    </w:p>
    <w:p>
      <w:r>
        <w:rPr>
          <w:b w:val="0"/>
        </w:rPr>
        <w:t>页面顶部先选择应用；下方分“用户授权”和“机构授权”两类来源，不能将机构授权展开为无法追溯的一堆直接用户关系。中部左侧为待选对象，右侧为已授权对象与来源，底部呈现本次变更数量。授权对象规模较大时使用服务端搜索的Table，不一次性渲染数万条Transfer选项。</w:t>
      </w:r>
    </w:p>
    <w:p>
      <w:r>
        <w:rPr>
          <w:b w:val="0"/>
        </w:rPr>
        <w:t>用户查询支持姓名、账号和机构；机构选择支持树搜索，并明确“仅本机构/包含下级”。新增授权只建立应用访问资格；需要应用角色时提供独立角色选择，并注明角色由当前应用定义。保存前显示新增授权、取消直接授权、受机构规则覆盖人数及仍通过其他来源有效的人数。</w:t>
      </w:r>
    </w:p>
    <w:p>
      <w:r>
        <w:rPr>
          <w:b w:val="0"/>
        </w:rPr>
        <w:t>取消授权只删除所选关系。若用户仍有机构/权限组来源，结果显示“已移除该来源；用户仍可通过××权限组访问”，而不是笼统“已撤销全部访问”。后端最终鉴权状态与下游传播状态分别显示。</w:t>
      </w:r>
    </w:p>
    <w:p>
      <w:r>
        <w:rPr>
          <w:b/>
        </w:rPr>
        <w:t>验收：</w:t>
      </w:r>
      <w:r>
        <w:rPr>
          <w:b w:val="0"/>
        </w:rPr>
        <w:t xml:space="preserve"> AC-G15-1，应用视角保存后，用户视角即时读取到同一关系。AC-G15-2，机构授权明确包含下级规则且可追溯。AC-G15-3，移除单一来源不会误删其他来源。</w:t>
      </w:r>
    </w:p>
    <w:p>
      <w:pPr>
        <w:pStyle w:val="Heading2"/>
      </w:pPr>
      <w:r>
        <w:t>8.2 G16｜用户授权</w:t>
      </w:r>
    </w:p>
    <w:p>
      <w:r>
        <w:rPr>
          <w:b w:val="0"/>
        </w:rPr>
        <w:t>依据：原方案§5.2.5.2，附件第34页。</w:t>
      </w:r>
    </w:p>
    <w:p>
      <w:r>
        <w:rPr>
          <w:b w:val="0"/>
        </w:rPr>
        <w:t>顶部使用可搜索用户选择器，显示姓名、账号、主职机构和账号状态。下面按应用列出访问资格、角色、来源、有效状态和操作；可筛选“已授权/未授权/全部可见”。多个应用批量授权时，每个应用的角色独立选择，不把同名角色当成跨应用同一角色。</w:t>
      </w:r>
    </w:p>
    <w:p>
      <w:r>
        <w:rPr>
          <w:b w:val="0"/>
        </w:rPr>
        <w:t>详情抽屉展示某一应用的完整来源链：直接授权、机构及包含下级规则、权限组、角色来源、有效时间和最近变更。显示“无效原因”，例如账号停用、角色停用、应用停用或来源过期；“有授权记录”和“当前可访问”不能用同一个勾选框含糊表达。</w:t>
      </w:r>
    </w:p>
    <w:p>
      <w:r>
        <w:rPr>
          <w:b/>
        </w:rPr>
        <w:t>验收：</w:t>
      </w:r>
      <w:r>
        <w:rPr>
          <w:b w:val="0"/>
        </w:rPr>
        <w:t xml:space="preserve"> AC-G16-1，账号停用但保留授权记录时，页面显示不可访问原因。AC-G16-2，跨应用批量保存逐应用返回结果，部分失败可单独修正。AC-G16-3，来源详情能够解释有效权限。</w:t>
      </w:r>
    </w:p>
    <w:p>
      <w:pPr>
        <w:pStyle w:val="Heading2"/>
      </w:pPr>
      <w:r>
        <w:t>8.3 G17｜机构授权</w:t>
      </w:r>
    </w:p>
    <w:p>
      <w:r>
        <w:rPr>
          <w:b w:val="0"/>
        </w:rPr>
        <w:t>依据：原方案§5.2.5.3，附件第34页。</w:t>
      </w:r>
    </w:p>
    <w:p>
      <w:r>
        <w:rPr>
          <w:b w:val="0"/>
        </w:rPr>
        <w:t>采用左树右表，左侧选择机构，右侧显示应用、包含下级、授权状态、影响人数、配置人和更新时间。新增时选应用和是否包含下级；默认仅本机构，避免无提示扩大到整个组织树。</w:t>
      </w:r>
    </w:p>
    <w:p>
      <w:r>
        <w:rPr>
          <w:b w:val="0"/>
        </w:rPr>
        <w:t>原文未明确授权是“快照复制给当前用户”还是“随机构成员变化动态生效”。本文建议采用动态关系：有效任职进入范围时获得该来源，离开范围后失去该来源；不把当前人数保存为固定授权名单。变更时展示影响预估，保存时由后端重新计算。</w:t>
      </w:r>
    </w:p>
    <w:p>
      <w:r>
        <w:rPr>
          <w:b w:val="0"/>
        </w:rPr>
        <w:t>一人多岗按全部有效任职判断机构来源；仅结束其中一个任职不能直接撤销其其他机构来源。机构移动导致范围变化时重新计算权限并记录触发原因。</w:t>
      </w:r>
    </w:p>
    <w:p>
      <w:r>
        <w:rPr>
          <w:b/>
        </w:rPr>
        <w:t>验收：</w:t>
      </w:r>
      <w:r>
        <w:rPr>
          <w:b w:val="0"/>
        </w:rPr>
        <w:t xml:space="preserve"> AC-G17-1，新加入机构的用户按规则获得来源，调出后失去该来源。AC-G17-2，多岗人员仍在另一授权范围内时保持相应访问。AC-G17-3，“包含下级”关闭后能准确预览受影响人员。</w:t>
      </w:r>
    </w:p>
    <w:p>
      <w:pPr>
        <w:pStyle w:val="Heading2"/>
      </w:pPr>
      <w:r>
        <w:t>8.4 G18｜权限组</w:t>
      </w:r>
    </w:p>
    <w:p>
      <w:r>
        <w:rPr>
          <w:b w:val="0"/>
        </w:rPr>
        <w:t>依据：原方案§5.2.5.4，附件第34页。</w:t>
      </w:r>
    </w:p>
    <w:p>
      <w:r>
        <w:rPr>
          <w:b w:val="0"/>
        </w:rPr>
        <w:t>列表筛选名称、编码、状态；列为权限组名称、编码、应用数、角色数、用户数、更新时间、操作。新建/详情使用三个页签：基本信息、应用与角色、关联用户。基本字段为名称、编码、说明；启停、有效期为D细化，不强制补充审批流。</w:t>
      </w:r>
    </w:p>
    <w:p>
      <w:r>
        <w:rPr>
          <w:b w:val="0"/>
        </w:rPr>
        <w:t>“应用与角色”按应用分组，先选择应用，再勾选其角色；“关联用户”支持搜索和批量选择，显示人员身份而非只显示重名姓名。保存前预览影响：组内新增/移除的应用、角色和用户数。权限组更改同步作用于其成员，通过版本化关系表达，不为每位成员复制一套不可追溯配置。</w:t>
      </w:r>
    </w:p>
    <w:p>
      <w:r>
        <w:rPr>
          <w:b w:val="0"/>
        </w:rPr>
        <w:t>删除或停用组只移除该组贡献的权限，直接授权及其他组仍有效。“关联用户汇总”可按组、用户、应用查询，满足原方案要求的统一掌握授权情况。</w:t>
      </w:r>
    </w:p>
    <w:p>
      <w:r>
        <w:rPr>
          <w:b/>
        </w:rPr>
        <w:t>验收：</w:t>
      </w:r>
      <w:r>
        <w:rPr>
          <w:b w:val="0"/>
        </w:rPr>
        <w:t xml:space="preserve"> AC-G18-1，一个组可组合多套应用及各自角色。AC-G18-2，组成员变更可追溯到组版本。AC-G18-3，删除组不误删用户及其他来源。</w:t>
      </w:r>
    </w:p>
    <w:p>
      <w:pPr>
        <w:pStyle w:val="Heading2"/>
      </w:pPr>
      <w:r>
        <w:t>8.5 G19—G20｜API授权应用与API授权用户</w:t>
      </w:r>
    </w:p>
    <w:p>
      <w:r>
        <w:rPr>
          <w:b w:val="0"/>
        </w:rPr>
        <w:t>依据：原方案§5.2.5.5—5.2.5.6，附件第35页。</w:t>
      </w:r>
    </w:p>
    <w:p>
      <w:r>
        <w:rPr>
          <w:b w:val="0"/>
        </w:rPr>
        <w:t>保留两个业务入口，分别面向应用机器身份和用户身份；组件可以复用，但授权主体类型必须显式显示。左侧选主体，右侧为平台开放API目录及已授予API。目录字段为API名称、稳定权限标识、所属模块、用途、数据范围要求、敏感级别、授权状态；接口HTTP路径仅作技术说明，不作为唯一权限标识。</w:t>
      </w:r>
    </w:p>
    <w:p>
      <w:r>
        <w:rPr>
          <w:b w:val="0"/>
        </w:rPr>
        <w:t>授权表单包括主体、API集合、可访问数据范围；有效期和用途为D建议字段。平台提供新增授权、查询已授权API、删除授权。应用调用还必须具备有效机器凭据；用户调用必须具备有效用户认证态，不因为列表里勾选了API就允许匿名请求。</w:t>
      </w:r>
    </w:p>
    <w:p>
      <w:r>
        <w:rPr>
          <w:b/>
        </w:rPr>
        <w:t>规则：</w:t>
      </w:r>
      <w:r>
        <w:rPr>
          <w:b w:val="0"/>
        </w:rPr>
        <w:t xml:space="preserve"> 授予API访问资格不自动授予无限数据范围；请求权限是主体有效权限与授权范围的交集。应用环境变更不复用另一环境凭据。权限列表不得把“后台管理员管理”等高危接口默认全部勾选。撤销后按照第10章的权限版本与失效机制生效。</w:t>
      </w:r>
    </w:p>
    <w:p>
      <w:r>
        <w:rPr>
          <w:b/>
        </w:rPr>
        <w:t>验收：</w:t>
      </w:r>
      <w:r>
        <w:rPr>
          <w:b w:val="0"/>
        </w:rPr>
        <w:t xml:space="preserve"> AC-G19-1，有效凭据但未授权的API返回403。AC-G19-2，授权查询机构A的应用不能查询机构B。AC-G20-1，用户API授权不自动生成平台菜单权限。AC-G20-2，撤销记录保留审计且后续访问被拒绝。</w:t>
      </w:r>
    </w:p>
    <w:p>
      <w:pPr>
        <w:pStyle w:val="Heading2"/>
      </w:pPr>
      <w:r>
        <w:t>8.6 G21｜同步配置</w:t>
      </w:r>
    </w:p>
    <w:p>
      <w:r>
        <w:rPr>
          <w:b w:val="0"/>
        </w:rPr>
        <w:t>依据：原方案§5.2.6.1.1，附件第35—36页。</w:t>
      </w:r>
    </w:p>
    <w:p>
      <w:r>
        <w:rPr>
          <w:b w:val="0"/>
        </w:rPr>
        <w:t>列表按应用、启停状态和最近测试结果筛选；列为目标应用、用户接口、机构接口、同步方式、范围摘要、连接状态、最近修改、操作。创建/编辑采用分组Form：目标、接口与认证、同步范围、触发策略、测试结果。</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必填/类型</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规则及说明</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目标应用</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必须是当前管理员可配置的应用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用户/机构同步接口</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对应对象启用时必填，Input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生产HTTPS；仅允许已批准的目标地址，防止任意内网探测</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接口鉴权配置</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按协议，受控选择</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保存密钥引用，不在详情返回明文凭据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同步方式</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是，Select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实时、手动；定时模式原文未明确，不默认添加</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对象与机构范围</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是，Tree选择</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用户、机构可分开配置；与应用的同步范围保持一致</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包含下级</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是，Switch</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显式展示，不以半选树隐含规则</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停用/删除事件处理</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是，策略选择</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明确停用、删除或通知语义；由双方接口合同确认</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超时/重试策略</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是，数字参数或受控配置</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D建议由服务端集中限定，不允许无限重试</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状态</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是，Select</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保存配置与启用同步分离；不通过时不可启用</w:t>
            </w:r>
          </w:p>
        </w:tc>
      </w:tr>
    </w:tbl>
    <w:p>
      <w:pPr>
        <w:spacing w:after="40"/>
      </w:pPr>
    </w:p>
    <w:p>
      <w:r>
        <w:rPr>
          <w:b w:val="0"/>
        </w:rPr>
        <w:t>测试连接只使用明确的健康或测试接口，不能为了“测试”实际删除下游用户。配置改变不自动全量重推，提示“是否按新配置创建同步任务”。收缩同步范围时展示将被移出对象，明确下游停用/删除/仅不再同步的策略，未确认前阻止有破坏性的提交。</w:t>
      </w:r>
    </w:p>
    <w:p>
      <w:r>
        <w:rPr>
          <w:b/>
        </w:rPr>
        <w:t>验收：</w:t>
      </w:r>
      <w:r>
        <w:rPr>
          <w:b w:val="0"/>
        </w:rPr>
        <w:t xml:space="preserve"> AC-G21-1，未授权地址无法被同步测试接口调用。AC-G21-2，修改同步范围不增加应用访问资格。AC-G21-3，凭据不可从日志或页面获取。AC-G21-4，移出范围的行为按明确策略执行且可追溯。</w:t>
      </w:r>
    </w:p>
    <w:p>
      <w:pPr>
        <w:pStyle w:val="Heading2"/>
      </w:pPr>
      <w:r>
        <w:t>8.7 G22—G23｜同步用户与同步机构</w:t>
      </w:r>
    </w:p>
    <w:p>
      <w:r>
        <w:rPr>
          <w:b w:val="0"/>
        </w:rPr>
        <w:t>依据：原方案§5.2.6.1.2—5.2.6.1.3，附件第36页。</w:t>
      </w:r>
    </w:p>
    <w:p>
      <w:r>
        <w:rPr>
          <w:b w:val="0"/>
        </w:rPr>
        <w:t>两个页签共用目标应用选择、关键词、同步状态、时间筛选。用户列：姓名、账号、机构、源版本、最近同步版本、状态、最近时间、失败原因、操作。机构列：名称、编码、上级、源版本、最近同步版本、状态、时间、原因、操作。</w:t>
      </w:r>
    </w:p>
    <w:p>
      <w:r>
        <w:rPr>
          <w:b w:val="0"/>
        </w:rPr>
        <w:t>顶部动作“全量同步”“同步所选”“重试失败项”。全量同步要求确认对象总数、范围和目标，不等于删除后重建；实际语义由接口合同确定。只显示在有效同步范围内或已有历史同步关系的对象；后者应标明“已移出范围”，避免完全消失造成无法追踪。</w:t>
      </w:r>
    </w:p>
    <w:p>
      <w:r>
        <w:rPr>
          <w:b w:val="0"/>
        </w:rPr>
        <w:t>状态建议为待同步、同步中、成功、失败、已跳过、已移出范围。源数据更新后不能继续显示旧版本“成功”而不提示有待同步变更。提交后显示任务ID并跳转G24，不能在排队阶段提示成功。</w:t>
      </w:r>
    </w:p>
    <w:p>
      <w:r>
        <w:rPr>
          <w:b/>
        </w:rPr>
        <w:t>验收：</w:t>
      </w:r>
      <w:r>
        <w:rPr>
          <w:b w:val="0"/>
        </w:rPr>
        <w:t xml:space="preserve"> AC-G22-1，重复点击只形成一个幂等提交。AC-G22-2，成功版本落后源版本时可识别。AC-G23-1，机构同步确保上级依赖满足后再处理子级。AC-G23-2，批量失败项可以逐条定位。</w:t>
      </w:r>
    </w:p>
    <w:p>
      <w:pPr>
        <w:pStyle w:val="Heading2"/>
      </w:pPr>
      <w:r>
        <w:t>8.8 G24—G25｜同步任务与同步记录</w:t>
      </w:r>
    </w:p>
    <w:p>
      <w:r>
        <w:rPr>
          <w:b w:val="0"/>
        </w:rPr>
        <w:t>依据：原方案§5.2.6.2，附件第36—37页。</w:t>
      </w:r>
    </w:p>
    <w:p>
      <w:r>
        <w:rPr>
          <w:b w:val="0"/>
        </w:rPr>
        <w:t>G24列表列：任务ID、目标应用、对象类型、触发方式、创建人、总数、成功/失败/未处理数、任务状态、创建/结束时间、操作。筛选为应用、对象类型、状态、时间、任务ID。详情头部展示进度和统计，下面是逐实体处理记录。</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任务状态</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可执行动作</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界面说明</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排队中</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查看、取消</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尚未处理；取消不改动下游</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执行中</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查看、请求中止</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已成功项不会自动回滚，中止需执行器确认</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中止中</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查看</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不显示“已中止”，直到未执行项被停止</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成功</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查看</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全部应处理项均成功或按约定合法跳过</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部分失败/失败</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查看、重试失败项</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创建关联重试任务，原任务保持不可变</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已中止/已取消</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查看</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保留已执行记录与未处理数量，不删除审计</w:t>
            </w:r>
          </w:p>
        </w:tc>
      </w:tr>
    </w:tbl>
    <w:p>
      <w:pPr>
        <w:spacing w:after="40"/>
      </w:pPr>
    </w:p>
    <w:p>
      <w:r>
        <w:rPr>
          <w:b w:val="0"/>
        </w:rPr>
        <w:t>G25同步记录可从任务、用户或机构进入；字段包括事件ID、任务ID、目标、实体ID/名称、操作类型、源版本、发送时间、耗时、响应结果、错误码、脱敏原因、重试关联。禁止展示含密码、密钥、完整证件等的原始请求体。</w:t>
      </w:r>
    </w:p>
    <w:p>
      <w:r>
        <w:rPr>
          <w:b w:val="0"/>
        </w:rPr>
        <w:t>队列至少保持同一对象的版本顺序以及机构先于关联用户的依赖顺序；新的停用事件不能被重试的旧启用事件覆盖。原方案强调按队列顺序执行，任何并行优化不得破坏此业务要求。</w:t>
      </w:r>
    </w:p>
    <w:p>
      <w:r>
        <w:rPr>
          <w:b/>
        </w:rPr>
        <w:t>验收：</w:t>
      </w:r>
      <w:r>
        <w:rPr>
          <w:b w:val="0"/>
        </w:rPr>
        <w:t xml:space="preserve"> AC-G24-1，中止与完成并发时，最终数量准确且只有一个终态。AC-G24-2，总数等于成功、失败、跳过和未处理之和。AC-G25-1，重试可回到原始失败记录。AC-G25-2，旧版本重试不能覆盖较新状态。</w:t>
      </w:r>
    </w:p>
    <w:p>
      <w:pPr>
        <w:pStyle w:val="Heading2"/>
      </w:pPr>
      <w:r>
        <w:t>8.9 G26｜操作日志与API日志</w:t>
      </w:r>
    </w:p>
    <w:p>
      <w:r>
        <w:rPr>
          <w:b w:val="0"/>
        </w:rPr>
        <w:t>依据：原方案§5.2.7.1，附件第37页。</w:t>
      </w:r>
    </w:p>
    <w:p>
      <w:r>
        <w:rPr>
          <w:b w:val="0"/>
        </w:rPr>
        <w:t>页面Tabs区分后台操作和API调用，保留各自查询条件。操作日志筛选时间、操作者、模块、类型、目标、结果；API日志额外筛选调用主体、API标识、客户端和请求ID。默认最近7天，长时间范围采用异步查询/导出能力建议，由容量测试确定限制。</w:t>
      </w:r>
    </w:p>
    <w:p>
      <w:r>
        <w:rPr>
          <w:b w:val="0"/>
        </w:rPr>
        <w:t>操作列字段为时间、操作者/主体类型、模块、动作、目标对象、结果、来源IP、请求ID。API列增加API名称、客户端、耗时、响应码。详情Drawer显示基本信息、变更前后差异、关联对象和关联事件；敏感字段差异只显示“已变更”或脱敏值。</w:t>
      </w:r>
    </w:p>
    <w:p>
      <w:r>
        <w:rPr>
          <w:b w:val="0"/>
        </w:rPr>
        <w:t>日志查询、敏感日志查看及导出本身也记录审计。日志不可普通编辑或单条删除。导出属D补充效率能力，必须使用可见范围和脱敏策略，下载链接按时效和权限保护。</w:t>
      </w:r>
    </w:p>
    <w:p>
      <w:r>
        <w:rPr>
          <w:b/>
        </w:rPr>
        <w:t>验收：</w:t>
      </w:r>
      <w:r>
        <w:rPr>
          <w:b w:val="0"/>
        </w:rPr>
        <w:t xml:space="preserve"> AC-G26-1，应用密钥轮换、用户停用、授权修改均有记录。AC-G26-2，密码、验证码及令牌不出现在日志详情和导出。AC-G26-3，审计查询无权对象时不泄露目标名称。</w:t>
      </w:r>
    </w:p>
    <w:p>
      <w:pPr>
        <w:pStyle w:val="Heading2"/>
      </w:pPr>
      <w:r>
        <w:t>8.10 G27｜登录日志</w:t>
      </w:r>
    </w:p>
    <w:p>
      <w:r>
        <w:rPr>
          <w:b w:val="0"/>
        </w:rPr>
        <w:t>依据：原方案§5.2.7.3，附件第37页。</w:t>
      </w:r>
    </w:p>
    <w:p>
      <w:r>
        <w:rPr>
          <w:b w:val="0"/>
        </w:rPr>
        <w:t>筛选时间、身份域、账号、目标应用、登录场景（后台/应用）、认证方式、结果。列为登录时间、账号/用户、应用、认证方式、结果、失败阶段、来源IP、设备摘要、认证事务ID。详情展示主认证、附加验证、应用授权检查、回调等阶段和脱敏原因。</w:t>
      </w:r>
    </w:p>
    <w:p>
      <w:r>
        <w:rPr>
          <w:b w:val="0"/>
        </w:rPr>
        <w:t>成功登录、错误凭据、账号锁定、账号停用、MFA失败、应用无权、回调失败分开统计；不能把HTTP请求成功直接当作登录成功。登录日志用于还原事件，不显示用户输入的密码或完整认证数据。</w:t>
      </w:r>
    </w:p>
    <w:p>
      <w:r>
        <w:rPr>
          <w:b/>
        </w:rPr>
        <w:t>验收：</w:t>
      </w:r>
      <w:r>
        <w:rPr>
          <w:b w:val="0"/>
        </w:rPr>
        <w:t xml:space="preserve"> AC-G27-1，同一认证事务的多步骤可关联且不虚增成功次数。AC-G27-2，应用未授权和密码错误可在管理日志区分，在公开登录页维持必要的安全反馈。</w:t>
      </w:r>
    </w:p>
    <w:p>
      <w:pPr>
        <w:pStyle w:val="Heading2"/>
      </w:pPr>
      <w:r>
        <w:t>8.11 G28｜统计分析</w:t>
      </w:r>
    </w:p>
    <w:p>
      <w:r>
        <w:rPr>
          <w:b w:val="0"/>
        </w:rPr>
        <w:t>依据：原方案§5.2.7.2，附件第37页。</w:t>
      </w:r>
    </w:p>
    <w:p>
      <w:r>
        <w:rPr>
          <w:b w:val="0"/>
        </w:rPr>
        <w:t>展示用户总数趋势、登录趋势、应用访问人数Top5、用户登录次数Top5。用户总数趋势需要历史快照或事件重建，不得用当前人数填满过去每一天。访问人数去重单位为身份域+userId；登录次数使用实际成功事件；无明确事件来源的“应用访问”应注明仅统计SSO登录访问，而非业务系统所有页面浏览。</w:t>
      </w:r>
    </w:p>
    <w:p>
      <w:r>
        <w:rPr>
          <w:b w:val="0"/>
        </w:rPr>
        <w:t>筛选支持日期范围及可管理范围，图表可查看对应表格。排行并列时采用稳定的次排序规则；缺失数据与真实0分别表现。统计取数窗口和时区在页首展示。</w:t>
      </w:r>
    </w:p>
    <w:p>
      <w:r>
        <w:rPr>
          <w:b/>
        </w:rPr>
        <w:t>验收：</w:t>
      </w:r>
      <w:r>
        <w:rPr>
          <w:b w:val="0"/>
        </w:rPr>
        <w:t xml:space="preserve"> AC-G28-1，相同条件下统计与日志核对一致。AC-G28-2，缺少历史快照时显示数据起始时间，不伪造早期趋势。</w:t>
      </w:r>
    </w:p>
    <w:p>
      <w:pPr>
        <w:pStyle w:val="Heading2"/>
      </w:pPr>
      <w:r>
        <w:t>8.12 G29—G30｜管理员与系统角色</w:t>
      </w:r>
    </w:p>
    <w:p>
      <w:r>
        <w:rPr>
          <w:b w:val="0"/>
        </w:rPr>
        <w:t>依据：原方案§5.2.8.1，附件第38页。</w:t>
      </w:r>
    </w:p>
    <w:p>
      <w:r>
        <w:rPr>
          <w:b w:val="0"/>
        </w:rPr>
        <w:t>G29管理哪些用户可以进入管理后台，列为姓名、账号、主职机构、系统角色、机构范围摘要、应用范围摘要、状态、最近登录、操作。新增管理员从现有有效用户选择并赋予系统角色；不重复创建一个与原身份无关的账号。支持一个人多个系统角色。</w:t>
      </w:r>
    </w:p>
    <w:p>
      <w:r>
        <w:rPr>
          <w:b w:val="0"/>
        </w:rPr>
        <w:t>G30系统角色配置使用独立页面，分基本信息、功能权限、机构数据范围、应用管理范围、关联成员五部分。功能权限按菜单与动作呈现；具有菜单查看权不自动具备新增、导出或授权权。机构范围必须表示具体节点及是否包含下级；应用范围明确应用ID集合，不用含糊“全部权限”。</w:t>
      </w:r>
    </w:p>
    <w:p>
      <w:r>
        <w:rPr>
          <w:b w:val="0"/>
        </w:rPr>
        <w:t>系统角色与G04的应用角色完全分开。拥有管理员角色不自动赋予业务应用访问资格；需要访问业务应用时仍按统一授权规则处理。为高敏场景启用“管理员身份禁止访问指定应用/禁止给自己授权”属于可选D策略，原方案未要求全面强制，需业务确认后实施，不能在本文悄悄替用户扩大隔离范围。</w:t>
      </w:r>
    </w:p>
    <w:p>
      <w:r>
        <w:rPr>
          <w:b w:val="0"/>
        </w:rPr>
        <w:t>保存系统角色变更时预览受影响成员；禁止删除或停用最后一个有效平台恢复管理入口。自身敏感权限提升建议要求独立操作者或受控审批，实际双人规则见待确认项，而非假装已实现审批系统。</w:t>
      </w:r>
    </w:p>
    <w:p>
      <w:r>
        <w:rPr>
          <w:b/>
        </w:rPr>
        <w:t>验收：</w:t>
      </w:r>
      <w:r>
        <w:rPr>
          <w:b w:val="0"/>
        </w:rPr>
        <w:t xml:space="preserve"> AC-G29-1，普通用户不因存在于用户库就可进入后台。AC-G30-1，机构范围、功能范围、应用范围均由后端校验。AC-G30-2，系统角色不会出现在应用角色列表。AC-G30-3，最后一个有效管理入口不能被普通操作意外删除。</w:t>
      </w:r>
    </w:p>
    <w:p>
      <w:pPr>
        <w:pStyle w:val="Heading2"/>
      </w:pPr>
      <w:r>
        <w:t>8.13 G31｜账号安全设置</w:t>
      </w:r>
    </w:p>
    <w:p>
      <w:r>
        <w:rPr>
          <w:b w:val="0"/>
        </w:rPr>
        <w:t>依据：原方案§5.2.8.2，附件第38页。</w:t>
      </w:r>
    </w:p>
    <w:p>
      <w:r>
        <w:rPr>
          <w:b w:val="0"/>
        </w:rPr>
        <w:t>采用四个表单分组：密码要求、改密策略、登录保护、恢复策略。页面显示当前生效版本、最近修改人、修改时间，保存前预览影响；已经发出的登录事务是否沿用旧策略由后端明确。</w:t>
      </w:r>
    </w:p>
    <w:tbl>
      <w:tblPr>
        <w:tblW w:type="auto" w:w="0"/>
        <w:jc w:val="center"/>
        <w:tblLayout w:type="fixed"/>
        <w:tblLook w:firstColumn="1" w:firstRow="1" w:lastColumn="0" w:lastRow="0" w:noHBand="0" w:noVBand="1" w:val="04A0"/>
      </w:tblPr>
      <w:tblGrid>
        <w:gridCol w:w="1701"/>
        <w:gridCol w:w="3685"/>
        <w:gridCol w:w="4252"/>
      </w:tblGrid>
      <w:tr>
        <w:trPr>
          <w:cantSplit/>
          <w:tblHeader/>
        </w:trPr>
        <w:tc>
          <w:tcPr>
            <w:tcW w:type="dxa" w:w="1701"/>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配置项</w:t>
            </w:r>
          </w:p>
        </w:tc>
        <w:tc>
          <w:tcPr>
            <w:tcW w:type="dxa" w:w="3685"/>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页面控件</w:t>
            </w:r>
          </w:p>
        </w:tc>
        <w:tc>
          <w:tcPr>
            <w:tcW w:type="dxa" w:w="4252"/>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行为要求</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密码长度/复杂度</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InputNumber、Checkbox</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显示取值范围和示例，不在多个页面各写一套正则</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密码黑名单</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上传/受控维护入口</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只提供安全检查结果，不回显用户真实密码</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首次登录强制改密</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Switch</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创建用户后按策略标记，不能仅在前端弹窗提示</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使用初始密码强制改密</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Switch</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原方案要求能力；生产不得通过关闭策略保留已知弱凭据</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定期改密及周期</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Switch、InputNumber</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保留原方案配置能力；实际默认周期由安全评审确定</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连续失败阈值、锁定时间</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InputNumber</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账号与来源的限流策略由后端执行；不可无限试错</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找回/重置后会话处理</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受控选项</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D补充；默认建议撤销其他会话，准确显示传播状态</w:t>
            </w:r>
          </w:p>
        </w:tc>
      </w:tr>
    </w:tbl>
    <w:p>
      <w:pPr>
        <w:spacing w:after="40"/>
      </w:pPr>
    </w:p>
    <w:p>
      <w:r>
        <w:rPr>
          <w:b w:val="0"/>
        </w:rPr>
        <w:t>不在本文宣称某一固定密码长度或改密周期已满足全部法律标准。具体阈值必须由安全责任方确认；策略值在前端展示只是交互，后端所有入口都必须执行。</w:t>
      </w:r>
    </w:p>
    <w:p>
      <w:r>
        <w:rPr>
          <w:b/>
        </w:rPr>
        <w:t>验收：</w:t>
      </w:r>
      <w:r>
        <w:rPr>
          <w:b w:val="0"/>
        </w:rPr>
        <w:t xml:space="preserve"> AC-G31-1，直接调用接口也遵守策略。AC-G31-2，策略不能保存为负数、零有效期或互相矛盾配置。AC-G31-3，变更可审计且可追溯到版本。</w:t>
      </w:r>
    </w:p>
    <w:p>
      <w:pPr>
        <w:pStyle w:val="Heading2"/>
      </w:pPr>
      <w:r>
        <w:t>8.14 G32｜单点登录设置</w:t>
      </w:r>
    </w:p>
    <w:p>
      <w:r>
        <w:rPr>
          <w:b w:val="0"/>
        </w:rPr>
        <w:t>依据：原方案§5.2.8.2，附件第38页。</w:t>
      </w:r>
    </w:p>
    <w:p>
      <w:r>
        <w:rPr>
          <w:b w:val="0"/>
        </w:rPr>
        <w:t>配置单点登录相关令牌有效期和单点退出开关，属于原方案能力。本文进一步将“认证会话时长、授权码时长、访问令牌时长、刷新令牌策略”分开显示，避免一个“Token有效期”被错误套用到所有对象。哪些令牌实际存在取决于已选协议，未启用的类型不出现无效配置。</w:t>
      </w:r>
    </w:p>
    <w:p>
      <w:r>
        <w:rPr>
          <w:b w:val="0"/>
        </w:rPr>
        <w:t>生效说明明确对新发令牌和存量令牌的处理。缩短未来有效期不等于已发令牌立即作废；需立即回收时使用会话/令牌撤销机制。单点退出开关显示各应用支持情况和通知失败记录。凭据和时长的允许范围由认证服务返回。</w:t>
      </w:r>
    </w:p>
    <w:p>
      <w:r>
        <w:rPr>
          <w:b/>
        </w:rPr>
        <w:t>验收：</w:t>
      </w:r>
      <w:r>
        <w:rPr>
          <w:b w:val="0"/>
        </w:rPr>
        <w:t xml:space="preserve"> AC-G32-1，不同令牌类型具有独立约束。AC-G32-2，关闭下游退出通知不保留已经退出的平台会话。AC-G32-3，页面不承诺尚未具备的下游回收能力。</w:t>
      </w:r>
    </w:p>
    <w:p>
      <w:pPr>
        <w:pStyle w:val="Heading2"/>
      </w:pPr>
      <w:r>
        <w:t>8.15 G33｜字段加密设置</w:t>
      </w:r>
    </w:p>
    <w:p>
      <w:r>
        <w:rPr>
          <w:b w:val="0"/>
        </w:rPr>
        <w:t>依据：原方案§5.2.8.2，附件第38页。</w:t>
      </w:r>
    </w:p>
    <w:p>
      <w:r>
        <w:rPr>
          <w:b w:val="0"/>
        </w:rPr>
        <w:t>S要求按敏感字段提供不同级别的国密算法加密配置。本文不从原文推断具体算法、密钥长度或认证资质；由安全技术方案给出可用的受审查加密配置。产品页面使用“加密配置名称/密钥版本引用”，不允许管理员任意输入算法名称并宣称安全。</w:t>
      </w:r>
    </w:p>
    <w:p>
      <w:r>
        <w:rPr>
          <w:b w:val="0"/>
        </w:rPr>
        <w:t>列表列为对象类型、字段名称、敏感级别、存储保护状态、脱敏策略、密钥引用、迁移状态、操作。加密、前端脱敏与访问权限是三个不同维度，不能用星号遮罩替代后端保护。密码采用专门的安全密码存储机制，不进入可逆字段加密配置。</w:t>
      </w:r>
    </w:p>
    <w:p>
      <w:r>
        <w:rPr>
          <w:b w:val="0"/>
        </w:rPr>
        <w:t>更改已有字段保护策略时先统计涉及记录并创建后台迁移任务，展示排队、执行、完成、失败；迁移未完成不能提示“全部数据已加密”。密钥本体不在普通页面展示、导出或写日志。</w:t>
      </w:r>
    </w:p>
    <w:p>
      <w:r>
        <w:rPr>
          <w:b/>
        </w:rPr>
        <w:t>验收：</w:t>
      </w:r>
      <w:r>
        <w:rPr>
          <w:b w:val="0"/>
        </w:rPr>
        <w:t xml:space="preserve"> AC-G33-1，脱敏权限不能通过前端取消遮罩获得无权明文。AC-G33-2，迁移失败可定位，旧数据保护情况明确。AC-G33-3，密钥与业务字段分开管理。</w:t>
      </w:r>
    </w:p>
    <w:p>
      <w:pPr>
        <w:pStyle w:val="Heading2"/>
      </w:pPr>
      <w:r>
        <w:t>8.16 G34｜API访问限制</w:t>
      </w:r>
    </w:p>
    <w:p>
      <w:r>
        <w:rPr>
          <w:b w:val="0"/>
        </w:rPr>
        <w:t>依据：原方案§5.2.8.2，附件第38页。保留异常业务系统IP黑名单能力；额外白名单策略并非原文要求，不默认列为已确定范围。</w:t>
      </w:r>
    </w:p>
    <w:p>
      <w:r>
        <w:rPr>
          <w:b w:val="0"/>
        </w:rPr>
        <w:t>列表列为IP/网段、应用范围、原因、启停状态、创建人、创建时间、操作；新增表单校验IPv4、IPv6或支持的CIDR格式，是否支持网段属于D细化。保存前识别当前管理员或网关来源被误封风险，并要求明确确认。</w:t>
      </w:r>
    </w:p>
    <w:p>
      <w:r>
        <w:rPr>
          <w:b w:val="0"/>
        </w:rPr>
        <w:t>源IP判定必须由可信代理链和服务端配置确定，不能信任任意客户端填写的X-Forwarded-For。黑名单仅是额外访问限制，不代替认证和API授权。失败提示不暴露整套安全规则。</w:t>
      </w:r>
    </w:p>
    <w:p>
      <w:r>
        <w:rPr>
          <w:b/>
        </w:rPr>
        <w:t>验收：</w:t>
      </w:r>
      <w:r>
        <w:rPr>
          <w:b w:val="0"/>
        </w:rPr>
        <w:t xml:space="preserve"> AC-G34-1，修改客户端伪造IP头不能绕过。AC-G34-2，被禁用的规则不生效但保留历史。AC-G34-3，批量重复规则可识别并避免重复创建。</w:t>
      </w:r>
    </w:p>
    <w:p>
      <w:pPr>
        <w:pStyle w:val="Heading2"/>
      </w:pPr>
      <w:r>
        <w:t>8.17 G35｜系统名称与品牌设置</w:t>
      </w:r>
    </w:p>
    <w:p>
      <w:r>
        <w:rPr>
          <w:b w:val="0"/>
        </w:rPr>
        <w:t>依据：原方案§5.2.8.2，附件第38页。</w:t>
      </w:r>
    </w:p>
    <w:p>
      <w:r>
        <w:rPr>
          <w:b w:val="0"/>
        </w:rPr>
        <w:t>字段为系统名称、Logo、登录窗口名称/必要说明；显示当前配置和受控预览。Logo上传格式校验复用应用图标规则；预览覆盖展开/折叠导航与认证页，不允许长名称撑破布局。保存后按版本刷新，不要求用户清空全部浏览器缓存。</w:t>
      </w:r>
    </w:p>
    <w:p>
      <w:r>
        <w:rPr>
          <w:b w:val="0"/>
        </w:rPr>
        <w:t>品牌配置只影响系统识别，不允许输入脚本、外部HTML和任意CSS。没有配置Logo时使用统一默认标识，不显示破损图片；名称中不得自动出现“演示”“Demo”等与生产用途不符的文案。</w:t>
      </w:r>
    </w:p>
    <w:p>
      <w:r>
        <w:rPr>
          <w:b/>
        </w:rPr>
        <w:t>验收：</w:t>
      </w:r>
      <w:r>
        <w:rPr>
          <w:b w:val="0"/>
        </w:rPr>
        <w:t xml:space="preserve"> AC-G35-1，配置长名称和透明Logo仍保持对齐。AC-G35-2，恶意文件和脚本内容被拒绝。AC-G35-3，两侧域配置关系按部署设计明确，不互相误覆盖。</w:t>
      </w:r>
    </w:p>
    <w:p>
      <w:pPr>
        <w:pStyle w:val="Heading2"/>
      </w:pPr>
      <w:r>
        <w:t>8.18 G36｜账号解锁</w:t>
      </w:r>
    </w:p>
    <w:p>
      <w:r>
        <w:rPr>
          <w:b w:val="0"/>
        </w:rPr>
        <w:t>依据：原方案§5.2.8.3，附件第38—39页。</w:t>
      </w:r>
    </w:p>
    <w:p>
      <w:r>
        <w:rPr>
          <w:b w:val="0"/>
        </w:rPr>
        <w:t>列表展示账号、姓名、锁定原因、锁定时间、预计解锁时间、账号启停状态、最近失败次数、操作。支持关键词、原因和时间筛选。点击“解锁”弹出目标确认与原因输入；完成后只清除锁定状态，不更改密码、不重启已停用账号、不新建授权。</w:t>
      </w:r>
    </w:p>
    <w:p>
      <w:r>
        <w:rPr>
          <w:b/>
        </w:rPr>
        <w:t>验收：</w:t>
      </w:r>
      <w:r>
        <w:rPr>
          <w:b w:val="0"/>
        </w:rPr>
        <w:t xml:space="preserve"> AC-G36-1，停用且锁定用户解锁后仍不能登录。AC-G36-2，重复解锁具有幂等结果。AC-G36-3，人工解锁留下操作者、原因和时间。</w:t>
      </w:r>
    </w:p>
    <w:p>
      <w:pPr>
        <w:pStyle w:val="Heading2"/>
      </w:pPr>
      <w:r>
        <w:t>8.19 G37｜个人中心</w:t>
      </w:r>
    </w:p>
    <w:p>
      <w:r>
        <w:rPr>
          <w:b w:val="0"/>
        </w:rPr>
        <w:t>依据：原方案§5.2.9，附件第39页。</w:t>
      </w:r>
    </w:p>
    <w:p>
      <w:r>
        <w:rPr>
          <w:b w:val="0"/>
        </w:rPr>
        <w:t>页面显示当前姓名、账号、头像/标识、主职信息、联系方式；允许编辑的字段由用户来源和权限确定。组织、职务、角色及数据范围不能在个人中心自助修改。手机或邮箱作为认证因子时，修改必须验证原有身份并按安全绑定流程处理，不作为普通资料字段直接保存。</w:t>
      </w:r>
    </w:p>
    <w:p>
      <w:r>
        <w:rPr>
          <w:b w:val="0"/>
        </w:rPr>
        <w:t>“修改密码”跳转A04；支持查看个人必要安全信息为D补充，不默认给普通用户完整后台审计入口。上游只读字段说明“由上游身份源维护”，提供明确联系对象。</w:t>
      </w:r>
    </w:p>
    <w:p>
      <w:r>
        <w:rPr>
          <w:b/>
        </w:rPr>
        <w:t>验收：</w:t>
      </w:r>
      <w:r>
        <w:rPr>
          <w:b w:val="0"/>
        </w:rPr>
        <w:t xml:space="preserve"> AC-G37-1，修改自己的资料接口不能通过更改userId修改他人。AC-G37-2，编辑联系方式不会绕过认证要素绑定验证。</w:t>
      </w:r>
    </w:p>
    <w:p>
      <w:bookmarkStart w:id="9" w:name="ch_9"/>
      <w:pPr>
        <w:pStyle w:val="Heading1"/>
      </w:pPr>
      <w:r>
        <w:t>09　公众侧认证与管理平台</w:t>
      </w:r>
      <w:bookmarkEnd w:id="9"/>
    </w:p>
    <w:p>
      <w:pPr>
        <w:pStyle w:val="Heading2"/>
      </w:pPr>
      <w:r>
        <w:t>9.1 P01｜自然人、法人登录</w:t>
      </w:r>
    </w:p>
    <w:p>
      <w:r>
        <w:rPr>
          <w:b w:val="0"/>
        </w:rPr>
        <w:t>依据：原方案§5.3.1—5.3.2，附件第39—40页。</w:t>
      </w:r>
    </w:p>
    <w:p>
      <w:r>
        <w:rPr>
          <w:b w:val="0"/>
        </w:rPr>
        <w:t>沿用A01认证模板，但提供明确的自然人/法人身份入口，并支持PC和移动网页。账号密码、短信、已接入的人脸、支付宝、微信按当前身份类型和配置展示；缺失供应商时不展示可点击却永远成功的占位功能。</w:t>
      </w:r>
    </w:p>
    <w:p>
      <w:r>
        <w:rPr>
          <w:b w:val="0"/>
        </w:rPr>
        <w:t>法人登录后显示正在使用的法人账户或经验证的代理关系，不把自然人的实名状态自动视为法人授权。注册入口分别指向P02/P03。第三方登录成功只说明该提供方返回了相应身份声明，是否建立本地账户和关联已有账户必须经过显式规则，不能仅凭相同姓名合并。</w:t>
      </w:r>
    </w:p>
    <w:p>
      <w:r>
        <w:rPr>
          <w:b w:val="0"/>
        </w:rPr>
        <w:t>原文中的对外密码模式登录接口按第12章现代化处理；公众侧与政企侧的会话、client_id、令牌受众分开。是否允许同一自然人作为政企用户建立关联，是C项，不因手机号相同自动归并。</w:t>
      </w:r>
    </w:p>
    <w:p>
      <w:r>
        <w:rPr>
          <w:b/>
        </w:rPr>
        <w:t>验收：</w:t>
      </w:r>
      <w:r>
        <w:rPr>
          <w:b w:val="0"/>
        </w:rPr>
        <w:t xml:space="preserve"> AC-P01-1，自然人和法人入口不会混用账号资料。AC-P01-2，扫码取消、过期、供应商异常分别反馈。AC-P01-3，第三方账号不能按姓名直接覆盖已有本地身份。</w:t>
      </w:r>
    </w:p>
    <w:p>
      <w:pPr>
        <w:pStyle w:val="Heading2"/>
      </w:pPr>
      <w:r>
        <w:t>9.2 P02｜自然人注册</w:t>
      </w:r>
    </w:p>
    <w:p>
      <w:r>
        <w:rPr>
          <w:b w:val="0"/>
        </w:rPr>
        <w:t>依据：原方案§5.3.3，附件第40页。原文仅明确注册能力，未给出字段明细；下表为待业务确认的最小化D字段集合。</w:t>
      </w:r>
    </w:p>
    <w:p>
      <w:r>
        <w:rPr>
          <w:b w:val="0"/>
        </w:rPr>
        <w:t>页面Steps建议为账户信息 → 验证与确认 → 注册结果，实名校验如需独立流程则不假称已由注册完成。普通输入使用单列表单，最多一屏一个清晰任务；移动端主按钮宽度随容器，不堆叠复杂说明。</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字段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必填规则</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校验及保护</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登录账号</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是；若决定手机号即账号可合并此字段</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身份域内唯一，规则与登录一致</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手机及验证码</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已采用手机号验证时必填</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验证码绑定注册事务和手机号，服务端限流</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密码、确认密码</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密码账户必填</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使用公众域有效策略；不默认复用政企域策略值</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姓名</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是否必填由实名方案确定</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不用“姓名相同”作为唯一身份依据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证件类型、号码</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仅实名业务确有必要时要求</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服务端核验、最小化采集、脱敏；不能默认全文导出</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必要服务声明</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按实际条款展示</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不默认勾选；用途、保存及处理规则须由责任方提供</w:t>
            </w:r>
          </w:p>
        </w:tc>
      </w:tr>
    </w:tbl>
    <w:p>
      <w:pPr>
        <w:spacing w:after="40"/>
      </w:pPr>
    </w:p>
    <w:p>
      <w:r>
        <w:rPr>
          <w:b w:val="0"/>
        </w:rPr>
        <w:t>提交前进行账号冲突与验证状态检查。重复提交使用注册事务ID去重；注册成功显示登录或返回业务应用入口。若实名服务未完成，只显示“注册成功，实名状态未核验/待核验”，不得显示绿色“已实名”。</w:t>
      </w:r>
    </w:p>
    <w:p>
      <w:r>
        <w:rPr>
          <w:b/>
        </w:rPr>
        <w:t>验收：</w:t>
      </w:r>
      <w:r>
        <w:rPr>
          <w:b w:val="0"/>
        </w:rPr>
        <w:t xml:space="preserve"> AC-P02-1，未完成必要手机号验证不能创建可用账号。AC-P02-2，重复提交不产生两个用户。AC-P02-3，注册成功和实名状态独立。AC-P02-4，公开页面不泄露已有自然人完整资料。</w:t>
      </w:r>
    </w:p>
    <w:p>
      <w:pPr>
        <w:pStyle w:val="Heading2"/>
      </w:pPr>
      <w:r>
        <w:t>9.3 P03｜法人注册</w:t>
      </w:r>
    </w:p>
    <w:p>
      <w:r>
        <w:rPr>
          <w:b w:val="0"/>
        </w:rPr>
        <w:t>依据：原方案§5.3.3，附件第40—41页。法人是组织主体，不是“法定代表人”的简称。</w:t>
      </w:r>
    </w:p>
    <w:p>
      <w:r>
        <w:rPr>
          <w:b w:val="0"/>
        </w:rPr>
        <w:t>页面分账户信息、法人信息、联系人/经办人及结果。建议字段包括法人名称、统一社会信用代码或当地适用登记标识、账号、认证方式、经办人联系方式；不同地区法人标识不得硬套一种中国编码规则。法人证明材料、法定代表人信息、经办关系核验是否需要，由实际实名和关系方案决定，不将附件未说明的人工审批平台默认扩展为既定功能。</w:t>
      </w:r>
    </w:p>
    <w:p>
      <w:r>
        <w:rPr>
          <w:b w:val="0"/>
        </w:rPr>
        <w:t>重复法人标识时不直接新建第二个法人，也不把当前注册人自动关联为管理者；提示通过已确定的找回或关系验证流程处理。关系未核验的账户不能冒充已获法人授权。结果页分别展示账户创建和法人核验/关系核验状态。</w:t>
      </w:r>
    </w:p>
    <w:p>
      <w:r>
        <w:rPr>
          <w:b/>
        </w:rPr>
        <w:t>验收：</w:t>
      </w:r>
      <w:r>
        <w:rPr>
          <w:b w:val="0"/>
        </w:rPr>
        <w:t xml:space="preserve"> AC-P03-1，法人名称与自然人姓名分开存储和显示。AC-P03-2，重复登记标识不能绕过验证接管法人账户。AC-P03-3，未核验时不展示已认证状态。C-04未关闭前，只实现已明确的注册与状态展示，不启用不确定的法人权限。</w:t>
      </w:r>
    </w:p>
    <w:p>
      <w:pPr>
        <w:pStyle w:val="Heading2"/>
      </w:pPr>
      <w:r>
        <w:t>9.4 P04｜公众密码服务</w:t>
      </w:r>
    </w:p>
    <w:p>
      <w:r>
        <w:rPr>
          <w:b w:val="0"/>
        </w:rPr>
        <w:t>依据：原方案§5.3.4，附件第41页。</w:t>
      </w:r>
    </w:p>
    <w:p>
      <w:r>
        <w:rPr>
          <w:b w:val="0"/>
        </w:rPr>
        <w:t>复用A03/A04的表单与状态组件，使用公众域账户、策略和校验通道。自然人、法人分别定位相应账户，不将法人联系人手机号的控制权直接等同于法人账户控制权；找回方式依据已验证绑定关系。找回失败不暴露法人或关联人员敏感数据。</w:t>
      </w:r>
    </w:p>
    <w:p>
      <w:r>
        <w:rPr>
          <w:b/>
        </w:rPr>
        <w:t>验收：</w:t>
      </w:r>
      <w:r>
        <w:rPr>
          <w:b w:val="0"/>
        </w:rPr>
        <w:t xml:space="preserve"> AC-P04-1，公众找回接口不能重置政企管理员密码。AC-P04-2，重置后状态、会话与安全通知按公众域策略执行。</w:t>
      </w:r>
    </w:p>
    <w:p>
      <w:pPr>
        <w:pStyle w:val="Heading2"/>
      </w:pPr>
      <w:r>
        <w:t>9.5 C01｜公众侧概览</w:t>
      </w:r>
    </w:p>
    <w:p>
      <w:r>
        <w:rPr>
          <w:b w:val="0"/>
        </w:rPr>
        <w:t>依据：原方案§5.4.2，附件第41—42页。</w:t>
      </w:r>
    </w:p>
    <w:p>
      <w:r>
        <w:rPr>
          <w:b w:val="0"/>
        </w:rPr>
        <w:t>指标为应用总数、用户总数、本月登录用户人数、本月登录用户次数；用户总数可拆分自然人与法人，明确两类对象计数，不能将关联子账号重复算作独立法人。下方显示近一周登录次数趋势和本月排行；筛选身份类型和日期。</w:t>
      </w:r>
    </w:p>
    <w:p>
      <w:r>
        <w:rPr>
          <w:b w:val="0"/>
        </w:rPr>
        <w:t>公众侧概览采用与G01一致的卡片、对齐和图表规范，但取数严格限于公众域。当前后台访问者数量不能混入公众用户登录次数。</w:t>
      </w:r>
    </w:p>
    <w:p>
      <w:r>
        <w:rPr>
          <w:b/>
        </w:rPr>
        <w:t>验收：</w:t>
      </w:r>
      <w:r>
        <w:rPr>
          <w:b w:val="0"/>
        </w:rPr>
        <w:t xml:space="preserve"> AC-C01-1，人数与次数统计口径不同且准确。AC-C01-2，登录公共应用与登录管理后台可区分。</w:t>
      </w:r>
    </w:p>
    <w:p>
      <w:pPr>
        <w:pStyle w:val="Heading2"/>
      </w:pPr>
      <w:r>
        <w:t>9.6 C02｜公众侧应用管理</w:t>
      </w:r>
    </w:p>
    <w:p>
      <w:r>
        <w:rPr>
          <w:b w:val="0"/>
        </w:rPr>
        <w:t>依据：原方案§5.4.3，附件第42页。</w:t>
      </w:r>
    </w:p>
    <w:p>
      <w:r>
        <w:rPr>
          <w:b w:val="0"/>
        </w:rPr>
        <w:t>复用G02/G03的应用登记和接入配置组件，字段包含应用名称、编码、环境、接入方式、访问/回调地址、凭据及启停状态。用户类型明确自然人、法人或两者；允许的认证方式与所选类型匹配。</w:t>
      </w:r>
    </w:p>
    <w:p>
      <w:r>
        <w:rPr>
          <w:b w:val="0"/>
        </w:rPr>
        <w:t>原方案公众侧没有逐项要求完整的应用资源树、权限组和机构同步管理页面，首版不自动复制。公众应用具体授权模型须由业务接入协议明确；“应用已登记”和“所有公众均可访问”不是同义词。系统至少提供目标应用状态和访问资格校验接口，何种公众业务资格被接受属于C-05。</w:t>
      </w:r>
    </w:p>
    <w:p>
      <w:r>
        <w:rPr>
          <w:b/>
        </w:rPr>
        <w:t>验收：</w:t>
      </w:r>
      <w:r>
        <w:rPr>
          <w:b w:val="0"/>
        </w:rPr>
        <w:t xml:space="preserve"> AC-C02-1，公众应用凭据不能访问政企域身份数据。AC-C02-2，未配置完成的认证方式不出现在应用登录页。AC-C02-3，公众应用访问策略必须显式配置或按合同验证，不默认放行。</w:t>
      </w:r>
    </w:p>
    <w:p>
      <w:pPr>
        <w:pStyle w:val="Heading2"/>
      </w:pPr>
      <w:r>
        <w:t>9.7 C03｜自然人管理</w:t>
      </w:r>
    </w:p>
    <w:p>
      <w:r>
        <w:rPr>
          <w:b w:val="0"/>
        </w:rPr>
        <w:t>依据：原方案§5.4.4，附件第42页。</w:t>
      </w:r>
    </w:p>
    <w:p>
      <w:r>
        <w:rPr>
          <w:b w:val="0"/>
        </w:rPr>
        <w:t>筛选姓名/账号、脱敏手机号可匹配条件、账号状态、实名状态、注册时间；表格列为姓名、账号、手机（脱敏）、实名状态、启停状态、注册时间、最近登录、操作。主操作为查看、启用/停用，不提供原文未要求的任意修改实名结果功能。</w:t>
      </w:r>
    </w:p>
    <w:p>
      <w:r>
        <w:rPr>
          <w:b w:val="0"/>
        </w:rPr>
        <w:t>详情Tabs为基本信息、关联法人、实名认证信息、应用登录记录。基本信息包含身份ID、来源、联系方式和受控扩展字段；实名信息显示核验状态、核验渠道、时间和脱敏结果；关联法人显示法人名称、关系类型、状态、有效时间和来源。没有关系时显示Empty，不制造默认关联。</w:t>
      </w:r>
    </w:p>
    <w:p>
      <w:r>
        <w:rPr>
          <w:b w:val="0"/>
        </w:rPr>
        <w:t>停用需说明影响并写审计，保留关联关系和历史日志。查看证件等敏感信息需独立字段权限，服务端控制返回，不只是浏览器遮罩。</w:t>
      </w:r>
    </w:p>
    <w:p>
      <w:r>
        <w:rPr>
          <w:b/>
        </w:rPr>
        <w:t>验收：</w:t>
      </w:r>
      <w:r>
        <w:rPr>
          <w:b w:val="0"/>
        </w:rPr>
        <w:t xml:space="preserve"> AC-C03-1，查看详情不返回无权完整证件。AC-C03-2，关联法人可追溯但不自动授予其管理权限。AC-C03-3，停用保留核验历史，不能再建立合法登录会话。</w:t>
      </w:r>
    </w:p>
    <w:p>
      <w:pPr>
        <w:pStyle w:val="Heading2"/>
      </w:pPr>
      <w:r>
        <w:t>9.8 C04｜法人管理、子账号与日志</w:t>
      </w:r>
    </w:p>
    <w:p>
      <w:r>
        <w:rPr>
          <w:b w:val="0"/>
        </w:rPr>
        <w:t>依据：原方案§5.4.5，附件第42页。</w:t>
      </w:r>
    </w:p>
    <w:p>
      <w:r>
        <w:rPr>
          <w:b w:val="0"/>
        </w:rPr>
        <w:t>列表筛选法人名称、登记标识、账号状态、实名状态、注册时间；列为法人名称、账号、登记标识（按权限）、联系人摘要、实名状态、启停状态、注册时间、操作。</w:t>
      </w:r>
    </w:p>
    <w:p>
      <w:r>
        <w:rPr>
          <w:b w:val="0"/>
        </w:rPr>
        <w:t>详情分基本信息、关联自然人、实名认证信息、应用登录记录、法人子账号、子账号登录日志六个Tabs。子账号列表显示子账号ID/账号、名称、所属法人、关系来源、状态、最近登录；子账号日志必须关联到具体子账号，不能全部写成法人主账号登录。</w:t>
      </w:r>
    </w:p>
    <w:p>
      <w:r>
        <w:rPr>
          <w:b w:val="0"/>
        </w:rPr>
        <w:t>“查看关联子账号及其日志”是S能力；子账号创建、邀请、授权、解绑和审批流程原文未定义，不能因为有列表就默认为已获得管理规则。基线只展示来源系统已建立的关系；后续启用写操作须明确责任人验证与回收机制。</w:t>
      </w:r>
    </w:p>
    <w:p>
      <w:r>
        <w:rPr>
          <w:b/>
        </w:rPr>
        <w:t>验收：</w:t>
      </w:r>
      <w:r>
        <w:rPr>
          <w:b w:val="0"/>
        </w:rPr>
        <w:t xml:space="preserve"> AC-C04-1，法人主账户与子账号的登录主体可区分。AC-C04-2，查看法人A不会获取法人B子账号。AC-C04-3，关联自然人与法人关系未经核验时明确标识。</w:t>
      </w:r>
    </w:p>
    <w:p>
      <w:pPr>
        <w:pStyle w:val="Heading2"/>
      </w:pPr>
      <w:r>
        <w:t>9.9 C05—C06｜公众审计与日志</w:t>
      </w:r>
    </w:p>
    <w:p>
      <w:r>
        <w:rPr>
          <w:b w:val="0"/>
        </w:rPr>
        <w:t>依据：原方案§5.4.6—5.4.7，附件第43页。</w:t>
      </w:r>
    </w:p>
    <w:p>
      <w:r>
        <w:rPr>
          <w:b w:val="0"/>
        </w:rPr>
        <w:t>C05保留用户新增趋势、登录次数趋势、登录人数趋势。自然人与法人可分开统计；关联关系新增不是“新增用户”。无历史数据时明确统计起点。</w:t>
      </w:r>
    </w:p>
    <w:p>
      <w:r>
        <w:rPr>
          <w:b w:val="0"/>
        </w:rPr>
        <w:t>C06提供单点登录日志、平台操作日志、API日志三个页签，字段及交互复用G26/G27。来源域、主体类型、目标应用必须可筛选；日志详情及导出按公众域敏感信息策略处理。系统管理中的“系统登录日志”入口引用相同日志数据，不重复记录一次登录。</w:t>
      </w:r>
    </w:p>
    <w:p>
      <w:r>
        <w:rPr>
          <w:b/>
        </w:rPr>
        <w:t>验收：</w:t>
      </w:r>
      <w:r>
        <w:rPr>
          <w:b w:val="0"/>
        </w:rPr>
        <w:t xml:space="preserve"> AC-C05-1，新增用户与新增关系不混计。AC-C06-1，后台日志、应用SSO日志和API日志可区分且能串联同一请求。AC-C06-2，不同角色可见的日志范围由后端限制。</w:t>
      </w:r>
    </w:p>
    <w:p>
      <w:pPr>
        <w:pStyle w:val="Heading2"/>
      </w:pPr>
      <w:r>
        <w:t>9.10 C07—C09｜公众侧系统管理</w:t>
      </w:r>
    </w:p>
    <w:p>
      <w:r>
        <w:rPr>
          <w:b w:val="0"/>
        </w:rPr>
        <w:t>依据：原方案§5.4.8，附件第43页。</w:t>
      </w:r>
    </w:p>
    <w:p>
      <w:r>
        <w:rPr>
          <w:b w:val="0"/>
        </w:rPr>
        <w:t>C07系统成员管理支持新增、启用、停用；C08系统角色支持新增、编辑、启停和成员关联，配置公众后台功能与相应数据范围。与政企侧共享管理组件，但角色ID、权限域与访问令牌受众不可混用。公众普通注册用户不能自动成为公众侧管理员。</w:t>
      </w:r>
    </w:p>
    <w:p>
      <w:r>
        <w:rPr>
          <w:b w:val="0"/>
        </w:rPr>
        <w:t>C09分账号安全与登录窗口设置。安全项包括密码强度、密码黑名单、账号锁定、首次改密、初始密码改密、定期改密等源能力；登录窗口配置Logo和名称。沿用G31/G35的校验与视觉要求。两域策略可以不同，是否支持统一继承由部署设计确认。</w:t>
      </w:r>
    </w:p>
    <w:p>
      <w:r>
        <w:rPr>
          <w:b/>
        </w:rPr>
        <w:t>验收：</w:t>
      </w:r>
      <w:r>
        <w:rPr>
          <w:b w:val="0"/>
        </w:rPr>
        <w:t xml:space="preserve"> AC-C07-1，公众用户注册不产生后台角色。AC-C08-1，公众角色不能授权政企菜单。AC-C09-1，安全设置变更经过服务端验证并有审计。</w:t>
      </w:r>
    </w:p>
    <w:p>
      <w:bookmarkStart w:id="10" w:name="ch_10"/>
      <w:pPr>
        <w:pStyle w:val="Heading1"/>
      </w:pPr>
      <w:r>
        <w:t>10　权限、数据与跨模块业务规则</w:t>
      </w:r>
      <w:bookmarkEnd w:id="10"/>
    </w:p>
    <w:p>
      <w:r>
        <w:rPr>
          <w:b w:val="0"/>
        </w:rPr>
        <w:t>本章将原方案的集中授权、分级管理、身份同步细化为可实施规则。除已引用的源能力外，具体计算方式、时效、并发控制和数据状态均为D，须在需求评审时确认；不代表原方案已经规定这些细节。</w:t>
      </w:r>
    </w:p>
    <w:p>
      <w:pPr>
        <w:pStyle w:val="Heading2"/>
      </w:pPr>
      <w:r>
        <w:t>10.1 BR-01｜四类资格严格区分</w:t>
      </w:r>
    </w:p>
    <w:p>
      <w:r>
        <w:rPr>
          <w:b w:val="0"/>
        </w:rPr>
        <w:t>通过身份认证只能说明“是谁”；应用访问授权说明“是否可进入某应用”；应用角色与资源说明“进入后可做什么”；平台管理角色说明“可管理本平台哪些内容”。API授权还需校验调用主体、范围和有效凭据。不得用一个isAdmin布尔值替代所有上述判断。</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判断对象</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权限来源</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强制执行位置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平台页面及管理动作</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系统角色、管理范围、分级委派</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管理API；前端仅控制可见与可操作体验</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业务应用入口</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用户、机构、权限组等访问关系</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认证/授权服务与接入应用</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业务应用菜单按钮</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应用角色和资源关系</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应用服务端执行业务权限；前端显示相应菜单按钮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平台开放API</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应用或用户API授权</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API鉴权层及具体业务服务</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敏感字段</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字段可见策略、用途与管理范围</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服务端查询结果和导出结果生成</w:t>
            </w:r>
          </w:p>
        </w:tc>
      </w:tr>
    </w:tbl>
    <w:p>
      <w:pPr>
        <w:spacing w:after="40"/>
      </w:pPr>
    </w:p>
    <w:p>
      <w:pPr>
        <w:pStyle w:val="Heading2"/>
      </w:pPr>
      <w:r>
        <w:t>10.2 BR-02｜有效授权与来源</w:t>
      </w:r>
    </w:p>
    <w:p>
      <w:r>
        <w:rPr>
          <w:b w:val="0"/>
        </w:rPr>
        <w:t>建议使用统一授权台账记录主体、应用、角色、来源、范围、起止时间、状态和版本。有效访问关系可按以下逻辑计算：</w:t>
      </w:r>
    </w:p>
    <w:p>
      <w:r>
        <w:rPr>
          <w:rFonts w:ascii="DejaVu Sans Mono" w:hAnsi="DejaVu Sans Mono"/>
          <w:b w:val="0"/>
          <w:sz w:val="17"/>
        </w:rPr>
        <w:t>应用可访问 = 账号可用 AND 应用启用 AND 存在至少一条当前有效访问来源 AND 满足访问策略</w:t>
      </w:r>
    </w:p>
    <w:p>
      <w:r>
        <w:rPr>
          <w:rFonts w:ascii="DejaVu Sans Mono" w:hAnsi="DejaVu Sans Mono"/>
          <w:b w:val="0"/>
          <w:sz w:val="17"/>
        </w:rPr>
        <w:t>有效资源 = 当前应用内各有效角色贡献资源的并集，再剔除停用资源及被明确阻断的项</w:t>
      </w:r>
    </w:p>
    <w:p>
      <w:r>
        <w:rPr>
          <w:b w:val="0"/>
        </w:rPr>
        <w:t>来源包括直接用户授权、有效任职命中的机构授权、有效权限组成员关系。时间限制和额外阻断策略如未启用，则不出现虚假的失效倒计时。应用访问资格和角色资源集合分开，配置应用角色时应保证存在相应访问关系或明确提示需要补充。</w:t>
      </w:r>
    </w:p>
    <w:p>
      <w:r>
        <w:rPr>
          <w:b w:val="0"/>
        </w:rPr>
        <w:t>移除授权是移除某条来源，不能默认清空所有来源。需要“完全阻断”时，应采用账号停用、应用停用或经确认的专门阻断策略；本项目不擅自添加复杂拒绝规则引擎。</w:t>
      </w:r>
    </w:p>
    <w:p>
      <w:pPr>
        <w:pStyle w:val="Heading2"/>
      </w:pPr>
      <w:r>
        <w:t>10.3 BR-03｜状态模型</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对象</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状态维度</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必须遵守的区分</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用户</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启停状态、锁定状态、凭据状态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启用不代表未锁定；解锁不代表启用；需改密不代表完整会话</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生命周期、检测状态、凭据状态</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检测通过不自动启用；密钥失效不等于应用被删除</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授权</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关系状态、计算有效性、传播状态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保存成功不代表所有下游均已确认</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同步</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源实体版本、目标同步版本、任务状态</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旧版本同步成功不代表新版本已同步</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公众身份</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注册状态、启停状态、实名状态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注册不自动实名；停用不删除已核验历史</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法人关系</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关联类型、来源、核验状态、有效时间</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自然人实名不自动证明其法人代理权</w:t>
            </w:r>
          </w:p>
        </w:tc>
      </w:tr>
    </w:tbl>
    <w:p>
      <w:pPr>
        <w:spacing w:after="40"/>
      </w:pPr>
    </w:p>
    <w:p>
      <w:r>
        <w:rPr>
          <w:b w:val="0"/>
        </w:rPr>
        <w:t>机构有效状态受自身及有效祖先状态约束。停用机构使其不再提供有效机构任职资格与继承授权；用户在其他有效机构仍有有效任职时，不因此全局停用账号。显式停用用户账号则阻断该用户全部正常登录，不受其他任职来源抵消。恢复机构时不自动开启原本被独立停用的子机构或用户。</w:t>
      </w:r>
    </w:p>
    <w:p>
      <w:pPr>
        <w:pStyle w:val="Heading2"/>
      </w:pPr>
      <w:r>
        <w:t>10.4 BR-04｜管理权限与范围</w:t>
      </w:r>
    </w:p>
    <w:p>
      <w:r>
        <w:rPr>
          <w:b w:val="0"/>
        </w:rPr>
        <w:t>管理授权由功能动作、机构范围、应用范围共同限定。管理员创建/编辑用户时检查目标用户任职是否在可管理范围；给应用授予用户权限时同时校验应用与用户对象范围，不能只校验其中之一。下级委派权限不得超过上级当前可委派的有效集合。</w:t>
      </w:r>
    </w:p>
    <w:p>
      <w:r>
        <w:rPr>
          <w:b w:val="0"/>
        </w:rPr>
        <w:t>同一管理员具有多个系统角色时，建议同一维度内合并可授予范围，再与当前动作所需约束求交。不能用“角色A有操作权+角色B看到某应用”推导出超出组织既定边界的组合越权；具体组合规则须在后端授权模型中统一实现并测试。</w:t>
      </w:r>
    </w:p>
    <w:p>
      <w:r>
        <w:rPr>
          <w:b w:val="0"/>
        </w:rPr>
        <w:t>身份域是硬边界，不通过普通角色范围跨越。若某人有两个域的管理员身份，分别建立上下文、令牌及授权记录，前端切换仅选择上下文，不建立万能跨域令牌。</w:t>
      </w:r>
    </w:p>
    <w:p>
      <w:pPr>
        <w:pStyle w:val="Heading2"/>
      </w:pPr>
      <w:r>
        <w:t>10.5 BR-05｜变更生效与缓存</w:t>
      </w:r>
    </w:p>
    <w:p>
      <w:r>
        <w:rPr>
          <w:b w:val="0"/>
        </w:rPr>
        <w:t>建议授权服务维护权限版本。管理修改提交成功返回变更ID、新版本和传播状态；接入应用通过在线鉴权、短周期缓存或撤销事件等已约定方式更新。前端清缓存不能让后端权限生效；只刷新菜单不能视为回收完成。</w:t>
      </w:r>
    </w:p>
    <w:p>
      <w:r>
        <w:rPr>
          <w:b w:val="0"/>
        </w:rPr>
        <w:t>本项目建议平台自身的停用/撤销在提交成功后立即对下一次受保护请求生效；跨应用效果按接入合同承诺时间验证，验收目标见第12章。不能仅签发一个长期离线JWT又承诺随时即时撤销，而不配备可执行的回收机制。</w:t>
      </w:r>
    </w:p>
    <w:p>
      <w:r>
        <w:rPr>
          <w:b w:val="0"/>
        </w:rPr>
        <w:t>权限更新时客户端收到403或明确版本变更应重新获取权限快照；不得将拒绝请求自动无限重试。正在编辑的无权操作在提交时仍须拒绝，并提示权限已变更。</w:t>
      </w:r>
    </w:p>
    <w:p>
      <w:pPr>
        <w:pStyle w:val="Heading2"/>
      </w:pPr>
      <w:r>
        <w:t>10.6 BR-06｜删除、归档和历史</w:t>
      </w:r>
    </w:p>
    <w:p>
      <w:r>
        <w:rPr>
          <w:b w:val="0"/>
        </w:rPr>
        <w:t>用户、机构、应用、角色及授权必须使用稳定ID关联；删除名称不删除历史操作记录。普通删除优先采用逻辑删除或归档，具体留存/清理规则由数据责任方确认。涉及子对象和引用时先校验依赖，返回可操作的引用信息。</w:t>
      </w:r>
    </w:p>
    <w:p>
      <w:r>
        <w:rPr>
          <w:b w:val="0"/>
        </w:rPr>
        <w:t>历史记录保存对象名称与编码的必要快照，避免对象改名后日志无法理解；敏感值不因“历史快照”成为泄漏出口。来源系统删除事件要保留墓碑或版本标记，避免旧同步任务恢复已删除对象。</w:t>
      </w:r>
    </w:p>
    <w:p>
      <w:pPr>
        <w:pStyle w:val="Heading2"/>
      </w:pPr>
      <w:r>
        <w:t>10.7 BR-07｜批量与并发</w:t>
      </w:r>
    </w:p>
    <w:p>
      <w:r>
        <w:rPr>
          <w:b w:val="0"/>
        </w:rPr>
        <w:t>批量操作包含操作ID、明确对象集合和所需版本。默认每个对象独立校验并返回逐项结果；必须整体一致的授权方案采用单事务提交，不允许不说明地半成功。页面必须知道当前操作是哪一种提交语义。</w:t>
      </w:r>
    </w:p>
    <w:p>
      <w:r>
        <w:rPr>
          <w:b w:val="0"/>
        </w:rPr>
        <w:t>相同幂等键和相同请求体重复提交返回原结果；相同键但不同请求体返回冲突。编辑和授权使用版本号或ETag，版本冲突返回409，不静默“最后一次保存覆盖”。不允许前端只靠按钮置灰防止重复创建。</w:t>
      </w:r>
    </w:p>
    <w:p>
      <w:pPr>
        <w:pStyle w:val="Heading2"/>
      </w:pPr>
      <w:r>
        <w:t>10.8 BR-08｜数据导入与导出</w:t>
      </w:r>
    </w:p>
    <w:p>
      <w:r>
        <w:rPr>
          <w:b w:val="0"/>
        </w:rPr>
        <w:t>导入顺序先验证文件类型、大小与结构，再做字段、唯一性和权限校验；预览仅展示当前管理员可操作对象。机构父子关系必须完整；用户导入不能通过额外列授予未声明的管理员权限。建议文件上限10MB、单批5000行作为初始性能测试值，实际阈值经测试配置，不宣称来源已规定。</w:t>
      </w:r>
    </w:p>
    <w:p>
      <w:r>
        <w:rPr>
          <w:b w:val="0"/>
        </w:rPr>
        <w:t>导出使用后台任务处理大范围数据，只输出所选字段及当前可见范围；默认脱敏。文件包含导出人、时间和范围说明，可选水印为D能力，不自动扩展复杂审批系统。CSV等格式需要防公式注入处理。下载请求重新校验授权，不只依赖拥有URL。</w:t>
      </w:r>
    </w:p>
    <w:p>
      <w:pPr>
        <w:pStyle w:val="Heading2"/>
      </w:pPr>
      <w:r>
        <w:t>10.9 BR-09｜字段与标识约定</w:t>
      </w:r>
    </w:p>
    <w:p>
      <w:r>
        <w:rPr>
          <w:b w:val="0"/>
        </w:rPr>
        <w:t>系统ID建议使用不可猜测的稳定字符串；编码用于业务识别但不承担安全边界。时间传输使用带时区的ISO 8601格式；存储和显示时区统一约定，默认展示Asia/Shanghai可作为项目选择，不写死到数据本身。排序字段为整数，同级并列时用稳定ID兜底排序。</w:t>
      </w:r>
    </w:p>
    <w:p>
      <w:r>
        <w:rPr>
          <w:b w:val="0"/>
        </w:rPr>
        <w:t>账号、机构和应用编码的大小写及空白归一策略必须一次确定并同步应用于注册、搜索、导入和唯一性校验。手机号允许地区码；自然人证件、法人登记标识按实际覆盖地区配置校验，不使用姓名作为唯一键。</w:t>
      </w:r>
    </w:p>
    <w:p>
      <w:bookmarkStart w:id="11" w:name="ch_11"/>
      <w:pPr>
        <w:pStyle w:val="Heading1"/>
      </w:pPr>
      <w:r>
        <w:t>11　核心数据模型与接口需求</w:t>
      </w:r>
      <w:bookmarkEnd w:id="11"/>
    </w:p>
    <w:p>
      <w:pPr>
        <w:pStyle w:val="Heading2"/>
      </w:pPr>
      <w:r>
        <w:t>11.1 核心逻辑实体</w:t>
      </w:r>
    </w:p>
    <w:p>
      <w:r>
        <w:rPr>
          <w:b w:val="0"/>
        </w:rPr>
        <w:t>下表用于约束前后端语义，属于D逻辑模型，不是最终物理表结构。敏感字段不得因出现在模型中就默认返回给所有前端页面。</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实体</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关键属性</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关联与约束</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IdentityDomain</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id、code、name、status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政企/公众域边界；不是默认多租户商业模型</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User</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id、domainId、account、name、status、source、version</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账号在域内唯一；锁定和凭据状态独立</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Organization</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id、domainId、parentId、code、type、region、status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树无环；稳定ID；具备历史变化</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Appointment</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id、userId、orgId、type、position、rank、sort、validTime</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一人多岗；排序和任职绑定；主职约束</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BusinessLine</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id、code、name、scope</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机构多条线，保存直接关联及可推导继承来源</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Application / Client</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appId、domainId、environment、clientId、protocol、status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应用与客户端环境可区分；秘密不作为普通读取字段</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AppRole / Resource</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id、appId、code、type、parentId、status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角色、资源必须属于同一应用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Grant</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id、subjectType、subjectId、appId、roleId、source、scope、version</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统一授权台账；保留来源与撤销历史</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PermissionGroup</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id、name、version、status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关联多应用角色及用户，不复制不可追溯权限</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AdminRole / Delegation</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id、functions、orgScope、appScope、parentGrant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系统管理权限与应用角色分离</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ApiPermission / ApiGrant</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permissionCode、principalType、principalId、scope</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API标识稳定；主体认证与授权同时校验</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AuthTransaction / Session</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id、domainId、clientId、state、expiresAt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MFA和改密事务绑定；会话可撤销</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SyncConfig / Task / Record</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id、target、sourceVersion、status、attempt、eventId</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幂等、顺序、关联重试、准确终态</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AuditEvent</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eventId、actor、action、target、result、time、traceId</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不可普通修改；敏感信息受控</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Person / LegalEntity</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id、accountRef、verificationState、source</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自然人、法人主体独立；注册与实名分开</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LegalRelationship</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id、personId、entityId、type、source、status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代理、关联及子账号关系不靠姓名推断</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ExtensionDefinition / Value</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objectType、fieldCode、type、sensitivity、value</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定义版本和字段权限一致</w:t>
            </w:r>
          </w:p>
        </w:tc>
      </w:tr>
    </w:tbl>
    <w:p>
      <w:pPr>
        <w:spacing w:after="40"/>
      </w:pPr>
    </w:p>
    <w:p>
      <w:pPr>
        <w:pStyle w:val="Heading2"/>
      </w:pPr>
      <w:r>
        <w:t>11.2 接口通用约定</w:t>
      </w:r>
    </w:p>
    <w:p>
      <w:r>
        <w:rPr>
          <w:b w:val="0"/>
        </w:rPr>
        <w:t>管理业务接口建议前缀</w:t>
      </w:r>
      <w:r>
        <w:rPr>
          <w:rFonts w:ascii="DejaVu Sans Mono" w:hAnsi="DejaVu Sans Mono"/>
          <w:b w:val="0"/>
          <w:sz w:val="17"/>
        </w:rPr>
        <w:t>/api/v1</w:t>
      </w:r>
      <w:r>
        <w:rPr>
          <w:b w:val="0"/>
        </w:rPr>
        <w:t>；身份域由认证上下文和明确路径共同确定，不信任请求体随意传入的domainId。所有对象型接口检查对象归属和权限。标准认证端点按协议实现及发现文档发布，不假设所有OAuth/OIDC路径必须与管理API同前缀。</w:t>
      </w:r>
    </w:p>
    <w:p>
      <w:r>
        <w:rPr>
          <w:b w:val="0"/>
        </w:rPr>
        <w:t>列表查询统一page、pageSize、sort、filters；响应包含items、total、page、pageSize。空结果返回items为空数组和total=0；失败返回错误，不返回空数组假装无数据。服务端限制最大pageSize并拒绝不支持的排序字段。</w:t>
      </w:r>
    </w:p>
    <w:p>
      <w:r>
        <w:rPr>
          <w:b w:val="0"/>
        </w:rPr>
        <w:t>普通成功响应提供data、requestId；异步写入返回202及taskId/changeId、当前状态。错误返回稳定业务码、可读消息、fieldErrors和requestId；不要把SQL、堆栈、秘密材料发给前端。</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HTTP / 业务场景</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前端处理</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后端要求</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400 / 字段校验失败</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对应Form.Item显示错误</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返回字段路径和可读原因</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401 / 未认证或会话过期</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受控重登；保留安全返回路径</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不把无权限混用为过期</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403 / 无权或越范围</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显示权限不足并停止操作</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不通过不同响应暴露无权对象细节</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404 / 不存在或不可公开定位</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返回列表或结果页</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敏感对象可按统一策略隐藏存在性</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409 / 并发版本或唯一冲突</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提示刷新/修改冲突字段</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不静默覆盖最新数据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429 / 频率受限</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按返回等待信息提示</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限制在服务端执行</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5xx / 服务失败</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可重试说明及追踪号</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幂等写请求重试不得重复执行</w:t>
            </w:r>
          </w:p>
        </w:tc>
      </w:tr>
    </w:tbl>
    <w:p>
      <w:pPr>
        <w:spacing w:after="40"/>
      </w:pPr>
    </w:p>
    <w:p>
      <w:pPr>
        <w:pStyle w:val="Heading2"/>
      </w:pPr>
      <w:r>
        <w:t>11.3 管理API能力清单</w:t>
      </w:r>
    </w:p>
    <w:p>
      <w:r>
        <w:rPr>
          <w:b w:val="0"/>
        </w:rPr>
        <w:t>下面是可拆分开发任务的建议接口契约，不是原方案已经定义好的实际URL。接口名称与产品动作一一对应，最终以经过评审的OpenAPI文档为准。</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模块</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读取能力</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写入/任务能力</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总览</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/overview、/statistics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无伪造或手动修改统计接口</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/apps、/apps/:id</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POST /apps；PATCH /apps/:id；POST /apps/:id/test、/rotate-secret、/status</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角色与资源</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/apps/:id/roles、/resources、/users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角色资源CRUD、角色资源关系变更、批量角色分配</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用户与任职</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/users、/users/:id、/appointments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用户CRUD、状态变更、密码重置、任职变更、批量导入</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机构与条线</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/organizations/tree、/lines、/dictionaries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机构创建/移动/状态变更、条线关联、字典维护</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扩展字段</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/extension-definitions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定义版本创建、发布、停用，值按对象写入</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授权</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/grants、/effective-permissions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POST /grant-changes/preview；POST /grant-changes</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权限组</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/permission-groups[/:id]</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组及应用角色/成员关系变更</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API授权</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/api-permissions、/api-grants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API授权新增与撤销，绑定主体及数据范围</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分级与系统角色</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/delegations、/admin-roles、/admins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委派、角色范围、管理员关联变更</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同步</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/sync-configs、/sync-tasks、/sync-records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配置保存/测试；任务创建、中止、失败项重试</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审计</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/audit/operations、/logins、/api-calls</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受控导出任务；不开放普通日志修改</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安全与品牌</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GET /settings/*、/locked-accounts</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设置版本提交、解锁、品牌配置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公众身份</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GET /persons、/legal-entities及详情关系</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启停、注册；未确定关系操作不默认开放</w:t>
            </w:r>
          </w:p>
        </w:tc>
      </w:tr>
    </w:tbl>
    <w:p>
      <w:pPr>
        <w:spacing w:after="40"/>
      </w:pPr>
    </w:p>
    <w:p>
      <w:r>
        <w:rPr>
          <w:b w:val="0"/>
        </w:rPr>
        <w:t>必须根据上下文分别生成政企域与公众域的权限策略；不能仅复用相同URL然后在前端过滤另一域的数据。</w:t>
      </w:r>
    </w:p>
    <w:p>
      <w:pPr>
        <w:pStyle w:val="Heading2"/>
      </w:pPr>
      <w:r>
        <w:t>11.4 授权变更契约示例</w:t>
      </w:r>
    </w:p>
    <w:p>
      <w:r>
        <w:rPr>
          <w:b w:val="0"/>
        </w:rPr>
        <w:t>建议请求字段：操作ID、目标应用、期望权限版本、增加关系、移除关系、变更原因。预览接口返回当前版本、预计新增/失去访问人数、仍有其他来源的对象及不可处理项。提交必须重新校验，预览结果不是永久授权凭证。</w:t>
      </w:r>
    </w:p>
    <w:p>
      <w:pPr>
        <w:spacing w:after="0" w:line="259" w:lineRule="auto"/>
        <w:shd w:fill="F3F5F8"/>
      </w:pPr>
      <w:r>
        <w:rPr>
          <w:rFonts w:ascii="DejaVu Sans Mono" w:hAnsi="DejaVu Sans Mono"/>
          <w:sz w:val="15"/>
        </w:rPr>
        <w:t>{</w:t>
      </w:r>
    </w:p>
    <w:p>
      <w:pPr>
        <w:spacing w:after="0" w:line="259" w:lineRule="auto"/>
        <w:shd w:fill="F3F5F8"/>
      </w:pPr>
      <w:r>
        <w:rPr>
          <w:rFonts w:ascii="DejaVu Sans Mono" w:hAnsi="DejaVu Sans Mono"/>
          <w:sz w:val="15"/>
        </w:rPr>
        <w:t xml:space="preserve">  "operationId": "本次操作的唯一标识",</w:t>
      </w:r>
    </w:p>
    <w:p>
      <w:pPr>
        <w:spacing w:after="0" w:line="259" w:lineRule="auto"/>
        <w:shd w:fill="F3F5F8"/>
      </w:pPr>
      <w:r>
        <w:rPr>
          <w:rFonts w:ascii="DejaVu Sans Mono" w:hAnsi="DejaVu Sans Mono"/>
          <w:sz w:val="15"/>
        </w:rPr>
        <w:t xml:space="preserve">  "appId": "app_example",</w:t>
      </w:r>
    </w:p>
    <w:p>
      <w:pPr>
        <w:spacing w:after="0" w:line="259" w:lineRule="auto"/>
        <w:shd w:fill="F3F5F8"/>
      </w:pPr>
      <w:r>
        <w:rPr>
          <w:rFonts w:ascii="DejaVu Sans Mono" w:hAnsi="DejaVu Sans Mono"/>
          <w:sz w:val="15"/>
        </w:rPr>
        <w:t xml:space="preserve">  "expectedVersion": 18,</w:t>
      </w:r>
    </w:p>
    <w:p>
      <w:pPr>
        <w:spacing w:after="0" w:line="259" w:lineRule="auto"/>
        <w:shd w:fill="F3F5F8"/>
      </w:pPr>
      <w:r>
        <w:rPr>
          <w:rFonts w:ascii="DejaVu Sans Mono" w:hAnsi="DejaVu Sans Mono"/>
          <w:sz w:val="15"/>
        </w:rPr>
        <w:t xml:space="preserve">  "add": [{ "subjectType": "USER", "subjectId": "user_example" }],</w:t>
      </w:r>
    </w:p>
    <w:p>
      <w:pPr>
        <w:spacing w:after="0" w:line="259" w:lineRule="auto"/>
        <w:shd w:fill="F3F5F8"/>
      </w:pPr>
      <w:r>
        <w:rPr>
          <w:rFonts w:ascii="DejaVu Sans Mono" w:hAnsi="DejaVu Sans Mono"/>
          <w:sz w:val="15"/>
        </w:rPr>
        <w:t xml:space="preserve">  "removeGrantIds": [],</w:t>
      </w:r>
    </w:p>
    <w:p>
      <w:pPr>
        <w:spacing w:after="0" w:line="259" w:lineRule="auto"/>
        <w:shd w:fill="F3F5F8"/>
      </w:pPr>
      <w:r>
        <w:rPr>
          <w:rFonts w:ascii="DejaVu Sans Mono" w:hAnsi="DejaVu Sans Mono"/>
          <w:sz w:val="15"/>
        </w:rPr>
        <w:t xml:space="preserve">  "reason": "岗位调整后的应用开通"</w:t>
      </w:r>
    </w:p>
    <w:p>
      <w:pPr>
        <w:spacing w:after="0" w:line="259" w:lineRule="auto"/>
        <w:shd w:fill="F3F5F8"/>
      </w:pPr>
      <w:r>
        <w:rPr>
          <w:rFonts w:ascii="DejaVu Sans Mono" w:hAnsi="DejaVu Sans Mono"/>
          <w:sz w:val="15"/>
        </w:rPr>
        <w:t>}</w:t>
      </w:r>
    </w:p>
    <w:p/>
    <w:p>
      <w:r>
        <w:rPr>
          <w:b w:val="0"/>
        </w:rPr>
        <w:t>建议成功结果包括changeId、newVersion、effectiveAt、propagationStatus、perTargetResults。部分目标尚未确认时返回PENDING或PARTIAL，不返回笼统的“全局完成”。以上字符串是契约示例，不是预置生产账号或真实数据。</w:t>
      </w:r>
    </w:p>
    <w:p>
      <w:pPr>
        <w:pStyle w:val="Heading2"/>
      </w:pPr>
      <w:r>
        <w:t>11.5 同步事件契约</w:t>
      </w:r>
    </w:p>
    <w:p>
      <w:r>
        <w:rPr>
          <w:b w:val="0"/>
        </w:rPr>
        <w:t>下游接口至少能识别eventId、sourceSystem、domainId、entityType、entityId、operation、sourceVersion、occurredAt、payload。下游返回是否接受、实际应用版本及可分类错误码。重复eventId应幂等处理；低版本事件不覆盖高版本状态；父机构缺失等依赖错误可重试，字段不合法等永久错误要求修正。</w:t>
      </w:r>
    </w:p>
    <w:p>
      <w:r>
        <w:rPr>
          <w:b w:val="0"/>
        </w:rPr>
        <w:t>用户停用、机构移出范围和删除事件的语义必须在合同中明确。没有定义“删除”的下游，不能自动把停用转换为物理删除。同步服务记录原事件与尝试记录，前端只展示脱敏后的可理解内容。</w:t>
      </w:r>
    </w:p>
    <w:p>
      <w:pPr>
        <w:pStyle w:val="Heading2"/>
      </w:pPr>
      <w:r>
        <w:t>11.6 认证与第三方集成契约</w:t>
      </w:r>
    </w:p>
    <w:p>
      <w:r>
        <w:rPr>
          <w:b w:val="0"/>
        </w:rPr>
        <w:t>授权码流程要求校验客户端、回调、事务关联、有效期和PKCE。采用OIDC时按规范校验签发方、受众及相关身份声明；ID Token用于身份声明，不能代替任意API的访问凭证。服务端保密客户端的凭据保存在受控服务端，不进入React构建产物。</w:t>
      </w:r>
    </w:p>
    <w:p>
      <w:r>
        <w:rPr>
          <w:b w:val="0"/>
        </w:rPr>
        <w:t>供应商适配层必须把未配置、连接失败、用户取消、超时、核验失败和核验通过分开；记录供应商请求编号但过滤敏感原文。系统需要明确供应商超时、重试和降级规则，不能因为供应商不可用就放行登录或实名。</w:t>
      </w:r>
    </w:p>
    <w:p>
      <w:r>
        <w:rPr>
          <w:b w:val="0"/>
        </w:rPr>
        <w:t>依据：</w:t>
      </w:r>
      <w:hyperlink r:id="rId20">
        <w:r>
          <w:rPr>
            <w:color w:val="1677FF"/>
          </w:rPr>
          <w:t>OAuth 2.0安全最佳实践RFC 9700</w:t>
        </w:r>
      </w:hyperlink>
      <w:r>
        <w:rPr>
          <w:b w:val="0"/>
        </w:rPr>
        <w:t>、</w:t>
      </w:r>
      <w:hyperlink r:id="rId21">
        <w:r>
          <w:rPr>
            <w:color w:val="1677FF"/>
          </w:rPr>
          <w:t>OpenID Connect Core</w:t>
        </w:r>
      </w:hyperlink>
      <w:r>
        <w:rPr>
          <w:b w:val="0"/>
        </w:rPr>
        <w:t>。OIDC是T级建议扩展，不在原方案中冒称已有实现。</w:t>
      </w:r>
    </w:p>
    <w:p>
      <w:bookmarkStart w:id="12" w:name="ch_12"/>
      <w:pPr>
        <w:pStyle w:val="Heading1"/>
      </w:pPr>
      <w:r>
        <w:t>12　非功能要求、运行环境与历史差异</w:t>
      </w:r>
      <w:bookmarkEnd w:id="12"/>
    </w:p>
    <w:p>
      <w:pPr>
        <w:pStyle w:val="Heading2"/>
      </w:pPr>
      <w:r>
        <w:t>12.1 安全与可靠性要求</w:t>
      </w:r>
    </w:p>
    <w:p>
      <w:r>
        <w:rPr>
          <w:b w:val="0"/>
        </w:rPr>
        <w:t>NFR-S01：生产通信采用HTTPS；登录会话与凭据由受控服务端管理。建议浏览器通过BFF/服务端会话与认证服务交互，使用适当的HttpOnly、Secure和SameSite Cookie，并配套CSRF防护。若采用其他架构，需要等效安全设计；不把长期刷新令牌放入普通本地存储作为默认方案。</w:t>
      </w:r>
    </w:p>
    <w:p>
      <w:r>
        <w:rPr>
          <w:b w:val="0"/>
        </w:rPr>
        <w:t>NFR-S02：前端、接口和导出均执行输入、输出与文件校验。接口鉴权覆盖对象范围、字段可见性和动作权限。上传内容需验证实际格式与恶意内容，配置URL限制目标地址，避免将测试连接功能变为任意请求代理。</w:t>
      </w:r>
    </w:p>
    <w:p>
      <w:r>
        <w:rPr>
          <w:b w:val="0"/>
        </w:rPr>
        <w:t>NFR-S03：认证失败、越权尝试、敏感授权变更、密钥轮换、同步失败和系统策略变更均应有可关联日志。日志记录失败时不能悄悄丢弃关键安全事件；应有可靠缓冲、告警或受控降级方案，由技术设计落实。</w:t>
      </w:r>
    </w:p>
    <w:p>
      <w:r>
        <w:rPr>
          <w:b w:val="0"/>
        </w:rPr>
        <w:t>NFR-S04：普通管理员无法从管理页面取得用户密码、令牌、完整密钥或数据库凭据。受保护信息的查看与导出独立控制。测试环境使用脱敏或合成数据，生产页面不展示固定“演示管理员”和假数据统计。</w:t>
      </w:r>
    </w:p>
    <w:p>
      <w:r>
        <w:rPr>
          <w:b w:val="0"/>
        </w:rPr>
        <w:t>NFR-S05：管理员注册和初始恢复账号由受控部署流程建立；不得把固定默认管理员密码写进前端或公共配置。备用恢复流程应记录责任人与使用审计，并定期验证，不设置不可审计的万能后门。</w:t>
      </w:r>
    </w:p>
    <w:p>
      <w:pPr>
        <w:pStyle w:val="Heading2"/>
      </w:pPr>
      <w:r>
        <w:t>12.2 性能与容量验收基线（D建议，非原文承诺）</w:t>
      </w:r>
    </w:p>
    <w:p>
      <w:r>
        <w:rPr>
          <w:b w:val="0"/>
        </w:rPr>
        <w:t>以下为初始验收目标，须由业务量与压测结果确认，不从原方案第44页硬件估算直接推导生产能力。固定测试环境后再签署验收指标。</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项目</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初始建议目标</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必须同时记录的测试条件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普通查询API</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P95≤1秒，错误率&lt;0.1%</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10万用户、5000机构、100应用、100并发查询；不含外部供应商耗时</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常规列表可操作</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缓存命中/正常网络下P95≤2秒</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指定浏览器、设备、网络，20条分页；初次加载另测</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认证平台内部处理</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P95≤800毫秒</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排除用户输入和外部认证耗时；端到端耗时另报</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批量操作</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2秒内确认任务已接收</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最终完成时间按对象数、下游限流和接口耗时计算</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大机构树</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服务端懒加载、单次增量可交互</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不一次返回全部无权节点；展开与搜索分别测试</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权限回收</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本平台下一次请求拒绝；已接入应用建议≤60秒</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必须具备可测试的鉴权/撤销机制；无法满足的应用显式例外</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可用性</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月度99.9%作为方案目标</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统计范围、计划维护及外部依赖口径由SLA确认</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灾难恢复</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建议RPO≤15分钟、RTO≤2小时</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明确数据库、配置、密钥及队列恢复范围并做演练</w:t>
            </w:r>
          </w:p>
        </w:tc>
      </w:tr>
    </w:tbl>
    <w:p>
      <w:pPr>
        <w:spacing w:after="40"/>
      </w:pPr>
    </w:p>
    <w:p>
      <w:r>
        <w:rPr>
          <w:b w:val="0"/>
        </w:rPr>
        <w:t>P95指95%的受测请求或操作不超过该时长。上述场景不是某一硬件配置下已经实测的结果。高并发公众场景可能显著大于此基线，必须按真实峰值重新定标，不能用后台100并发测试代替公众登录容量测试。</w:t>
      </w:r>
    </w:p>
    <w:p>
      <w:pPr>
        <w:pStyle w:val="Heading2"/>
      </w:pPr>
      <w:r>
        <w:t>12.3 前端兼容与可维护性</w:t>
      </w:r>
    </w:p>
    <w:p>
      <w:r>
        <w:rPr>
          <w:b w:val="0"/>
        </w:rPr>
        <w:t>目标为当前受支持的现代桌面Chrome、Edge、Firefox及Safari版本，由验收计划冻结具体版本；公众认证增加移动Safari与Chrome。国产浏览器须验证其实际内核和必要CSS/安全能力，不因名称被称为“信创”就默认兼容。IE11不纳入本次React/antd新前端兼容范围。</w:t>
      </w:r>
    </w:p>
    <w:p>
      <w:r>
        <w:rPr>
          <w:b w:val="0"/>
        </w:rPr>
        <w:t>应用错误按页面/模块设置边界，单个图表或列表失败不使整个导航消失。路由懒加载配合Skeleton，使用稳定对象ID作为key；大列表服务端分页。工程具备类型检查、静态检查、组件交互测试、关键流程端到端测试和视觉回归。</w:t>
      </w:r>
    </w:p>
    <w:p>
      <w:pPr>
        <w:pStyle w:val="Heading2"/>
      </w:pPr>
      <w:r>
        <w:t>12.4 原方案与本次实施差异</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差异ID</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原方案描述</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本次处理及依据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T-01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§5.1.2、§5.3.2采用OAuth2密码模式供第三方登录</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不作为新接入模式。RFC 9700 §2.4明确不应使用资源所有者密码凭据授权；改为授权码+PKCE，并评估遗留改造</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T-02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§5.1.1、§5.3.1基于OAuth2授权码提供身份认证</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保留业务目的；协议职责表述更准确，需要标准身份层时补充OIDC，不宣称OAuth2自身覆盖所有身份声明规范</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T-03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第6章包含IE11及旧客户端环境</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新前端面向现代浏览器；遗留浏览器需求单独决策，不能承诺同一新界面兼容IE11</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T-04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第6章列出旧操作系统、JDK、MySQL/达梦版本</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作为历史环境参考，不作为新项目安全与支持周期承诺；服务端产品及版本需另行选型确认</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T-05</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§2.3.5简述RSA用于授权令牌加密</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区分令牌签名、传输/存储加密和密码存储，不保留“使用某算法即可抵御所有攻击”的绝对表述</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T-06</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原方案未指定React和Ant Design</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按本次U要求使用已核查最新稳定版，并按第5/13章实施</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D-01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“一次配置，全局生效”“一处登出，处处登出”</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保留目标，补充传播状态、最大时延和下游不支持/失败情形，不用前端提示代替实际生效</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D-02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注册、实名、关联信息有能力描述但缺流程字段</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分开状态并标为待确认，不自动生成完整实名审核、法人代理或子账号授权业务</w:t>
            </w:r>
          </w:p>
        </w:tc>
      </w:tr>
    </w:tbl>
    <w:p>
      <w:pPr>
        <w:spacing w:after="40"/>
      </w:pPr>
    </w:p>
    <w:p>
      <w:r>
        <w:rPr>
          <w:b w:val="0"/>
        </w:rPr>
        <w:t>差异依据：原方案相应章节；</w:t>
      </w:r>
      <w:hyperlink r:id="rId20">
        <w:r>
          <w:rPr>
            <w:color w:val="1677FF"/>
          </w:rPr>
          <w:t>RFC 9700</w:t>
        </w:r>
      </w:hyperlink>
      <w:r>
        <w:rPr>
          <w:b w:val="0"/>
        </w:rPr>
        <w:t>、</w:t>
      </w:r>
      <w:hyperlink r:id="rId13">
        <w:r>
          <w:rPr>
            <w:color w:val="1677FF"/>
          </w:rPr>
          <w:t>Ant Design v6说明</w:t>
        </w:r>
      </w:hyperlink>
      <w:r>
        <w:rPr>
          <w:b w:val="0"/>
        </w:rPr>
        <w:t>。T-01并不禁止认证中心拥有自身的账号密码登录表单，限制的是让第三方客户端直接收集用户密码并通过该OAuth授权模式换取令牌。</w:t>
      </w:r>
    </w:p>
    <w:p>
      <w:pPr>
        <w:pStyle w:val="Heading2"/>
      </w:pPr>
      <w:r>
        <w:t>12.5 运行部署、备份与可观测性</w:t>
      </w:r>
    </w:p>
    <w:p>
      <w:r>
        <w:rPr>
          <w:b w:val="0"/>
        </w:rPr>
        <w:t>保留原方案跨平台、可扩展和集群部署方向，但不在产品文档中强制沿用某个历史中间件版本。认证、管理、同步、审计可逻辑分层；物理拆分由规模、安全隔离与运维能力决定。选择单体、模块化单体或分布式均必须满足隔离、审计和容量要求，不能以“微服务”名称代替验收。</w:t>
      </w:r>
    </w:p>
    <w:p>
      <w:r>
        <w:rPr>
          <w:b w:val="0"/>
        </w:rPr>
        <w:t>备份范围包括身份/机构数据、角色授权、认证客户端配置、密钥引用及必要密钥材料、审计索引、同步队列和事件进度。恢复后应校验权限版本和事件顺序，避免恢复旧授权或重复执行破坏性同步。</w:t>
      </w:r>
    </w:p>
    <w:p>
      <w:r>
        <w:rPr>
          <w:b w:val="0"/>
        </w:rPr>
        <w:t>监控至少覆盖登录成功/失败、认证延迟、开放API错误率、队列积压、同步失败、权限传播失败、密钥/证书到期和备份失败。平台维护界面是否展示这些运维指标属于D扩展，可先由运维工具承载，不强制在业务总览塞满技术指标。</w:t>
      </w:r>
    </w:p>
    <w:p>
      <w:pPr>
        <w:pStyle w:val="Heading2"/>
      </w:pPr>
      <w:r>
        <w:t>12.6 数据保留与合规决策</w:t>
      </w:r>
    </w:p>
    <w:p>
      <w:r>
        <w:rPr>
          <w:b w:val="0"/>
        </w:rPr>
        <w:t>原方案强调敏感信息保护与安全审计，但未给出适用于本项目的个人信息处理依据、实名材料保留期限、日志保留期、删除流程或密码产品认证结论。以上均为C项，不能套用一个固定“保存180天”或声称系统已经满足全部法规。</w:t>
      </w:r>
    </w:p>
    <w:p>
      <w:r>
        <w:rPr>
          <w:b w:val="0"/>
        </w:rPr>
        <w:t>需求层要求可配置保留策略、受控清理、查询与导出审计，以及在数据到期处置时保留必要的操作证明。具体法律和标准适用性由项目责任方确认，技术团队不能从UI配置项推断合规已经完成。</w:t>
      </w:r>
    </w:p>
    <w:p>
      <w:bookmarkStart w:id="13" w:name="ch_13"/>
      <w:pPr>
        <w:pStyle w:val="Heading1"/>
      </w:pPr>
      <w:r>
        <w:t>13　React与Ant Design前端实施契约</w:t>
      </w:r>
      <w:bookmarkEnd w:id="13"/>
    </w:p>
    <w:p>
      <w:pPr>
        <w:pStyle w:val="Heading2"/>
      </w:pPr>
      <w:r>
        <w:t>13.1 工程边界与目录建议</w:t>
      </w:r>
    </w:p>
    <w:p>
      <w:r>
        <w:rPr>
          <w:b w:val="0"/>
        </w:rPr>
        <w:t>前端采用一个代码仓库和统一设计系统，按身份域与功能模块划分。是否以同一域名/端口部署由安全与运维方案确定，不能用“同一前端工程”推导出认证域和业务域必须共用Cookie边界。原方案未要求多个前端工程，本项目不为了区分角色而复制整套页面。</w:t>
      </w:r>
    </w:p>
    <w:p>
      <w:pPr>
        <w:spacing w:after="0" w:line="259" w:lineRule="auto"/>
        <w:shd w:fill="F3F5F8"/>
      </w:pPr>
      <w:r>
        <w:rPr>
          <w:rFonts w:ascii="DejaVu Sans Mono" w:hAnsi="DejaVu Sans Mono"/>
          <w:sz w:val="15"/>
        </w:rPr>
        <w:t>src/</w:t>
      </w:r>
    </w:p>
    <w:p>
      <w:pPr>
        <w:spacing w:after="0" w:line="259" w:lineRule="auto"/>
        <w:shd w:fill="F3F5F8"/>
      </w:pPr>
      <w:r>
        <w:rPr>
          <w:rFonts w:ascii="DejaVu Sans Mono" w:hAnsi="DejaVu Sans Mono"/>
          <w:sz w:val="15"/>
        </w:rPr>
        <w:t xml:space="preserve">  app/             路由、Provider、错误边界、运行配置</w:t>
      </w:r>
    </w:p>
    <w:p>
      <w:pPr>
        <w:spacing w:after="0" w:line="259" w:lineRule="auto"/>
        <w:shd w:fill="F3F5F8"/>
      </w:pPr>
      <w:r>
        <w:rPr>
          <w:rFonts w:ascii="DejaVu Sans Mono" w:hAnsi="DejaVu Sans Mono"/>
          <w:sz w:val="15"/>
        </w:rPr>
        <w:t xml:space="preserve">  layouts/         管理端框架、认证页框架</w:t>
      </w:r>
    </w:p>
    <w:p>
      <w:pPr>
        <w:spacing w:after="0" w:line="259" w:lineRule="auto"/>
        <w:shd w:fill="F3F5F8"/>
      </w:pPr>
      <w:r>
        <w:rPr>
          <w:rFonts w:ascii="DejaVu Sans Mono" w:hAnsi="DejaVu Sans Mono"/>
          <w:sz w:val="15"/>
        </w:rPr>
        <w:t xml:space="preserve">  theme/           统一Token与项目布局常量</w:t>
      </w:r>
    </w:p>
    <w:p>
      <w:pPr>
        <w:spacing w:after="0" w:line="259" w:lineRule="auto"/>
        <w:shd w:fill="F3F5F8"/>
      </w:pPr>
      <w:r>
        <w:rPr>
          <w:rFonts w:ascii="DejaVu Sans Mono" w:hAnsi="DejaVu Sans Mono"/>
          <w:sz w:val="15"/>
        </w:rPr>
        <w:t xml:space="preserve">  components/      基于antd封装的业务公共组件</w:t>
      </w:r>
    </w:p>
    <w:p>
      <w:pPr>
        <w:spacing w:after="0" w:line="259" w:lineRule="auto"/>
        <w:shd w:fill="F3F5F8"/>
      </w:pPr>
      <w:r>
        <w:rPr>
          <w:rFonts w:ascii="DejaVu Sans Mono" w:hAnsi="DejaVu Sans Mono"/>
          <w:sz w:val="15"/>
        </w:rPr>
        <w:t xml:space="preserve">  features/</w:t>
      </w:r>
    </w:p>
    <w:p>
      <w:pPr>
        <w:spacing w:after="0" w:line="259" w:lineRule="auto"/>
        <w:shd w:fill="F3F5F8"/>
      </w:pPr>
      <w:r>
        <w:rPr>
          <w:rFonts w:ascii="DejaVu Sans Mono" w:hAnsi="DejaVu Sans Mono"/>
          <w:sz w:val="15"/>
        </w:rPr>
        <w:t xml:space="preserve">    authentication/</w:t>
      </w:r>
    </w:p>
    <w:p>
      <w:pPr>
        <w:spacing w:after="0" w:line="259" w:lineRule="auto"/>
        <w:shd w:fill="F3F5F8"/>
      </w:pPr>
      <w:r>
        <w:rPr>
          <w:rFonts w:ascii="DejaVu Sans Mono" w:hAnsi="DejaVu Sans Mono"/>
          <w:sz w:val="15"/>
        </w:rPr>
        <w:t xml:space="preserve">    workforce/     应用、组织、授权、同步、审计、设置</w:t>
      </w:r>
    </w:p>
    <w:p>
      <w:pPr>
        <w:spacing w:after="0" w:line="259" w:lineRule="auto"/>
        <w:shd w:fill="F3F5F8"/>
      </w:pPr>
      <w:r>
        <w:rPr>
          <w:rFonts w:ascii="DejaVu Sans Mono" w:hAnsi="DejaVu Sans Mono"/>
          <w:sz w:val="15"/>
        </w:rPr>
        <w:t xml:space="preserve">    public/        注册、自然人、法人、公众应用和日志</w:t>
      </w:r>
    </w:p>
    <w:p>
      <w:pPr>
        <w:spacing w:after="0" w:line="259" w:lineRule="auto"/>
        <w:shd w:fill="F3F5F8"/>
      </w:pPr>
      <w:r>
        <w:rPr>
          <w:rFonts w:ascii="DejaVu Sans Mono" w:hAnsi="DejaVu Sans Mono"/>
          <w:sz w:val="15"/>
        </w:rPr>
        <w:t xml:space="preserve">  services/        类型化接口与请求处理</w:t>
      </w:r>
    </w:p>
    <w:p>
      <w:pPr>
        <w:spacing w:after="0" w:line="259" w:lineRule="auto"/>
        <w:shd w:fill="F3F5F8"/>
      </w:pPr>
      <w:r>
        <w:rPr>
          <w:rFonts w:ascii="DejaVu Sans Mono" w:hAnsi="DejaVu Sans Mono"/>
          <w:sz w:val="15"/>
        </w:rPr>
        <w:t xml:space="preserve">  types/           领域模型与接口类型</w:t>
      </w:r>
    </w:p>
    <w:p>
      <w:pPr>
        <w:spacing w:after="0" w:line="259" w:lineRule="auto"/>
        <w:shd w:fill="F3F5F8"/>
      </w:pPr>
      <w:r>
        <w:rPr>
          <w:rFonts w:ascii="DejaVu Sans Mono" w:hAnsi="DejaVu Sans Mono"/>
          <w:sz w:val="15"/>
        </w:rPr>
        <w:t xml:space="preserve">  tests/           组件、端到端、视觉测试</w:t>
      </w:r>
    </w:p>
    <w:p/>
    <w:p>
      <w:r>
        <w:rPr>
          <w:b w:val="0"/>
        </w:rPr>
        <w:t>不依赖未声明的通用“超级管理员=全部放行”逻辑。权限组件只能改善交互，不能成为真正安全边界。生产构建的运行配置只含可公开信息，不含数据库地址密码、client_secret或签名私钥。</w:t>
      </w:r>
    </w:p>
    <w:p>
      <w:pPr>
        <w:pStyle w:val="Heading2"/>
      </w:pPr>
      <w:r>
        <w:t>13.2 主题与上下文代码参考</w:t>
      </w:r>
    </w:p>
    <w:p>
      <w:r>
        <w:rPr>
          <w:b w:val="0"/>
        </w:rPr>
        <w:t>以下为可放入</w:t>
      </w:r>
      <w:r>
        <w:rPr>
          <w:rFonts w:ascii="DejaVu Sans Mono" w:hAnsi="DejaVu Sans Mono"/>
          <w:b w:val="0"/>
          <w:sz w:val="17"/>
        </w:rPr>
        <w:t>src/app/Providers.tsx</w:t>
      </w:r>
      <w:r>
        <w:rPr>
          <w:b w:val="0"/>
        </w:rPr>
        <w:t>的实施参考片段，使用官方组件与公开接口；业务路由作为children传入。代码表达设计规范，不表示本次已交付完整运行系统。</w:t>
      </w:r>
    </w:p>
    <w:p>
      <w:pPr>
        <w:spacing w:after="0" w:line="259" w:lineRule="auto"/>
        <w:shd w:fill="F3F5F8"/>
      </w:pPr>
      <w:r>
        <w:rPr>
          <w:rFonts w:ascii="DejaVu Sans Mono" w:hAnsi="DejaVu Sans Mono"/>
          <w:sz w:val="15"/>
        </w:rPr>
        <w:t>import type { PropsWithChildren } from 'react';</w:t>
      </w:r>
    </w:p>
    <w:p>
      <w:pPr>
        <w:spacing w:after="0" w:line="259" w:lineRule="auto"/>
        <w:shd w:fill="F3F5F8"/>
      </w:pPr>
      <w:r>
        <w:rPr>
          <w:rFonts w:ascii="DejaVu Sans Mono" w:hAnsi="DejaVu Sans Mono"/>
          <w:sz w:val="15"/>
        </w:rPr>
        <w:t>import { App as AntApp, ConfigProvider, theme } from 'antd';</w:t>
      </w:r>
    </w:p>
    <w:p>
      <w:pPr>
        <w:spacing w:after="0" w:line="259" w:lineRule="auto"/>
        <w:shd w:fill="F3F5F8"/>
      </w:pPr>
      <w:r>
        <w:rPr>
          <w:rFonts w:ascii="DejaVu Sans Mono" w:hAnsi="DejaVu Sans Mono"/>
          <w:sz w:val="15"/>
        </w:rPr>
        <w:t>import type { ThemeConfig } from 'antd';</w:t>
      </w:r>
    </w:p>
    <w:p>
      <w:pPr>
        <w:spacing w:after="0" w:line="259" w:lineRule="auto"/>
        <w:shd w:fill="F3F5F8"/>
      </w:pPr>
      <w:r>
        <w:rPr>
          <w:rFonts w:ascii="DejaVu Sans Mono" w:hAnsi="DejaVu Sans Mono"/>
          <w:sz w:val="15"/>
        </w:rPr>
        <w:t>import zhCN from 'antd/locale/zh_CN';</w:t>
      </w:r>
    </w:p>
    <w:p>
      <w:pPr>
        <w:spacing w:after="0" w:line="259" w:lineRule="auto"/>
        <w:shd w:fill="F3F5F8"/>
      </w:pPr>
      <w:r>
        <w:rPr>
          <w:rFonts w:ascii="DejaVu Sans Mono" w:hAnsi="DejaVu Sans Mono"/>
          <w:sz w:val="15"/>
        </w:rPr>
        <w:t>import 'antd/dist/reset.css';</w:t>
      </w:r>
    </w:p>
    <w:p>
      <w:pPr>
        <w:spacing w:after="0" w:line="259" w:lineRule="auto"/>
        <w:shd w:fill="F3F5F8"/>
      </w:pPr>
      <w:r>
        <w:rPr>
          <w:rFonts w:ascii="DejaVu Sans Mono" w:hAnsi="DejaVu Sans Mono"/>
          <w:sz w:val="15"/>
        </w:rPr>
        <w:t xml:space="preserve"> </w:t>
      </w:r>
    </w:p>
    <w:p>
      <w:pPr>
        <w:spacing w:after="0" w:line="259" w:lineRule="auto"/>
        <w:shd w:fill="F3F5F8"/>
      </w:pPr>
      <w:r>
        <w:rPr>
          <w:rFonts w:ascii="DejaVu Sans Mono" w:hAnsi="DejaVu Sans Mono"/>
          <w:sz w:val="15"/>
        </w:rPr>
        <w:t>const themeConfig: ThemeConfig = {</w:t>
      </w:r>
    </w:p>
    <w:p>
      <w:pPr>
        <w:spacing w:after="0" w:line="259" w:lineRule="auto"/>
        <w:shd w:fill="F3F5F8"/>
      </w:pPr>
      <w:r>
        <w:rPr>
          <w:rFonts w:ascii="DejaVu Sans Mono" w:hAnsi="DejaVu Sans Mono"/>
          <w:sz w:val="15"/>
        </w:rPr>
        <w:t xml:space="preserve">  algorithm: theme.defaultAlgorithm,</w:t>
      </w:r>
    </w:p>
    <w:p>
      <w:pPr>
        <w:spacing w:after="0" w:line="259" w:lineRule="auto"/>
        <w:shd w:fill="F3F5F8"/>
      </w:pPr>
      <w:r>
        <w:rPr>
          <w:rFonts w:ascii="DejaVu Sans Mono" w:hAnsi="DejaVu Sans Mono"/>
          <w:sz w:val="15"/>
        </w:rPr>
        <w:t xml:space="preserve">  token: {</w:t>
      </w:r>
    </w:p>
    <w:p>
      <w:pPr>
        <w:spacing w:after="0" w:line="259" w:lineRule="auto"/>
        <w:shd w:fill="F3F5F8"/>
      </w:pPr>
      <w:r>
        <w:rPr>
          <w:rFonts w:ascii="DejaVu Sans Mono" w:hAnsi="DejaVu Sans Mono"/>
          <w:sz w:val="15"/>
        </w:rPr>
        <w:t xml:space="preserve">    colorPrimary: '#1677ff',</w:t>
      </w:r>
    </w:p>
    <w:p>
      <w:pPr>
        <w:spacing w:after="0" w:line="259" w:lineRule="auto"/>
        <w:shd w:fill="F3F5F8"/>
      </w:pPr>
      <w:r>
        <w:rPr>
          <w:rFonts w:ascii="DejaVu Sans Mono" w:hAnsi="DejaVu Sans Mono"/>
          <w:sz w:val="15"/>
        </w:rPr>
        <w:t xml:space="preserve">    fontSize: 14,</w:t>
      </w:r>
    </w:p>
    <w:p>
      <w:pPr>
        <w:spacing w:after="0" w:line="259" w:lineRule="auto"/>
        <w:shd w:fill="F3F5F8"/>
      </w:pPr>
      <w:r>
        <w:rPr>
          <w:rFonts w:ascii="DejaVu Sans Mono" w:hAnsi="DejaVu Sans Mono"/>
          <w:sz w:val="15"/>
        </w:rPr>
        <w:t xml:space="preserve">    controlHeight: 32,</w:t>
      </w:r>
    </w:p>
    <w:p>
      <w:pPr>
        <w:spacing w:after="0" w:line="259" w:lineRule="auto"/>
        <w:shd w:fill="F3F5F8"/>
      </w:pPr>
      <w:r>
        <w:rPr>
          <w:rFonts w:ascii="DejaVu Sans Mono" w:hAnsi="DejaVu Sans Mono"/>
          <w:sz w:val="15"/>
        </w:rPr>
        <w:t xml:space="preserve">    borderRadius: 6,</w:t>
      </w:r>
    </w:p>
    <w:p>
      <w:pPr>
        <w:spacing w:after="0" w:line="259" w:lineRule="auto"/>
        <w:shd w:fill="F3F5F8"/>
      </w:pPr>
      <w:r>
        <w:rPr>
          <w:rFonts w:ascii="DejaVu Sans Mono" w:hAnsi="DejaVu Sans Mono"/>
          <w:sz w:val="15"/>
        </w:rPr>
        <w:t xml:space="preserve">  },</w:t>
      </w:r>
    </w:p>
    <w:p>
      <w:pPr>
        <w:spacing w:after="0" w:line="259" w:lineRule="auto"/>
        <w:shd w:fill="F3F5F8"/>
      </w:pPr>
      <w:r>
        <w:rPr>
          <w:rFonts w:ascii="DejaVu Sans Mono" w:hAnsi="DejaVu Sans Mono"/>
          <w:sz w:val="15"/>
        </w:rPr>
        <w:t>};</w:t>
      </w:r>
    </w:p>
    <w:p>
      <w:pPr>
        <w:spacing w:after="0" w:line="259" w:lineRule="auto"/>
        <w:shd w:fill="F3F5F8"/>
      </w:pPr>
      <w:r>
        <w:rPr>
          <w:rFonts w:ascii="DejaVu Sans Mono" w:hAnsi="DejaVu Sans Mono"/>
          <w:sz w:val="15"/>
        </w:rPr>
        <w:t xml:space="preserve"> </w:t>
      </w:r>
    </w:p>
    <w:p>
      <w:pPr>
        <w:spacing w:after="0" w:line="259" w:lineRule="auto"/>
        <w:shd w:fill="F3F5F8"/>
      </w:pPr>
      <w:r>
        <w:rPr>
          <w:rFonts w:ascii="DejaVu Sans Mono" w:hAnsi="DejaVu Sans Mono"/>
          <w:sz w:val="15"/>
        </w:rPr>
        <w:t>export function Providers({ children }: PropsWithChildren) {</w:t>
      </w:r>
    </w:p>
    <w:p>
      <w:pPr>
        <w:spacing w:after="0" w:line="259" w:lineRule="auto"/>
        <w:shd w:fill="F3F5F8"/>
      </w:pPr>
      <w:r>
        <w:rPr>
          <w:rFonts w:ascii="DejaVu Sans Mono" w:hAnsi="DejaVu Sans Mono"/>
          <w:sz w:val="15"/>
        </w:rPr>
        <w:t xml:space="preserve">  return (</w:t>
      </w:r>
    </w:p>
    <w:p>
      <w:pPr>
        <w:spacing w:after="0" w:line="259" w:lineRule="auto"/>
        <w:shd w:fill="F3F5F8"/>
      </w:pPr>
      <w:r>
        <w:rPr>
          <w:rFonts w:ascii="DejaVu Sans Mono" w:hAnsi="DejaVu Sans Mono"/>
          <w:sz w:val="15"/>
        </w:rPr>
        <w:t xml:space="preserve">    &lt;ConfigProvider locale={zhCN} theme={themeConfig}&gt;</w:t>
      </w:r>
    </w:p>
    <w:p>
      <w:pPr>
        <w:spacing w:after="0" w:line="259" w:lineRule="auto"/>
        <w:shd w:fill="F3F5F8"/>
      </w:pPr>
      <w:r>
        <w:rPr>
          <w:rFonts w:ascii="DejaVu Sans Mono" w:hAnsi="DejaVu Sans Mono"/>
          <w:sz w:val="15"/>
        </w:rPr>
        <w:t xml:space="preserve">      &lt;AntApp&gt;{children}&lt;/AntApp&gt;</w:t>
      </w:r>
    </w:p>
    <w:p>
      <w:pPr>
        <w:spacing w:after="0" w:line="259" w:lineRule="auto"/>
        <w:shd w:fill="F3F5F8"/>
      </w:pPr>
      <w:r>
        <w:rPr>
          <w:rFonts w:ascii="DejaVu Sans Mono" w:hAnsi="DejaVu Sans Mono"/>
          <w:sz w:val="15"/>
        </w:rPr>
        <w:t xml:space="preserve">    &lt;/ConfigProvider&gt;</w:t>
      </w:r>
    </w:p>
    <w:p>
      <w:pPr>
        <w:spacing w:after="0" w:line="259" w:lineRule="auto"/>
        <w:shd w:fill="F3F5F8"/>
      </w:pPr>
      <w:r>
        <w:rPr>
          <w:rFonts w:ascii="DejaVu Sans Mono" w:hAnsi="DejaVu Sans Mono"/>
          <w:sz w:val="15"/>
        </w:rPr>
        <w:t xml:space="preserve">  );</w:t>
      </w:r>
    </w:p>
    <w:p>
      <w:pPr>
        <w:spacing w:after="0" w:line="259" w:lineRule="auto"/>
        <w:shd w:fill="F3F5F8"/>
      </w:pPr>
      <w:r>
        <w:rPr>
          <w:rFonts w:ascii="DejaVu Sans Mono" w:hAnsi="DejaVu Sans Mono"/>
          <w:sz w:val="15"/>
        </w:rPr>
        <w:t>}</w:t>
      </w:r>
    </w:p>
    <w:p/>
    <w:p>
      <w:r>
        <w:rPr>
          <w:b w:val="0"/>
        </w:rPr>
        <w:t>业务子组件通过</w:t>
      </w:r>
      <w:r>
        <w:rPr>
          <w:rFonts w:ascii="DejaVu Sans Mono" w:hAnsi="DejaVu Sans Mono"/>
          <w:b w:val="0"/>
          <w:sz w:val="17"/>
        </w:rPr>
        <w:t>const { message, modal, notification } = AntApp.useApp()</w:t>
      </w:r>
      <w:r>
        <w:rPr>
          <w:b w:val="0"/>
        </w:rPr>
        <w:t>使用反馈能力；布局通过</w:t>
      </w:r>
      <w:r>
        <w:rPr>
          <w:rFonts w:ascii="DejaVu Sans Mono" w:hAnsi="DejaVu Sans Mono"/>
          <w:b w:val="0"/>
          <w:sz w:val="17"/>
        </w:rPr>
        <w:t>theme.useToken()</w:t>
      </w:r>
      <w:r>
        <w:rPr>
          <w:b w:val="0"/>
        </w:rPr>
        <w:t>获取容器和文本等Token。不要把静态反馈调用分散到不受上下文控制的工具文件里。日期库的本地化另由工程统一配置，不认为设置组件语言就已处理所有日期逻辑。</w:t>
      </w:r>
    </w:p>
    <w:p>
      <w:pPr>
        <w:pStyle w:val="Heading2"/>
      </w:pPr>
      <w:r>
        <w:t>13.3 组件使用清单</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场景</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使用要求</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禁止或需确认事项</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页面框架</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Layout、Menu、Breadcrumb、Typography</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不自行画一套样式不一致的菜单和按钮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间距与栅格</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Row/Col、Flex、Space及项目布局常量</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不用大量空格、绝对定位和固定宽度凑对齐</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数据表格</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Table、受控分页、稳定rowKey</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不依赖数组下标作为可编辑对象key</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表单</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Form、Form.Item、Input、Select等</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不使用原生输入框绕开统一校验和错误风格</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详情</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Descriptions、Tabs、Tag/Badge</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不将所有内容写成无层级的长表格</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编辑与确认</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Drawer、Modal、Result</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不套用旧版deprecated属性；不叠加多层业务浮层</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反馈</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App.useApp、Alert、Skeleton、Empty</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不用全局alert()、confirm()替代一致交互</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图表</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经核查的独立图表依赖，样式受统一规范约束</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Ant Design Charts不是antd核心包内置组件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高阶组件</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可选ProComponents，先做版本兼容验证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ProTable、ProForm、PageContainer不能当成antd核心导出直接导入</w:t>
            </w:r>
          </w:p>
        </w:tc>
      </w:tr>
    </w:tbl>
    <w:p>
      <w:pPr>
        <w:spacing w:after="40"/>
      </w:pPr>
    </w:p>
    <w:p>
      <w:r>
        <w:rPr>
          <w:b w:val="0"/>
        </w:rPr>
        <w:t>当前Table文档使用</w:t>
      </w:r>
      <w:r>
        <w:rPr>
          <w:rFonts w:ascii="DejaVu Sans Mono" w:hAnsi="DejaVu Sans Mono"/>
          <w:b w:val="0"/>
          <w:sz w:val="17"/>
        </w:rPr>
        <w:t>size="medium"</w:t>
      </w:r>
      <w:r>
        <w:rPr>
          <w:b w:val="0"/>
        </w:rPr>
        <w:t>；固定列和分页位置按6.6.5实际类型使用，不能复制旧模板的属性值。Drawer优先使用</w:t>
      </w:r>
      <w:r>
        <w:rPr>
          <w:rFonts w:ascii="DejaVu Sans Mono" w:hAnsi="DejaVu Sans Mono"/>
          <w:b w:val="0"/>
          <w:sz w:val="17"/>
        </w:rPr>
        <w:t>size="large"</w:t>
      </w:r>
      <w:r>
        <w:rPr>
          <w:b w:val="0"/>
        </w:rPr>
        <w:t>或明确数值尺寸；销毁隐藏内容按当前</w:t>
      </w:r>
      <w:r>
        <w:rPr>
          <w:rFonts w:ascii="DejaVu Sans Mono" w:hAnsi="DejaVu Sans Mono"/>
          <w:b w:val="0"/>
          <w:sz w:val="17"/>
        </w:rPr>
        <w:t>destroyOnHidden</w:t>
      </w:r>
      <w:r>
        <w:rPr>
          <w:b w:val="0"/>
        </w:rPr>
        <w:t>能力处理。表单与浮层的保留/重置行为必须显式测试。</w:t>
      </w:r>
    </w:p>
    <w:p>
      <w:r>
        <w:rPr>
          <w:b w:val="0"/>
        </w:rPr>
        <w:t>依据：</w:t>
      </w:r>
      <w:hyperlink r:id="rId22">
        <w:r>
          <w:rPr>
            <w:color w:val="1677FF"/>
          </w:rPr>
          <w:t>Table</w:t>
        </w:r>
      </w:hyperlink>
      <w:r>
        <w:rPr>
          <w:b w:val="0"/>
        </w:rPr>
        <w:t>、</w:t>
      </w:r>
      <w:hyperlink r:id="rId23">
        <w:r>
          <w:rPr>
            <w:color w:val="1677FF"/>
          </w:rPr>
          <w:t>Form</w:t>
        </w:r>
      </w:hyperlink>
      <w:r>
        <w:rPr>
          <w:b w:val="0"/>
        </w:rPr>
        <w:t>、</w:t>
      </w:r>
      <w:hyperlink r:id="rId18">
        <w:r>
          <w:rPr>
            <w:color w:val="1677FF"/>
          </w:rPr>
          <w:t>Drawer</w:t>
        </w:r>
      </w:hyperlink>
      <w:r>
        <w:rPr>
          <w:b w:val="0"/>
        </w:rPr>
        <w:t>、</w:t>
      </w:r>
      <w:hyperlink r:id="rId17">
        <w:r>
          <w:rPr>
            <w:color w:val="1677FF"/>
          </w:rPr>
          <w:t>App</w:t>
        </w:r>
      </w:hyperlink>
      <w:r>
        <w:rPr>
          <w:b w:val="0"/>
        </w:rPr>
        <w:t>。具体组件属性以锁定版本的TypeScript类型及对应文档共同校验，不根据旧博客猜测。</w:t>
      </w:r>
    </w:p>
    <w:p>
      <w:pPr>
        <w:pStyle w:val="Heading2"/>
      </w:pPr>
      <w:r>
        <w:t>13.4 业务组件封装</w:t>
      </w:r>
    </w:p>
    <w:p>
      <w:r>
        <w:rPr>
          <w:b w:val="0"/>
        </w:rPr>
        <w:t>建议封装PageSection、QueryTable、OrganizationPicker、IdentityPicker、PermissionSourceView、GrantChangePreview、AsyncTaskResult、SensitiveText、AuditDetail九类业务组件。封装保留antd语义，不包成只接受任意JSON、无法处理复杂状态的黑盒低代码引擎。</w:t>
      </w:r>
    </w:p>
    <w:p>
      <w:r>
        <w:rPr>
          <w:b w:val="0"/>
        </w:rPr>
        <w:t>QueryTable统一查询、分页、空态、失败和批量选择；OrganizationPicker统一机构范围、包含下级与搜索；GrantChangePreview统一授权差异和来源解释；AsyncTaskResult统一任务已提交、执行中、部分失败与重试；SensitiveText仅展示服务端已经授权返回的数据，绝不把未经授权明文提前发到浏览器再遮挡。</w:t>
      </w:r>
    </w:p>
    <w:p>
      <w:pPr>
        <w:pStyle w:val="Heading2"/>
      </w:pPr>
      <w:r>
        <w:t>13.5 状态管理、路由与数据请求</w:t>
      </w:r>
    </w:p>
    <w:p>
      <w:r>
        <w:rPr>
          <w:b w:val="0"/>
        </w:rPr>
        <w:t>URL保存可分享的查询条件、页码及对象ID，不保存密码、令牌、完整证件或秘密配置。路由进入先检查认证上下文，数据请求服务端再次鉴权。切换对象、域或应用时取消旧请求或忽略其过期响应，避免后返回的旧数据覆盖新选择。</w:t>
      </w:r>
    </w:p>
    <w:p>
      <w:r>
        <w:rPr>
          <w:b w:val="0"/>
        </w:rPr>
        <w:t>页面状态区分初始加载、刷新、提交、后台任务、成功、失败；不能用一个loading变量控制整个系统。编辑草稿默认只保存在当前页面内存，涉敏内容不自动持久化。所有异步错误有可观察记录和用户可执行下一步。</w:t>
      </w:r>
    </w:p>
    <w:p>
      <w:pPr>
        <w:pStyle w:val="Heading2"/>
      </w:pPr>
      <w:r>
        <w:t>13.6 设计及代码质量门禁</w:t>
      </w:r>
    </w:p>
    <w:p>
      <w:r>
        <w:rPr>
          <w:b w:val="0"/>
        </w:rPr>
        <w:t>界面开发先实现统一框架和八类页面模板，再逐页装入业务，避免每位开发者各自创造组件风格。至少选应用列表、组织工作区、授权页、同步详情、公众注册五个代表页完成设计验收后，再扩展全模块。</w:t>
      </w:r>
    </w:p>
    <w:p>
      <w:r>
        <w:rPr>
          <w:b w:val="0"/>
        </w:rPr>
        <w:t>提交合并前必须通过类型检查、静态检查、关键交互测试、无权限场景测试和必要视觉回归。页面不可存在占位按钮、点击无响应、静态成功提示、伪造统计或写死管理员权限。所有新控件优先使用antd，确需自定义控件时说明原因、键盘行为及Token映射。</w:t>
      </w:r>
    </w:p>
    <w:p>
      <w:r>
        <w:rPr>
          <w:b w:val="0"/>
        </w:rPr>
        <w:t>验收时提供各代表页正常、加载、空、失败、无权、长文本和窄屏截图。文档声明遵循Ant Design不代表成品天然符合规范，实际截图与交互才是验收依据。</w:t>
      </w:r>
    </w:p>
    <w:p>
      <w:bookmarkStart w:id="14" w:name="ch_14"/>
      <w:pPr>
        <w:pStyle w:val="Heading1"/>
      </w:pPr>
      <w:r>
        <w:t>14　验收、追溯与待确认事项</w:t>
      </w:r>
      <w:bookmarkEnd w:id="14"/>
    </w:p>
    <w:p>
      <w:pPr>
        <w:pStyle w:val="Heading2"/>
      </w:pPr>
      <w:r>
        <w:t>14.1 交付包与完成定义</w:t>
      </w:r>
    </w:p>
    <w:p>
      <w:r>
        <w:rPr>
          <w:b w:val="0"/>
        </w:rPr>
        <w:t>开发交付应包含：前端源码及锁文件、接口契约、权限与状态字典、配置模板、数据库迁移及后端部署说明（由后端项目提供）、初始化与恢复管理流程、自动化测试和验收报告。本文交付的是产品需求规格，不将代码参考片段冒称为完整系统。</w:t>
      </w:r>
    </w:p>
    <w:p>
      <w:r>
        <w:rPr>
          <w:b w:val="0"/>
        </w:rPr>
        <w:t>一个页面完成必须同时满足：可从正确入口到达，数据真实，权限正确，所有声明动作有后端闭环，正常/加载/空/错误状态齐全，视觉符合第5章，页面验收点通过。仅制作静态页面或仅使用antd组件都不构成完成。</w:t>
      </w:r>
    </w:p>
    <w:p>
      <w:pPr>
        <w:pStyle w:val="Heading2"/>
      </w:pPr>
      <w:r>
        <w:t>14.2 跨模块验收矩阵</w:t>
      </w:r>
    </w:p>
    <w:tbl>
      <w:tblPr>
        <w:tblW w:type="auto" w:w="0"/>
        <w:jc w:val="center"/>
        <w:tblLayout w:type="fixed"/>
        <w:tblLook w:firstColumn="1" w:firstRow="1" w:lastColumn="0" w:lastRow="0" w:noHBand="0" w:noVBand="1" w:val="04A0"/>
      </w:tblPr>
      <w:tblGrid>
        <w:gridCol w:w="1701"/>
        <w:gridCol w:w="3685"/>
        <w:gridCol w:w="4252"/>
      </w:tblGrid>
      <w:tr>
        <w:trPr>
          <w:cantSplit/>
          <w:tblHeader/>
        </w:trPr>
        <w:tc>
          <w:tcPr>
            <w:tcW w:type="dxa" w:w="1701"/>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编号</w:t>
            </w:r>
          </w:p>
        </w:tc>
        <w:tc>
          <w:tcPr>
            <w:tcW w:type="dxa" w:w="3685"/>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场景与步骤</w:t>
            </w:r>
          </w:p>
        </w:tc>
        <w:tc>
          <w:tcPr>
            <w:tcW w:type="dxa" w:w="4252"/>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通过标准</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AC-01</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创建应用、配置客户端、接入测试、授权用户后登录</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未授权时拒绝，授权后进入正确应用；回调、环境、主体一致</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AC-02</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创建一个两机构任职用户并修改节点排序</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唯一userId不变；两节点排序独立；全局人数只计一次</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AC-03</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给同一用户直接授权、机构授权、权限组授权后逐一撤销</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移除一种来源不影响其他来源；最后一个来源撤销后不可访问</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AC-04</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移动机构并修改包含下级范围</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继承授权和分级管理范围按规则重算，无越权或孤立委派</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AC-05</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停用拥有多个角色的用户</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平台下一次受保护请求拒绝；下游传播在约定时限内完成或报告失败</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AC-06</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停用应用角色或菜单按钮</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资源权限按有效来源重算；直接API调用不可通过前端隐藏绕过</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AC-07</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两名管理员同时修改同一授权方案</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旧版本提交409；不覆盖较新授权；可重新预览并提交</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AC-08</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全量同步期间出现下游超时，中止后重试</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已成功项不误回滚；数字准确；失败项可重试且无重复破坏</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AC-09</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新停用事件先到达，再重试旧启用事件</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下游保持较新停用状态，旧事件不会恢复账号</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AC-10</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普通管理员查询另一机构和另一应用的对象</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页面、API和导出一致拒绝；不泄露无权敏感字段</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AC-11</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多因子验证中刷新或改URL，验证码重复使用</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不可跳过验证；过期或已用验证码拒绝</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AC-12</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单点退出时一个下游应用不可达</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平台会话已撤销；下游失败单独呈现并留日志</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AC-13</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自然人注册成功但实名供应商未响应</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账户状态与核验状态分开，不显示已实名</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AC-14</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法人账号查看关联自然人和子账号日志</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关系来源清楚；子账号主体准确；不能看到其他法人数据</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AC-15</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重置或解锁一个已停用账号</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不自动启用，不自动增加应用权限</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AC-16</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登录、改密、授权、轮换密钥及导出后检查日志</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事件可关联，密码、密钥、验证码、令牌不出现在日志中</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AC-17</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1280/1440/1920桌面及375/390移动认证测试</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无遮挡溢出，状态完整，对齐与组件风格一致</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AC-18</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关闭网络、返回空结果、撤销权限、数据并发删除</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分别显示准确状态，数据不被伪装为0，用户可恢复操作</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AC-19</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公众管理员切换或伪造政企域参数</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无授权时不能获得另一域数据或令牌</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AC-20</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从全新环境部署并完成备份恢复演练</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无固定弱密码；配置、身份、授权和事件版本恢复一致</w:t>
            </w:r>
          </w:p>
        </w:tc>
      </w:tr>
    </w:tbl>
    <w:p>
      <w:pPr>
        <w:spacing w:after="40"/>
      </w:pPr>
    </w:p>
    <w:p>
      <w:pPr>
        <w:pStyle w:val="Heading2"/>
      </w:pPr>
      <w:r>
        <w:t>14.3 原方案能力追溯矩阵</w:t>
      </w:r>
    </w:p>
    <w:p>
      <w:r>
        <w:rPr>
          <w:b w:val="0"/>
        </w:rPr>
        <w:t>物理页码指附件44页中的实际页序，不是正文印刷页码。下表用于范围核对；具体页面旁的依据说明用于定位。</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原方案章节 / 物理页</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原方案能力</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本说明书落点</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§4.2—4.4 / 18—21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上游、下游、第三方链路与六中心架构</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第2—3、11—12章</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§5.1.1 / 26—27</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统一登录页、账号/SMS/CA/人脸、多因子</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A01、A02、G07；外部依赖C-03</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§5.1.2 / 27</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统一登录接口、原密码模式</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A05、11.6、T-01，明确技术调整</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§5.1.3—5.1.4 / 28</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单点登录、忘记/修改/强制改密</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A03—A05、G31—G32</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§5.2.1—5.2.2 / 28—29</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管理端登录、总览</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A01、G01</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§5.2.3.1 / 29—30</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应用、分组、环境、密钥、机构同步范围</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G02—G03、G21</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§5.2.3.2—5.2.3.4 / 30</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应用角色、资源、应用用户</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G04—G06</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§5.2.3.5 / 30—31</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多因子配置、关联应用、应用/资源扩展字段</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G07、G14</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§5.2.4.1 / 31—32</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用户、任职履历、多岗借调、机构、分级管理员</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G08—G11</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§5.2.4.2—5.2.4.3 / 33</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条线继承、职務岗位字典、用户/机构扩展</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G12—G14</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§5.2.5.1—5.2.5.4 / 33—34</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应用/用户/机构授权、跨应用权限组</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G15—G18、BR-02</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§5.2.5.5—5.2.5.6 / 35</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API授权应用、API授权用户</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G19—G20</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§5.2.6 / 35—37</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同步配置、用户机构同步、任务与记录</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G21—G25、11.5</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§5.2.7 / 37</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操作日志、统计、登录日志</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G26—G28</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§5.2.8 / 38—39</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管理员、角色、安全、SSO、加密、API黑名单、品牌、解锁</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G29—G36</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§5.2.9 / 39</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个人中心查看与编辑</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G37</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§5.3.1—5.3.2 / 39—40</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公众登录、第三方登录、统一接口</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P01、A02/A05共用组件、T-01</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§5.3.3—5.3.4 / 40—41</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自然人/法人注册、密码服务</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P02—P04</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§5.4.1—5.4.3 / 41—42</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公众管理登录、概览、应用</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P01管理上下文、C01—C02</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§5.4.4—5.4.5 / 42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自然人、法人、关联及子账号信息/日志</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C03—C04</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§5.4.6—5.4.8 / 43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公众统计、日志、成员角色、安全和品牌</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C05—C09</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第6章 / 44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服务器与客户端历史环境</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第12章，T-03/T-04明确不直接沿用</w:t>
            </w:r>
          </w:p>
        </w:tc>
      </w:tr>
    </w:tbl>
    <w:p>
      <w:pPr>
        <w:spacing w:after="40"/>
      </w:pPr>
    </w:p>
    <w:p>
      <w:pPr>
        <w:pStyle w:val="Heading2"/>
      </w:pPr>
      <w:r>
        <w:t>14.4 待确认事项及关闭条件</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编号</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需要确认的事项</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决策责任 / 关闭条件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C-01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两域是否同时首发、是否物理隔离、是否同域名部署</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产品/安全/架构；签署范围与部署边界，不改变本文完整功能清单</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真实用户量、机构量、应用量、认证峰值、SLA</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业务/运维；确认压测模型、硬件及指标，替换第12章建议基线</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C-03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短信、CA/RA、人脸、微信、支付宝具体供应商与授权</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采购/业务/集成方；接口、环境、凭据、费用及异常语义具备后才验收真实功能</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公众注册必填字段、实名方式、法人及经办关系、子账号写操作</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公众业务负责人/安全；确认完整关系生命周期，未确认部分不默认放行</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C-05</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公众业务应用的访问资格与授权模型</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应用负责人；确定资格检查接口及规则，不能把注册即全部有权作为隐含默认</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C-06</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上游身份源及字段权威性、下级平台上报数据治理</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数据负责人；确认映射、唯一键、覆盖规则和冲突处理</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C-07</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机构类型、区划、八套班子、条线与任职标准字典</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业务负责人；提供经过确认的实际字典及变更维护责任</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C-08</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原有密码模式客户端如何迁移、SSO/SLO能力差异</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接入应用负责人；逐应用确定改造方案，不开放无期限不安全兼容入口</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C-09</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下游删除/停用/移出范围语义、幂等、顺序与回收时限</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集成/安全；形成契约并通过破坏性事件测试</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C-10</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密码策略、MFA组合、初始凭据发放、管理员恢复</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安全责任方；确认阈值和恢复流程，禁止固定弱密码</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C-11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管理员自授权限制、指定应用管理/使用隔离、双人控制</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产品/安全；明确是否采用及作用范围，不默认建设复杂审批平台</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C-12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个人信息处理、日志/证件留存、脱敏和导出规则</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数据/合规责任方；确认本项目适用规则和销毁机制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C-13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字段加密方案、国密产品、密钥管理和迁移方式</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安全/架构；完成专项方案，不从UI选项推断合规资质</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C-14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后端框架、数据库、服务器与国产浏览器实际版本</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架构/运维；完成当前支持状态和兼容验证，不默认沿用2022环境</w:t>
            </w:r>
          </w:p>
        </w:tc>
      </w:tr>
    </w:tbl>
    <w:p>
      <w:pPr>
        <w:spacing w:after="40"/>
      </w:pPr>
    </w:p>
    <w:p>
      <w:pPr>
        <w:pStyle w:val="Heading2"/>
      </w:pPr>
      <w:r>
        <w:t>14.5 实施顺序建议</w:t>
      </w:r>
    </w:p>
    <w:p>
      <w:r>
        <w:rPr>
          <w:b w:val="0"/>
        </w:rPr>
        <w:t>本轮先完成前端评审阶段，范围见第15章。用户确认前端后，再开展后端第一阶段：统一框架、登录与安全基线、应用接入、组织用户、角色资源、统一授权台账、基本同步、审计与管理员控制，打通真实业务应用。第二阶段补齐条线、任职历史、扩展字段、批量效率与完整同步恢复，并按确认范围完成公众认证和管理。第三阶段接入已确认的外部认证供应商、上下级平台与特殊环境。</w:t>
      </w:r>
    </w:p>
    <w:p>
      <w:r>
        <w:rPr>
          <w:b w:val="0"/>
        </w:rPr>
        <w:t>阶段划分只用于安排依赖，不替代整体需求范围。公众业务若是首发重点，应前置公众阶段；CA等若属于必须上线条件，则须前置供应商接入，不能以P2为由交付不可用登录路径。</w:t>
      </w:r>
    </w:p>
    <w:p>
      <w:pPr>
        <w:pStyle w:val="Heading2"/>
      </w:pPr>
      <w:r>
        <w:t>14.6 最终验收结论记录模板</w:t>
      </w:r>
    </w:p>
    <w:p>
      <w:r>
        <w:rPr>
          <w:b w:val="0"/>
        </w:rPr>
        <w:t>每次验收记录版本、部署环境、测试账号及角色范围、执行人、执行时间、通过项、失败项、已批准例外和复测结果。视觉缺陷、功能缺陷和权限安全缺陷分开记录，但三类都属于产品交付质量。</w:t>
      </w:r>
    </w:p>
    <w:p>
      <w:r>
        <w:rPr>
          <w:b w:val="0"/>
        </w:rPr>
        <w:t>最终通过条件：源方案范围均有明确落点；P0关键闭环与安全测试通过；已约定交付的P1/P2功能真实可用；第5章视觉规范经页面截图和操作验证通过；影响投产的C项已关闭或形成明确批准的范围排除。未经确认的供应商、容量和合规结论不得写为“已完成”。</w:t>
      </w:r>
    </w:p>
    <w:p>
      <w:bookmarkStart w:id="15" w:name="ch_15"/>
      <w:pPr>
        <w:pStyle w:val="Heading1"/>
      </w:pPr>
      <w:r>
        <w:t>15　本轮前端与Mock阶段实施规格</w:t>
      </w:r>
      <w:bookmarkEnd w:id="15"/>
    </w:p>
    <w:p>
      <w:pPr>
        <w:pStyle w:val="Heading2"/>
      </w:pPr>
      <w:r>
        <w:t>15.1 本轮任务与完成口径</w:t>
      </w:r>
    </w:p>
    <w:p>
      <w:r>
        <w:rPr>
          <w:b w:val="0"/>
        </w:rPr>
        <w:t>U：先交付详细需求规格，再开发React与Ant Design前端；以Mock数据供用户确认功能与界面；不开发后端。本章是针对最新用户要求的阶段补充，与第14章“生产产品完成标准”分开执行。真实鉴权、数据同步、实名、短信、密码加密与令牌签发不是本轮已实现能力。</w:t>
      </w:r>
    </w:p>
    <w:p>
      <w:r>
        <w:rPr>
          <w:b w:val="0"/>
        </w:rPr>
        <w:t>本轮完成口径：页面可导航；表单可校验；核心管理动作可改变本地数据；不同页面引用同一数据模型；权限来源与模拟任务状态可检查；刷新可保留非敏感Mock业务数据；提供重置入口；所有外部能力标明“本地模拟/尚未接入”，不宣称真实成功。功能源码、构建说明、测试脚本和已执行测试记录一并交付。依赖安装、构建或浏览器测试若受环境限制，须如实记录，不以语法检查代替完整验收。</w:t>
      </w:r>
    </w:p>
    <w:p>
      <w:pPr>
        <w:pStyle w:val="Heading2"/>
      </w:pPr>
      <w:r>
        <w:t>15.2 前端页面组织</w:t>
      </w:r>
    </w:p>
    <w:p>
      <w:r>
        <w:rPr>
          <w:b w:val="0"/>
        </w:rPr>
        <w:t>采用一个前端工程。政企管理端、公众管理端、个人中心与认证页共享组件及设计Token，但路由与数据域分开。首轮使用Hash路由以降低本地静态托管要求；路由语义与第4章一致。后续部署可在服务器配置回退后切换Browser路由。页面目录采用工作区聚合，不为同一对象的每个页签重复建设菜单。</w:t>
      </w:r>
    </w:p>
    <w:tbl>
      <w:tblPr>
        <w:tblW w:type="auto" w:w="0"/>
        <w:jc w:val="center"/>
        <w:tblLayout w:type="fixed"/>
        <w:tblLook w:firstColumn="1" w:firstRow="1" w:lastColumn="0" w:lastRow="0" w:noHBand="0" w:noVBand="1" w:val="04A0"/>
      </w:tblPr>
      <w:tblGrid>
        <w:gridCol w:w="1701"/>
        <w:gridCol w:w="3685"/>
        <w:gridCol w:w="4252"/>
      </w:tblGrid>
      <w:tr>
        <w:trPr>
          <w:cantSplit/>
          <w:tblHeader/>
        </w:trPr>
        <w:tc>
          <w:tcPr>
            <w:tcW w:type="dxa" w:w="1701"/>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工作区</w:t>
            </w:r>
          </w:p>
        </w:tc>
        <w:tc>
          <w:tcPr>
            <w:tcW w:type="dxa" w:w="3685"/>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本轮可操作内容</w:t>
            </w:r>
          </w:p>
        </w:tc>
        <w:tc>
          <w:tcPr>
            <w:tcW w:type="dxa" w:w="4252"/>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明确模拟或后续处理</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总览与统计</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指标、趋势、应用排行、异常入口、时段切换</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所有数值来自统一Mock数据，不是在线生产统计</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应用管理</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搜索、卡片/表格、分组、新建、编辑、启停、详情、角色、资源、应用用户、接入配置</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接入测试与密钥轮换为本地模拟；不对外签发真实密钥</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组织与用户</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组织树、含下级查询、创建编辑、任职、状态变更、用户详情、导入导出、机构维护</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本地状态不代表权威身份源；无真实邀请短信或邮件</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授权管理</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应用/用户/机构视角、来源台账、授权预览、授权撤销、权限组、API权限</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本地权限计算仅供行为验证，不能用于生产安全控制</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同步管理</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配置、范围、任务、进度、失败原因、重试、取消、记录</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不调用外部应用；队列和结果由可重复Mock逻辑产生</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审计管理</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登录、操作、API日志筛选和详情；本地变更追加事件；导出</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不是不可篡改审计存储，刷新后的状态为浏览器本地数据</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系统配置</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管理员、角色、账号安全、SSO、字段加密、API限制、品牌、解锁</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策略保存只保存配置；服务端执行、加密迁移、风控未实现</w:t>
            </w:r>
          </w:p>
        </w:tc>
      </w:tr>
      <w:tr>
        <w:trPr>
          <w:cantSplit/>
        </w:trPr>
        <w:tc>
          <w:tcPr>
            <w:tcW w:type="dxa" w:w="1701"/>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公众侧</w:t>
            </w:r>
          </w:p>
        </w:tc>
        <w:tc>
          <w:tcPr>
            <w:tcW w:type="dxa" w:w="3685"/>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概览、应用、自然人、法人、详情关系、注册表单、日志、配置</w:t>
            </w:r>
          </w:p>
        </w:tc>
        <w:tc>
          <w:tcPr>
            <w:tcW w:type="dxa" w:w="4252"/>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注册不自动实名；第三方CA、人脸、微信、支付宝标为未接入</w:t>
            </w:r>
          </w:p>
        </w:tc>
      </w:tr>
      <w:tr>
        <w:trPr>
          <w:cantSplit/>
        </w:trPr>
        <w:tc>
          <w:tcPr>
            <w:tcW w:type="dxa" w:w="1701"/>
            <w:vAlign w:val="center"/>
            <w:tcMar>
              <w:top w:w="85" w:type="dxa"/>
              <w:bottom w:w="85" w:type="dxa"/>
              <w:left w:w="100" w:type="dxa"/>
              <w:right w:w="100" w:type="dxa"/>
            </w:tcMar>
            <w:tcBorders>
              <w:bottom w:val="single" w:sz="3" w:color="E3E8EF"/>
            </w:tcBorders>
          </w:tcPr>
          <w:p>
            <w:pPr>
              <w:spacing w:after="0" w:line="271" w:lineRule="auto"/>
            </w:pPr>
            <w:r>
              <w:rPr>
                <w:b w:val="0"/>
                <w:sz w:val="18"/>
              </w:rPr>
              <w:t>认证与个人中心</w:t>
            </w:r>
          </w:p>
        </w:tc>
        <w:tc>
          <w:tcPr>
            <w:tcW w:type="dxa" w:w="3685"/>
            <w:vAlign w:val="center"/>
            <w:tcMar>
              <w:top w:w="85" w:type="dxa"/>
              <w:bottom w:w="85" w:type="dxa"/>
              <w:left w:w="100" w:type="dxa"/>
              <w:right w:w="100" w:type="dxa"/>
            </w:tcMar>
            <w:tcBorders>
              <w:bottom w:val="single" w:sz="3" w:color="E3E8EF"/>
            </w:tcBorders>
          </w:tcPr>
          <w:p>
            <w:pPr>
              <w:spacing w:after="0" w:line="271" w:lineRule="auto"/>
            </w:pPr>
            <w:r>
              <w:rPr>
                <w:b w:val="0"/>
                <w:sz w:val="18"/>
              </w:rPr>
              <w:t>本地登录、角色切换校验入口、找回/改密表单、二次验证样式、个人资料</w:t>
            </w:r>
          </w:p>
        </w:tc>
        <w:tc>
          <w:tcPr>
            <w:tcW w:type="dxa" w:w="4252"/>
            <w:vAlign w:val="center"/>
            <w:tcMar>
              <w:top w:w="85" w:type="dxa"/>
              <w:bottom w:w="85" w:type="dxa"/>
              <w:left w:w="100" w:type="dxa"/>
              <w:right w:w="100" w:type="dxa"/>
            </w:tcMar>
            <w:tcBorders>
              <w:bottom w:val="single" w:sz="3" w:color="E3E8EF"/>
            </w:tcBorders>
          </w:tcPr>
          <w:p>
            <w:pPr>
              <w:spacing w:after="0" w:line="271" w:lineRule="auto"/>
            </w:pPr>
            <w:r>
              <w:rPr>
                <w:b w:val="0"/>
                <w:sz w:val="18"/>
              </w:rPr>
              <w:t>仅测试凭据；不得录入真实密码、身份证、业务资料</w:t>
            </w:r>
          </w:p>
        </w:tc>
      </w:tr>
    </w:tbl>
    <w:p>
      <w:pPr>
        <w:spacing w:after="40"/>
      </w:pPr>
    </w:p>
    <w:p>
      <w:r>
        <w:rPr>
          <w:b w:val="0"/>
        </w:rPr>
        <w:t>本表承诺的是页面与交互实现方向。最终每一项是否完成，以源码随附的《前端功能覆盖与验收记录》逐项列明；不能用一个通用占位页宣称全量实现。</w:t>
      </w:r>
    </w:p>
    <w:p>
      <w:pPr>
        <w:pStyle w:val="Heading2"/>
      </w:pPr>
      <w:r>
        <w:t>15.3 Mock数据与一致性规则</w:t>
      </w:r>
    </w:p>
    <w:p>
      <w:r>
        <w:rPr>
          <w:b w:val="0"/>
        </w:rPr>
        <w:t>所有测试名称、机构和联系方式均为虚构数据；域名采用example.com、example.org等保留示例域。不复用原方案内具体人员信息作为账号。数据包括正常、停用、锁定、待完善、待验证、授权到期、部分失败、未配置等场景，确保界面不只呈现理想状态。</w:t>
      </w:r>
    </w:p>
    <w:p>
      <w:r>
        <w:rPr>
          <w:b w:val="0"/>
        </w:rPr>
        <w:t>用户、组织、应用、角色、资源、权限组、授权、同步任务、审计事件使用稳定ID关联。应用人数根据有效权限去重计算；撤销单个来源后仍有其他来源时，界面继续显示可访问并列出剩余来源。身份域、应用状态、用户状态、授权期限及资源启停都参与Mock计算。系统管理资格与业务应用访问资格不互相推导。</w:t>
      </w:r>
    </w:p>
    <w:p>
      <w:r>
        <w:rPr>
          <w:b w:val="0"/>
        </w:rPr>
        <w:t>创建、修改、停用、授权、撤销、配置保存等动作通过统一Mock服务执行，统一处理延迟、异常、校验及事件记录。页面不得直接随机伪造成功提示。异步任务区分“已提交”“执行中”“部分成功”“成功”“已取消”；点击重试只处理失败项，不重做已成功项。中止不回滚已完成项。</w:t>
      </w:r>
    </w:p>
    <w:p>
      <w:pPr>
        <w:pStyle w:val="Heading2"/>
      </w:pPr>
      <w:r>
        <w:t>15.4 存储、重置与错误测试</w:t>
      </w:r>
    </w:p>
    <w:p>
      <w:r>
        <w:rPr>
          <w:b w:val="0"/>
        </w:rPr>
        <w:t>业务Mock数据按版本存入localStorage；测试登录会话存sessionStorage；不保存用户输入的真实密码、证件资料或认证令牌。浏览器数据可被修改，不具备安全属性。恢复初始数据前二次确认，恢复后同步更新全部页面；数据结构版本不匹配时提示恢复，不使用旧数据盲目运行。</w:t>
      </w:r>
    </w:p>
    <w:p>
      <w:r>
        <w:rPr>
          <w:b w:val="0"/>
        </w:rPr>
        <w:t>页面提供“前端评审环境”说明入口，包含测试账号、Mock边界、数据重置和故障注入。故障注入只影响下一次Mock写入，失败后保留输入且不更改原记录，用于检查异常状态。长任务失败为确定性规则，不用每次刷新变化的随机数。</w:t>
      </w:r>
    </w:p>
    <w:p>
      <w:pPr>
        <w:pStyle w:val="Heading2"/>
      </w:pPr>
      <w:r>
        <w:t>15.5 前端操作规范补充</w:t>
      </w:r>
    </w:p>
    <w:p>
      <w:r>
        <w:rPr>
          <w:b w:val="0"/>
        </w:rPr>
        <w:t>编辑Drawer用统一560/736px尺寸；复杂应用详情使用独立页签，授权编辑使用宽工作区及确认预览；所有表格、Modal、Drawer、Form、Tree、Select、Button、Tag来自antd原生组件。自有CSS只处理布局及业务容器，颜色由Token注入。不通过仿制Ant Design样式的HTML元素替代基础组件。</w:t>
      </w:r>
    </w:p>
    <w:p>
      <w:r>
        <w:rPr>
          <w:b w:val="0"/>
        </w:rPr>
        <w:t>高风险动作必须显示对象、影响与确认动词。导入采用UTF-8 CSV，提供模板、解析预览、逐行错误及提交结果；Excel工作簿导入属于后续适配，不将CSV导入描述成Excel原生解析。导出有筛选范围及敏感字段脱敏，并防止CSV公式执行。数字、日期、空值及状态文案遵循第5章。</w:t>
      </w:r>
    </w:p>
    <w:p>
      <w:pPr>
        <w:pStyle w:val="Heading2"/>
      </w:pPr>
      <w:r>
        <w:t>15.6 后端替换边界</w:t>
      </w:r>
    </w:p>
    <w:p>
      <w:r>
        <w:rPr>
          <w:b w:val="0"/>
        </w:rPr>
        <w:t>页面只调用src/mock或服务适配层暴露的读写函数，不在页面中拼接虚假令牌、硬编码真实供应商或真实API密钥。未来接入后端时替换服务适配器并新增后端鉴权，不用推翻页面结构。数据模型、分页语义、错误码、版本冲突及授权来源字段与第11章保持一致。</w:t>
      </w:r>
    </w:p>
    <w:p>
      <w:r>
        <w:rPr>
          <w:b w:val="0"/>
        </w:rPr>
        <w:t>前端鉴权只控制界面可见性与评审行为；生产阶段必须把角色范围、访问限制、自授权限制、令牌校验和数据脱敏重新落实到服务端。不存在“前端已经校验，所以后端无需校验”的实施捷径。</w:t>
      </w:r>
    </w:p>
    <w:p>
      <w:pPr>
        <w:pStyle w:val="Heading2"/>
      </w:pPr>
      <w:r>
        <w:t>15.7 本轮前端验收场景</w:t>
      </w:r>
    </w:p>
    <w:tbl>
      <w:tblPr>
        <w:tblW w:type="auto" w:w="0"/>
        <w:jc w:val="center"/>
        <w:tblLayout w:type="fixed"/>
        <w:tblLook w:firstColumn="1" w:firstRow="1" w:lastColumn="0" w:lastRow="0" w:noHBand="0" w:noVBand="1" w:val="04A0"/>
      </w:tblPr>
      <w:tblGrid>
        <w:gridCol w:w="1899"/>
        <w:gridCol w:w="2494"/>
        <w:gridCol w:w="5244"/>
      </w:tblGrid>
      <w:tr>
        <w:trPr>
          <w:cantSplit/>
          <w:tblHeader/>
        </w:trPr>
        <w:tc>
          <w:tcPr>
            <w:tcW w:type="dxa" w:w="1899"/>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编号</w:t>
            </w:r>
          </w:p>
        </w:tc>
        <w:tc>
          <w:tcPr>
            <w:tcW w:type="dxa" w:w="249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操作</w:t>
            </w:r>
          </w:p>
        </w:tc>
        <w:tc>
          <w:tcPr>
            <w:tcW w:type="dxa" w:w="5244"/>
            <w:vAlign w:val="center"/>
            <w:tcMar>
              <w:top w:w="85" w:type="dxa"/>
              <w:bottom w:w="85" w:type="dxa"/>
              <w:left w:w="100" w:type="dxa"/>
              <w:right w:w="100" w:type="dxa"/>
            </w:tcMar>
            <w:shd w:fill="EAF2FF"/>
            <w:tcBorders>
              <w:bottom w:val="single" w:sz="3" w:color="E3E8EF"/>
            </w:tcBorders>
          </w:tcPr>
          <w:p>
            <w:pPr>
              <w:spacing w:after="0" w:line="271" w:lineRule="auto"/>
            </w:pPr>
            <w:r>
              <w:rPr>
                <w:b/>
                <w:sz w:val="18"/>
              </w:rPr>
              <w:t>预期</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FE-01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登录本地评审账号，打开菜单，切换政企/公众域</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页面可达，域数据不混淆，切换清空查询上下文</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FE-02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新建用户、编辑姓名、刷新、按关键词搜索</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修改保留；同一用户在授权选择和详情中一致</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FE-03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创建应用与角色，登记资源并分配角色</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关联ID一致；不能为A应用选择B应用角色</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FE-04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同时建立直接/机构/权限组授权，撤销其中一种</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有效访问不被误清空，来源展示准确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FE-05</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停用用户或应用，查看有效授权</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即使授权记录仍存在，也不能计算为当前可访问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FE-06</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机构树勾选含下级并查询，移动机构</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子树范围正确，不允许父子循环</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FE-07</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发起模拟同步、中止、重试失败项</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进度与计数一致，不改写已成功项</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FE-08</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写入成功后查询操作日志</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记录对象、动作、时间和前后差异，不含密码</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FE-09</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在安全、品牌或SSO页保存后刷新</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配置保留，品牌按新值展示，安全效果不冒称生效</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FE-10</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输入无效/重复数据，注入一次失败后保存</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就近校验，错误可恢复，不产生脏数据</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FE-11</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导入包含重复账号的CSV，导出筛选结果</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导入有逐行结果；导出范围和内容正确</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FE-12</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以只读审计账号访问编辑页和直达路由</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界面限制正确；明确这不是服务端安全验收</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FE-13</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查看公众法人关联与实名状态，提交公众注册</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注册与实名状态分开，不产生虚假的核验成功</w:t>
            </w:r>
          </w:p>
        </w:tc>
      </w:tr>
      <w:tr>
        <w:trPr>
          <w:cantSplit/>
        </w:trPr>
        <w:tc>
          <w:tcPr>
            <w:tcW w:type="dxa" w:w="1899"/>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FE-14</w:t>
            </w:r>
          </w:p>
        </w:tc>
        <w:tc>
          <w:tcPr>
            <w:tcW w:type="dxa" w:w="249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在1280、1440、1920宽度检查列表/抽屉/表单</w:t>
            </w:r>
          </w:p>
        </w:tc>
        <w:tc>
          <w:tcPr>
            <w:tcW w:type="dxa" w:w="5244"/>
            <w:vAlign w:val="center"/>
            <w:tcMar>
              <w:top w:w="85" w:type="dxa"/>
              <w:bottom w:w="85" w:type="dxa"/>
              <w:left w:w="100" w:type="dxa"/>
              <w:right w:w="100" w:type="dxa"/>
            </w:tcMar>
            <w:shd w:fill="F7F9FC"/>
            <w:tcBorders>
              <w:bottom w:val="single" w:sz="3" w:color="E3E8EF"/>
            </w:tcBorders>
          </w:tcPr>
          <w:p>
            <w:pPr>
              <w:spacing w:after="0" w:line="271" w:lineRule="auto"/>
            </w:pPr>
            <w:r>
              <w:rPr>
                <w:b w:val="0"/>
                <w:sz w:val="18"/>
              </w:rPr>
              <w:t>对齐一致，长表格只在容器内滚动，不出现内容遮挡</w:t>
            </w:r>
          </w:p>
        </w:tc>
      </w:tr>
      <w:tr>
        <w:trPr>
          <w:cantSplit/>
        </w:trPr>
        <w:tc>
          <w:tcPr>
            <w:tcW w:type="dxa" w:w="1899"/>
            <w:vAlign w:val="center"/>
            <w:tcMar>
              <w:top w:w="85" w:type="dxa"/>
              <w:bottom w:w="85" w:type="dxa"/>
              <w:left w:w="100" w:type="dxa"/>
              <w:right w:w="100" w:type="dxa"/>
            </w:tcMar>
            <w:tcBorders>
              <w:bottom w:val="single" w:sz="3" w:color="E3E8EF"/>
            </w:tcBorders>
          </w:tcPr>
          <w:p>
            <w:pPr>
              <w:spacing w:after="0" w:line="271" w:lineRule="auto"/>
            </w:pPr>
            <w:r>
              <w:rPr>
                <w:b w:val="0"/>
                <w:sz w:val="18"/>
              </w:rPr>
              <w:t>FE-15</w:t>
            </w:r>
          </w:p>
        </w:tc>
        <w:tc>
          <w:tcPr>
            <w:tcW w:type="dxa" w:w="2494"/>
            <w:vAlign w:val="center"/>
            <w:tcMar>
              <w:top w:w="85" w:type="dxa"/>
              <w:bottom w:w="85" w:type="dxa"/>
              <w:left w:w="100" w:type="dxa"/>
              <w:right w:w="100" w:type="dxa"/>
            </w:tcMar>
            <w:tcBorders>
              <w:bottom w:val="single" w:sz="3" w:color="E3E8EF"/>
            </w:tcBorders>
          </w:tcPr>
          <w:p>
            <w:pPr>
              <w:spacing w:after="0" w:line="271" w:lineRule="auto"/>
            </w:pPr>
            <w:r>
              <w:rPr>
                <w:b w:val="0"/>
                <w:sz w:val="18"/>
              </w:rPr>
              <w:t>恢复初始数据并重新登录</w:t>
            </w:r>
          </w:p>
        </w:tc>
        <w:tc>
          <w:tcPr>
            <w:tcW w:type="dxa" w:w="5244"/>
            <w:vAlign w:val="center"/>
            <w:tcMar>
              <w:top w:w="85" w:type="dxa"/>
              <w:bottom w:w="85" w:type="dxa"/>
              <w:left w:w="100" w:type="dxa"/>
              <w:right w:w="100" w:type="dxa"/>
            </w:tcMar>
            <w:tcBorders>
              <w:bottom w:val="single" w:sz="3" w:color="E3E8EF"/>
            </w:tcBorders>
          </w:tcPr>
          <w:p>
            <w:pPr>
              <w:spacing w:after="0" w:line="271" w:lineRule="auto"/>
            </w:pPr>
            <w:r>
              <w:rPr>
                <w:b w:val="0"/>
                <w:sz w:val="18"/>
              </w:rPr>
              <w:t>初始数据完整，所有工作区保持一致</w:t>
            </w:r>
          </w:p>
        </w:tc>
      </w:tr>
    </w:tbl>
    <w:p>
      <w:pPr>
        <w:spacing w:after="40"/>
      </w:pPr>
    </w:p>
    <w:p>
      <w:r>
        <w:rPr>
          <w:b w:val="0"/>
        </w:rPr>
        <w:t>交付检查与生产验收分开记录：源码编写完成、语法/逻辑测试、真实依赖构建、浏览器操作验收、后端联调各为独立状态。未经执行的检查必须标“未执行”，不能自动勾选通过。</w:t>
      </w:r>
    </w:p>
    <w:sectPr w:rsidR="00FC693F" w:rsidRPr="0006063C" w:rsidSect="00034616">
      <w:headerReference w:type="default" r:id="rId9"/>
      <w:footerReference w:type="default" r:id="rId10"/>
      <w:pgSz w:w="11906" w:h="16838"/>
      <w:pgMar w:top="1077" w:right="1134" w:bottom="1020" w:left="1134" w:header="397"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V1.1 · 前端优先评审稿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CE3EB"/>
      </w:pBdr>
    </w:pPr>
    <w:r>
      <w:rPr>
        <w:color w:val="667085"/>
        <w:sz w:val="16"/>
      </w:rPr>
      <w:t>统一身份管理平台  /  产品需求规格说明书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CJK SC" w:hAnsi="Noto Sans CJK SC" w:eastAsia="Noto Sans CJK SC"/>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outlineLvl w:val="0"/>
    </w:pPr>
    <w:rPr>
      <w:rFonts w:asciiTheme="majorHAnsi" w:eastAsiaTheme="majorEastAsia" w:hAnsiTheme="majorHAnsi" w:cstheme="majorBidi" w:ascii="Noto Sans CJK SC" w:hAnsi="Noto Sans CJK SC" w:eastAsia="Noto Sans CJK SC"/>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Noto Sans CJK SC" w:hAnsi="Noto Sans CJK SC" w:eastAsia="Noto Sans CJK SC"/>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Noto Sans CJK SC" w:hAnsi="Noto Sans CJK SC" w:eastAsia="Noto Sans CJK SC"/>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Noto Sans CJK SC" w:hAnsi="Noto Sans CJK SC" w:eastAsia="Noto Sans CJK SC"/>
      <w:b/>
      <w:bCs/>
      <w:i/>
      <w:iCs/>
      <w:color w:val="1F29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93" w:lineRule="auto"/>
      <w:ind w:left="720"/>
      <w:contextualSpacing/>
    </w:pPr>
    <w:rPr>
      <w:rFonts w:ascii="Noto Sans CJK SC" w:hAnsi="Noto Sans CJK SC" w:eastAsia="Noto Sans CJK SC"/>
      <w:color w:val="1F2937"/>
      <w:sz w:val="20"/>
    </w:rPr>
  </w:style>
  <w:style w:type="paragraph" w:styleId="BodyText">
    <w:name w:val="Body Text"/>
    <w:basedOn w:val="Normal"/>
    <w:link w:val="BodyTextChar"/>
    <w:uiPriority w:val="99"/>
    <w:unhideWhenUsed/>
    <w:rsid w:val="00AA1D8D"/>
    <w:pPr>
      <w:spacing w:after="120" w:line="293" w:lineRule="auto"/>
    </w:pPr>
    <w:rPr>
      <w:rFonts w:ascii="Noto Sans CJK SC" w:hAnsi="Noto Sans CJK SC" w:eastAsia="Noto Sans CJK SC"/>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act.dev/versions" TargetMode="External"/><Relationship Id="rId12" Type="http://schemas.openxmlformats.org/officeDocument/2006/relationships/hyperlink" Target="https://ant.design/changelog/" TargetMode="External"/><Relationship Id="rId13" Type="http://schemas.openxmlformats.org/officeDocument/2006/relationships/hyperlink" Target="https://ant.design/docs/react/migration-v6/" TargetMode="External"/><Relationship Id="rId14" Type="http://schemas.openxmlformats.org/officeDocument/2006/relationships/hyperlink" Target="https://ant.design/docs/spec/layout/" TargetMode="External"/><Relationship Id="rId15" Type="http://schemas.openxmlformats.org/officeDocument/2006/relationships/hyperlink" Target="https://ant.design/docs/spec/font/" TargetMode="External"/><Relationship Id="rId16" Type="http://schemas.openxmlformats.org/officeDocument/2006/relationships/hyperlink" Target="https://ant.design/docs/react/customize-theme/" TargetMode="External"/><Relationship Id="rId17" Type="http://schemas.openxmlformats.org/officeDocument/2006/relationships/hyperlink" Target="https://ant.design/components/app/" TargetMode="External"/><Relationship Id="rId18" Type="http://schemas.openxmlformats.org/officeDocument/2006/relationships/hyperlink" Target="https://ant.design/components/drawer/" TargetMode="External"/><Relationship Id="rId19" Type="http://schemas.openxmlformats.org/officeDocument/2006/relationships/hyperlink" Target="https://ant.design/components/modal/" TargetMode="External"/><Relationship Id="rId20" Type="http://schemas.openxmlformats.org/officeDocument/2006/relationships/hyperlink" Target="https://www.rfc-editor.org/rfc/rfc9700.html" TargetMode="External"/><Relationship Id="rId21" Type="http://schemas.openxmlformats.org/officeDocument/2006/relationships/hyperlink" Target="https://openid.net/specs/openid-connect-core-1_0.html" TargetMode="External"/><Relationship Id="rId22" Type="http://schemas.openxmlformats.org/officeDocument/2006/relationships/hyperlink" Target="https://ant.design/components/table/" TargetMode="External"/><Relationship Id="rId23" Type="http://schemas.openxmlformats.org/officeDocument/2006/relationships/hyperlink" Target="https://ant.design/components/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卓鉴统一身份管理平台 — 详细产品需求规格说明书</dc:title>
  <dc:subject>data-elements-idaas / 卓鉴 / 统一身份管理平台 / 前端优先评审稿 / React + Ant Design</dc:subject>
  <dc:creator/>
  <cp:keywords>data-elements-idaas, 卓鉴, 统一身份管理平台</cp:keywords>
  <dc:description/>
  <cp:lastModifiedBy/>
  <cp:revision>1</cp:revision>
  <dcterms:created xsi:type="dcterms:W3CDTF">2013-12-23T23:15:00Z</dcterms:created>
  <dcterms:modified xsi:type="dcterms:W3CDTF">2013-12-23T23:15:00Z</dcterms:modified>
  <cp:category/>
</cp:coreProperties>
</file>