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 w:line="360" w:lineRule="auto"/>
        <w:ind w:firstLine="0"/>
        <w:jc w:val="center"/>
        <w:outlineLvl w:val="0"/>
      </w:pPr>
      <w:r>
        <w:rPr>
          <w:rFonts w:ascii="Times New Roman" w:hAnsi="Times New Roman"/>
          <w:b w:val="0"/>
          <w:color w:val="000000"/>
          <w:sz w:val="32"/>
        </w:rPr>
        <w:t>Тест списков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sz w:val="28"/>
        </w:rPr>
        <w:t>Оформление надписей: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Font — выбор шрифта;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Text alignment — выравнивание текста;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Flip name — перемещение подписи блока;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Show/Hide name — отображение или скрытие подписи.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sz w:val="28"/>
        </w:rPr>
        <w:t>Цветовое оформление: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Foreground color — цвет контура блоков;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Background color — цвет заливки блоков;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Screen color — фон рабочей области модели.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sz w:val="28"/>
        </w:rPr>
        <w:t>Расположение и отображение: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Flip block — зеркальное отражение блока;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Rotate block — поворот на 90° по часовой стрелке;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Show drop shadow — отображение тени;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– Show port labels — отображение меток портов.</w:t>
      </w:r>
    </w:p>
    <w:p>
      <w:pPr>
        <w:spacing w:line="360" w:lineRule="auto" w:before="0" w:after="0"/>
        <w:ind w:firstLine="709"/>
        <w:jc w:val="left"/>
      </w:pPr>
      <w:r>
        <w:rPr>
          <w:rFonts w:ascii="Times New Roman" w:hAnsi="Times New Roman"/>
          <w:sz w:val="28"/>
        </w:rPr>
        <w:t>где J — момент инерции вращающихся частей, кг·м²;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\omega_1 — синхронная угловая скорость вращения магнитного поля, рад/с;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/>
          <w:sz w:val="28"/>
        </w:rPr>
        <w:t>Pн — номинальная мощность машины, Вт.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 w:line="360" w:lineRule="auto"/>
      <w:ind w:firstLine="0"/>
      <w:jc w:val="center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40" w:line="360" w:lineRule="auto"/>
      <w:ind w:firstLine="0"/>
      <w:jc w:val="center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