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EuroCRM Solution Overview Document</w:t>
      </w:r>
    </w:p>
    <w:p/>
    <w:p>
      <w:pPr>
        <w:jc w:val="center"/>
      </w:pPr>
      <w:r>
        <w:rPr>
          <w:b/>
        </w:rPr>
        <w:t>Knight Frank European CRM Platform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320"/>
          </w:tcPr>
          <w:p>
            <w:r>
              <w:t>EuroCRM Solution Overview 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>
              <w:t>Gary Newport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26/08/2026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Internal - Confidential</w:t>
            </w:r>
          </w:p>
        </w:tc>
      </w:tr>
    </w:tbl>
    <w:p>
      <w:r>
        <w:br w:type="page"/>
      </w:r>
    </w:p>
    <w:p>
      <w:pPr>
        <w:pStyle w:val="Heading1"/>
      </w:pPr>
      <w:r>
        <w:t>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Initial draft</w:t>
            </w:r>
          </w:p>
        </w:tc>
        <w:tc>
          <w:tcPr>
            <w:tcW w:type="dxa" w:w="1728"/>
          </w:tcPr>
          <w:p>
            <w:r>
              <w:t>Gary Newport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  <w:tc>
          <w:tcPr>
            <w:tcW w:type="dxa" w:w="1728"/>
          </w:tcPr>
          <w:p>
            <w:r>
              <w:t>26/08/2026</w:t>
            </w:r>
          </w:p>
        </w:tc>
      </w:tr>
    </w:tbl>
    <w:p/>
    <w:p>
      <w:pPr>
        <w:pStyle w:val="Heading1"/>
      </w:pPr>
      <w:r>
        <w:t>Table of Contents</w:t>
      </w:r>
    </w:p>
    <w:p>
      <w:r>
        <w:rPr>
          <w:b w:val="0"/>
          <w:i/>
        </w:rPr>
        <w:t>[Table of Contents to be generated in Word]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 w:val="0"/>
          <w:i w:val="0"/>
        </w:rPr>
        <w:t>European CRM solution covering France, Germany, Spain, and Poland. This document defines the architecture approach for review and approval by the Technical Design Authority (TDA).</w:t>
      </w:r>
    </w:p>
    <w:p>
      <w:r>
        <w:rPr>
          <w:b w:val="0"/>
          <w:i w:val="0"/>
        </w:rPr>
        <w:t>The EuroCRM initiative addresses the need for a unified CRM platform across four European offices. Client intelligence is fragmented across local brokers, manual reporting doesn't scale, and cross-sell opportunities are missed.</w:t>
      </w:r>
    </w:p>
    <w:p>
      <w:r>
        <w:br w:type="page"/>
      </w:r>
    </w:p>
    <w:p>
      <w:pPr>
        <w:pStyle w:val="Heading1"/>
      </w:pPr>
      <w:r>
        <w:t>Business Context</w:t>
      </w:r>
    </w:p>
    <w:p>
      <w:pPr>
        <w:pStyle w:val="Heading2"/>
      </w:pPr>
      <w:r>
        <w:t>Current State</w:t>
      </w:r>
    </w:p>
    <w:p>
      <w:r>
        <w:rPr>
          <w:b w:val="0"/>
          <w:i w:val="0"/>
        </w:rPr>
        <w:t>Four separate European offices: France, Germany, Spain, Poland</w:t>
      </w:r>
    </w:p>
    <w:p>
      <w:r>
        <w:rPr>
          <w:b w:val="0"/>
          <w:i w:val="0"/>
        </w:rPr>
        <w:t>Existing CRM systems vary by region</w:t>
      </w:r>
    </w:p>
    <w:p>
      <w:r>
        <w:rPr>
          <w:b w:val="0"/>
          <w:i w:val="0"/>
        </w:rPr>
        <w:t>No unified customer data platform</w:t>
      </w:r>
    </w:p>
    <w:p>
      <w:r>
        <w:rPr>
          <w:b w:val="0"/>
          <w:i w:val="0"/>
        </w:rPr>
        <w:t>Client knowledge sits with individual brokers in email, Excel trackers, and shared folders</w:t>
      </w:r>
    </w:p>
    <w:p>
      <w:r>
        <w:rPr>
          <w:b w:val="0"/>
          <w:i w:val="0"/>
        </w:rPr>
        <w:t>Transaction reports are built manually in Excel</w:t>
      </w:r>
    </w:p>
    <w:p>
      <w:pPr>
        <w:pStyle w:val="Heading2"/>
      </w:pPr>
      <w:r>
        <w:t>Problem Statement</w:t>
      </w:r>
    </w:p>
    <w:p>
      <w:r>
        <w:rPr>
          <w:b/>
          <w:i w:val="0"/>
        </w:rPr>
        <w:t>Core Problems:</w:t>
      </w:r>
    </w:p>
    <w:p>
      <w:pPr>
        <w:pStyle w:val="ListNumber"/>
      </w:pPr>
      <w:r>
        <w:t>Fragmented Client Intelligence — If a broker in Madrid is tracking an investor whose strategy matches a Paris asset, neither side knows</w:t>
      </w:r>
    </w:p>
    <w:p>
      <w:pPr>
        <w:pStyle w:val="ListNumber"/>
      </w:pPr>
      <w:r>
        <w:t>Manual Reporting — Price, buyer, seller, asset, and fee data assembled manually after every close</w:t>
      </w:r>
    </w:p>
    <w:p>
      <w:pPr>
        <w:pStyle w:val="ListNumber"/>
      </w:pPr>
      <w:r>
        <w:t>Missing Cross-Sell Opportunities — Fragmented data means opportunities for cross-border and cross-service-line collaboration are lost</w:t>
      </w:r>
    </w:p>
    <w:p>
      <w:pPr>
        <w:pStyle w:val="Heading2"/>
      </w:pPr>
      <w:r>
        <w:t>Regional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Requirements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Regulatory Notes</w:t>
            </w:r>
          </w:p>
        </w:tc>
      </w:tr>
      <w:tr>
        <w:tc>
          <w:tcPr>
            <w:tcW w:type="dxa" w:w="2880"/>
          </w:tcPr>
          <w:p>
            <w:r>
              <w:t>France</w:t>
            </w:r>
          </w:p>
        </w:tc>
        <w:tc>
          <w:tcPr>
            <w:tcW w:type="dxa" w:w="2880"/>
          </w:tcPr>
          <w:p>
            <w:r>
              <w:t>City pre-emption, notarial deed requirements</w:t>
            </w:r>
          </w:p>
        </w:tc>
        <w:tc>
          <w:tcPr>
            <w:tcW w:type="dxa" w:w="2880"/>
          </w:tcPr>
          <w:p>
            <w:r>
              <w:t>CNIL, GDPR</w:t>
            </w:r>
          </w:p>
        </w:tc>
      </w:tr>
      <w:tr>
        <w:tc>
          <w:tcPr>
            <w:tcW w:type="dxa" w:w="2880"/>
          </w:tcPr>
          <w:p>
            <w:r>
              <w:t>Germany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BDSG, GDPR</w:t>
            </w:r>
          </w:p>
        </w:tc>
      </w:tr>
      <w:tr>
        <w:tc>
          <w:tcPr>
            <w:tcW w:type="dxa" w:w="2880"/>
          </w:tcPr>
          <w:p>
            <w:r>
              <w:t>Spain</w:t>
            </w:r>
          </w:p>
        </w:tc>
        <w:tc>
          <w:tcPr>
            <w:tcW w:type="dxa" w:w="2880"/>
          </w:tcPr>
          <w:p>
            <w:r>
              <w:t>Right-of-refusal on listed buildings</w:t>
            </w:r>
          </w:p>
        </w:tc>
        <w:tc>
          <w:tcPr>
            <w:tcW w:type="dxa" w:w="2880"/>
          </w:tcPr>
          <w:p>
            <w:r>
              <w:t>GDPR</w:t>
            </w:r>
          </w:p>
        </w:tc>
      </w:tr>
      <w:tr>
        <w:tc>
          <w:tcPr>
            <w:tcW w:type="dxa" w:w="2880"/>
          </w:tcPr>
          <w:p>
            <w:r>
              <w:t>Poland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GDPR</w:t>
            </w:r>
          </w:p>
        </w:tc>
      </w:tr>
    </w:tbl>
    <w:p>
      <w:pPr>
        <w:pStyle w:val="Heading2"/>
      </w:pPr>
      <w:r>
        <w:t>Drivers</w:t>
      </w:r>
    </w:p>
    <w:p>
      <w:pPr>
        <w:pStyle w:val="ListBullet"/>
      </w:pPr>
      <w:r>
        <w:t>Need for consolidated customer view across service lines and countries</w:t>
      </w:r>
    </w:p>
    <w:p>
      <w:pPr>
        <w:pStyle w:val="ListBullet"/>
      </w:pPr>
      <w:r>
        <w:t>Regulatory compliance across jurisdictions</w:t>
      </w:r>
    </w:p>
    <w:p>
      <w:pPr>
        <w:pStyle w:val="ListBullet"/>
      </w:pPr>
      <w:r>
        <w:t>Operational efficiency across regions</w:t>
      </w:r>
    </w:p>
    <w:p>
      <w:pPr>
        <w:pStyle w:val="ListBullet"/>
      </w:pPr>
      <w:r>
        <w:t>Ability to scale reporting as deal volume grows</w:t>
      </w:r>
    </w:p>
    <w:p>
      <w:pPr>
        <w:pStyle w:val="Heading2"/>
      </w:pPr>
      <w:r>
        <w:t>Constraints</w:t>
      </w:r>
    </w:p>
    <w:p>
      <w:pPr>
        <w:pStyle w:val="ListBullet"/>
      </w:pPr>
      <w:r>
        <w:t>Regional data residency requirements</w:t>
      </w:r>
    </w:p>
    <w:p>
      <w:pPr>
        <w:pStyle w:val="ListBullet"/>
      </w:pPr>
      <w:r>
        <w:t>Existing system integrations</w:t>
      </w:r>
    </w:p>
    <w:p>
      <w:pPr>
        <w:pStyle w:val="ListBullet"/>
      </w:pPr>
      <w:r>
        <w:t>TDA governance oversight</w:t>
      </w:r>
    </w:p>
    <w:p>
      <w:pPr>
        <w:pStyle w:val="ListBullet"/>
      </w:pPr>
      <w:r>
        <w:t>Cross-border data sharing agreements required</w:t>
      </w:r>
    </w:p>
    <w:p>
      <w:r>
        <w:br w:type="page"/>
      </w:r>
    </w:p>
    <w:p>
      <w:pPr>
        <w:pStyle w:val="Heading1"/>
      </w:pPr>
      <w:r>
        <w:t>Business Goals and Objectives</w:t>
      </w:r>
    </w:p>
    <w:p>
      <w:pPr>
        <w:pStyle w:val="Heading2"/>
      </w:pPr>
      <w:r>
        <w:t>MVP Success Criteria</w:t>
      </w:r>
    </w:p>
    <w:p>
      <w:r>
        <w:rPr>
          <w:b w:val="0"/>
          <w:i/>
        </w:rPr>
        <w:t>"Who is this client to Knight Frank across every service line, every country?"</w:t>
      </w:r>
    </w:p>
    <w:p>
      <w:r>
        <w:rPr>
          <w:b w:val="0"/>
          <w:i/>
        </w:rPr>
        <w:t>"What does our EU pipeline look like?"</w:t>
      </w:r>
    </w:p>
    <w:p>
      <w:r>
        <w:rPr>
          <w:b w:val="0"/>
          <w:i/>
        </w:rPr>
        <w:t>"How do we run CM deals?"</w:t>
      </w:r>
    </w:p>
    <w:p>
      <w:pPr>
        <w:pStyle w:val="Heading2"/>
      </w:pPr>
      <w:r>
        <w:t>Strategic Objectives</w:t>
      </w:r>
    </w:p>
    <w:p>
      <w:pPr>
        <w:pStyle w:val="ListBullet"/>
      </w:pPr>
      <w:r>
        <w:t>Unified customer view across European operations</w:t>
      </w:r>
    </w:p>
    <w:p>
      <w:pPr>
        <w:pStyle w:val="ListBullet"/>
      </w:pPr>
      <w:r>
        <w:t>Compliance with regional data regulations (GDPR, local requirements)</w:t>
      </w:r>
    </w:p>
    <w:p>
      <w:pPr>
        <w:pStyle w:val="ListBullet"/>
      </w:pPr>
      <w:r>
        <w:t>Standardised business processes across all four markets</w:t>
      </w:r>
    </w:p>
    <w:p>
      <w:pPr>
        <w:pStyle w:val="ListBullet"/>
      </w:pPr>
      <w:r>
        <w:t>Cross-border and cross-service-line collaboration</w:t>
      </w:r>
    </w:p>
    <w:p>
      <w:pPr>
        <w:pStyle w:val="ListBullet"/>
      </w:pPr>
      <w:r>
        <w:t>Scalable reporting as deal volume grows</w:t>
      </w:r>
    </w:p>
    <w:p>
      <w:r>
        <w:br w:type="page"/>
      </w:r>
    </w:p>
    <w:p>
      <w:pPr>
        <w:pStyle w:val="Heading1"/>
      </w:pPr>
      <w:r>
        <w:t>Key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Interest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Influence</w:t>
            </w:r>
          </w:p>
        </w:tc>
      </w:tr>
      <w:tr>
        <w:tc>
          <w:tcPr>
            <w:tcW w:type="dxa" w:w="1728"/>
          </w:tcPr>
          <w:p>
            <w:r>
              <w:t>Gary Newport</w:t>
            </w:r>
          </w:p>
        </w:tc>
        <w:tc>
          <w:tcPr>
            <w:tcW w:type="dxa" w:w="1728"/>
          </w:tcPr>
          <w:p>
            <w:r>
              <w:t>Author/Solution Lead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TDA</w:t>
            </w:r>
          </w:p>
        </w:tc>
        <w:tc>
          <w:tcPr>
            <w:tcW w:type="dxa" w:w="1728"/>
          </w:tcPr>
          <w:p>
            <w:r>
              <w:t>Technical Design Authority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CTO</w:t>
            </w:r>
          </w:p>
        </w:tc>
        <w:tc>
          <w:tcPr>
            <w:tcW w:type="dxa" w:w="1728"/>
          </w:tcPr>
          <w:p>
            <w:r>
              <w:t>Chief Technology Officer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European MDs</w:t>
            </w:r>
          </w:p>
        </w:tc>
        <w:tc>
          <w:tcPr>
            <w:tcW w:type="dxa" w:w="1728"/>
          </w:tcPr>
          <w:p>
            <w:r>
              <w:t>Regional Managing Directors</w:t>
            </w:r>
          </w:p>
        </w:tc>
        <w:tc>
          <w:tcPr>
            <w:tcW w:type="dxa" w:w="1728"/>
          </w:tcPr>
          <w:p>
            <w:r>
              <w:t>France, Germany, Spain, Poland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CM Team Heads</w:t>
            </w:r>
          </w:p>
        </w:tc>
        <w:tc>
          <w:tcPr>
            <w:tcW w:type="dxa" w:w="1728"/>
          </w:tcPr>
          <w:p>
            <w:r>
              <w:t>Capital Markets Service Line Leaders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Legal/Compliance</w:t>
            </w:r>
          </w:p>
        </w:tc>
        <w:tc>
          <w:tcPr>
            <w:tcW w:type="dxa" w:w="1728"/>
          </w:tcPr>
          <w:p>
            <w:r>
              <w:t>Data Protection Officers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Finance Team</w:t>
            </w:r>
          </w:p>
        </w:tc>
        <w:tc>
          <w:tcPr>
            <w:tcW w:type="dxa" w:w="1728"/>
          </w:tcPr>
          <w:p>
            <w:r>
              <w:t>Financial Controllers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IT Operations</w:t>
            </w:r>
          </w:p>
        </w:tc>
        <w:tc>
          <w:tcPr>
            <w:tcW w:type="dxa" w:w="1728"/>
          </w:tcPr>
          <w:p>
            <w:r>
              <w:t>Infrastructure &amp; Support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End Users</w:t>
            </w:r>
          </w:p>
        </w:tc>
        <w:tc>
          <w:tcPr>
            <w:tcW w:type="dxa" w:w="1728"/>
          </w:tcPr>
          <w:p>
            <w:r>
              <w:t>Brokers, Analysts, Support Staff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>
      <w:pPr>
        <w:pStyle w:val="Heading2"/>
      </w:pPr>
      <w:r>
        <w:t>RACI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Solution Lead</w:t>
            </w:r>
          </w:p>
        </w:tc>
        <w:tc>
          <w:tcPr>
            <w:tcW w:type="dxa" w:w="960"/>
          </w:tcPr>
          <w:p>
            <w:r>
              <w:rPr>
                <w:b/>
              </w:rPr>
              <w:t>TDA</w:t>
            </w:r>
          </w:p>
        </w:tc>
        <w:tc>
          <w:tcPr>
            <w:tcW w:type="dxa" w:w="960"/>
          </w:tcPr>
          <w:p>
            <w:r>
              <w:rPr>
                <w:b/>
              </w:rPr>
              <w:t>CTO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Regional MDs</w:t>
            </w:r>
          </w:p>
        </w:tc>
        <w:tc>
          <w:tcPr>
            <w:tcW w:type="dxa" w:w="960"/>
          </w:tcPr>
          <w:p>
            <w:r>
              <w:rPr>
                <w:b/>
              </w:rPr>
              <w:t>CM Team</w:t>
            </w:r>
          </w:p>
        </w:tc>
        <w:tc>
          <w:tcPr>
            <w:tcW w:type="dxa" w:w="960"/>
          </w:tcPr>
          <w:p>
            <w:r>
              <w:rPr>
                <w:b/>
              </w:rPr>
              <w:t>Legal</w:t>
            </w:r>
          </w:p>
        </w:tc>
        <w:tc>
          <w:tcPr>
            <w:tcW w:type="dxa" w:w="960"/>
          </w:tcPr>
          <w:p>
            <w:r>
              <w:rPr>
                <w:b/>
              </w:rPr>
              <w:t>Finance</w:t>
            </w:r>
          </w:p>
        </w:tc>
        <w:tc>
          <w:tcPr>
            <w:tcW w:type="dxa" w:w="960"/>
          </w:tcPr>
          <w:p>
            <w:r>
              <w:rPr>
                <w:b/>
              </w:rPr>
              <w:t>IT Ops</w:t>
            </w:r>
          </w:p>
        </w:tc>
      </w:tr>
      <w:tr>
        <w:tc>
          <w:tcPr>
            <w:tcW w:type="dxa" w:w="960"/>
          </w:tcPr>
          <w:p>
            <w:r>
              <w:t>Architecture Design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  <w:tr>
        <w:tc>
          <w:tcPr>
            <w:tcW w:type="dxa" w:w="960"/>
          </w:tcPr>
          <w:p>
            <w:r>
              <w:t>Environment Setup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</w:tr>
      <w:tr>
        <w:tc>
          <w:tcPr>
            <w:tcW w:type="dxa" w:w="960"/>
          </w:tcPr>
          <w:p>
            <w:r>
              <w:t>Data Model Design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Security Configuration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</w:tr>
      <w:tr>
        <w:tc>
          <w:tcPr>
            <w:tcW w:type="dxa" w:w="960"/>
          </w:tcPr>
          <w:p>
            <w:r>
              <w:t>Integration Design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</w:tr>
      <w:tr>
        <w:tc>
          <w:tcPr>
            <w:tcW w:type="dxa" w:w="960"/>
          </w:tcPr>
          <w:p>
            <w:r>
              <w:t>UAT Coordination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Go-Live Approval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  <w:tr>
        <w:tc>
          <w:tcPr>
            <w:tcW w:type="dxa" w:w="960"/>
          </w:tcPr>
          <w:p>
            <w:r>
              <w:t>Post-Go-Live Support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</w:tr>
    </w:tbl>
    <w:p>
      <w:r>
        <w:rPr>
          <w:b w:val="0"/>
          <w:i/>
        </w:rPr>
        <w:t>R = Responsible, A = Accountable, C = Consulted, I = Informed</w:t>
      </w:r>
    </w:p>
    <w:p>
      <w:r>
        <w:br w:type="page"/>
      </w:r>
    </w:p>
    <w:p>
      <w:pPr>
        <w:pStyle w:val="Heading1"/>
      </w:pPr>
      <w:r>
        <w:t>Business Capabilities</w:t>
      </w:r>
    </w:p>
    <w:p>
      <w:pPr>
        <w:pStyle w:val="Heading2"/>
      </w:pPr>
      <w:r>
        <w:t>Core CRM Capabilities</w:t>
      </w:r>
    </w:p>
    <w:p>
      <w:pPr>
        <w:pStyle w:val="Heading3"/>
      </w:pPr>
      <w:r>
        <w:t>Client Management</w:t>
      </w:r>
    </w:p>
    <w:p>
      <w:pPr>
        <w:pStyle w:val="ListBullet"/>
      </w:pPr>
      <w:r>
        <w:t>Account Management: Legal entity records with SIC-coded industry classification (66 KF sectors)</w:t>
      </w:r>
    </w:p>
    <w:p>
      <w:pPr>
        <w:pStyle w:val="ListBullet"/>
      </w:pPr>
      <w:r>
        <w:t>Contact Management: Individual contacts linked to accounts with roles and preferences</w:t>
      </w:r>
    </w:p>
    <w:p>
      <w:pPr>
        <w:pStyle w:val="ListBullet"/>
      </w:pPr>
      <w:r>
        <w:t>Brand/Group Hierarchy: Two-tier model: Brand/Group → Legal Entity</w:t>
      </w:r>
    </w:p>
    <w:p>
      <w:pPr>
        <w:pStyle w:val="ListBullet"/>
      </w:pPr>
      <w:r>
        <w:t>Industry Classification: SIC codes mapped to KF sectors with gap analysis</w:t>
      </w:r>
    </w:p>
    <w:p>
      <w:pPr>
        <w:pStyle w:val="Heading3"/>
      </w:pPr>
      <w:r>
        <w:t>Property Management</w:t>
      </w:r>
    </w:p>
    <w:p>
      <w:pPr>
        <w:pStyle w:val="ListBullet"/>
      </w:pPr>
      <w:r>
        <w:t>Site Management: Canonical physical sites with addresses and coordinates</w:t>
      </w:r>
    </w:p>
    <w:p>
      <w:pPr>
        <w:pStyle w:val="ListBullet"/>
      </w:pPr>
      <w:r>
        <w:t>Property Management: Commercial and residential properties linked to sites</w:t>
      </w:r>
    </w:p>
    <w:p>
      <w:pPr>
        <w:pStyle w:val="ListBullet"/>
      </w:pPr>
      <w:r>
        <w:t>Residential Property: Sales, lettings, and property management</w:t>
      </w:r>
    </w:p>
    <w:p>
      <w:pPr>
        <w:pStyle w:val="ListBullet"/>
      </w:pPr>
      <w:r>
        <w:t>Energy Ratings: EPC and energy performance data</w:t>
      </w:r>
    </w:p>
    <w:p>
      <w:pPr>
        <w:pStyle w:val="Heading3"/>
      </w:pPr>
      <w:r>
        <w:t>Deal Management</w:t>
      </w:r>
    </w:p>
    <w:p>
      <w:pPr>
        <w:pStyle w:val="ListBullet"/>
      </w:pPr>
      <w:r>
        <w:t>Pipeline Management: 8-stage BPF from lead generation to completion</w:t>
      </w:r>
    </w:p>
    <w:p>
      <w:pPr>
        <w:pStyle w:val="ListBullet"/>
      </w:pPr>
      <w:r>
        <w:t>BPF Lifecycle: Stage-specific activities, documents, and regulatory gates</w:t>
      </w:r>
    </w:p>
    <w:p>
      <w:pPr>
        <w:pStyle w:val="ListBullet"/>
      </w:pPr>
      <w:r>
        <w:t>Due Diligence: NDA, KYC, data room access, red flag tracking</w:t>
      </w:r>
    </w:p>
    <w:p>
      <w:pPr>
        <w:pStyle w:val="ListBullet"/>
      </w:pPr>
      <w:r>
        <w:t>Regulatory Gates: City pre-emption (France), right-of-refusal (Spain), notarial deed</w:t>
      </w:r>
    </w:p>
    <w:p>
      <w:pPr>
        <w:pStyle w:val="Heading3"/>
      </w:pPr>
      <w:r>
        <w:t>Financial Management</w:t>
      </w:r>
    </w:p>
    <w:p>
      <w:pPr>
        <w:pStyle w:val="ListBullet"/>
      </w:pPr>
      <w:r>
        <w:t>WIP Tracking: Work-in-progress with % complete tied to BPF stage</w:t>
      </w:r>
    </w:p>
    <w:p>
      <w:pPr>
        <w:pStyle w:val="ListBullet"/>
      </w:pPr>
      <w:r>
        <w:t>Fee Management: Fee schedules with agreed fees and billing triggers</w:t>
      </w:r>
    </w:p>
    <w:p>
      <w:pPr>
        <w:pStyle w:val="ListBullet"/>
      </w:pPr>
      <w:r>
        <w:t>Integration Bridge: 9 flows to D365 Finance (project creation, WIP sync, transaction reports)</w:t>
      </w:r>
    </w:p>
    <w:p>
      <w:pPr>
        <w:pStyle w:val="ListBullet"/>
      </w:pPr>
      <w:r>
        <w:t>Transaction Reports: Auto-generated reports for deal completion</w:t>
      </w:r>
    </w:p>
    <w:p>
      <w:pPr>
        <w:pStyle w:val="Heading3"/>
      </w:pPr>
      <w:r>
        <w:t>Compliance &amp; Governance</w:t>
      </w:r>
    </w:p>
    <w:p>
      <w:pPr>
        <w:pStyle w:val="ListBullet"/>
      </w:pPr>
      <w:r>
        <w:t>KYC/AML: Know Your Customer checks at legal entity level</w:t>
      </w:r>
    </w:p>
    <w:p>
      <w:pPr>
        <w:pStyle w:val="ListBullet"/>
      </w:pPr>
      <w:r>
        <w:t>GDPR Consent: Data processing consent tracking with audit trail</w:t>
      </w:r>
    </w:p>
    <w:p>
      <w:pPr>
        <w:pStyle w:val="ListBullet"/>
      </w:pPr>
      <w:r>
        <w:t>Audit Export: 7-year retention with exportable audit logs</w:t>
      </w:r>
    </w:p>
    <w:p>
      <w:pPr>
        <w:pStyle w:val="ListBullet"/>
      </w:pPr>
      <w:r>
        <w:t>Red Flag Tracking: Conflict checks and risk identification</w:t>
      </w:r>
    </w:p>
    <w:p>
      <w:pPr>
        <w:pStyle w:val="Heading3"/>
      </w:pPr>
      <w:r>
        <w:t>Integration &amp; Analytics</w:t>
      </w:r>
    </w:p>
    <w:p>
      <w:pPr>
        <w:pStyle w:val="ListBullet"/>
      </w:pPr>
      <w:r>
        <w:t>Outlook Integration: Email tracking and activity logging</w:t>
      </w:r>
    </w:p>
    <w:p>
      <w:pPr>
        <w:pStyle w:val="ListBullet"/>
      </w:pPr>
      <w:r>
        <w:t>SharePoint Integration: Deal folder auto-provisioning and document management</w:t>
      </w:r>
    </w:p>
    <w:p>
      <w:pPr>
        <w:pStyle w:val="ListBullet"/>
      </w:pPr>
      <w:r>
        <w:t>Marketing Handoff: CI-Journeys integration for campaign automation</w:t>
      </w:r>
    </w:p>
    <w:p>
      <w:pPr>
        <w:pStyle w:val="ListBullet"/>
      </w:pPr>
      <w:r>
        <w:t>Power BI Dashboards: Regional reporting and analytics</w:t>
      </w:r>
    </w:p>
    <w:p>
      <w:r>
        <w:br w:type="page"/>
      </w:r>
    </w:p>
    <w:p>
      <w:pPr>
        <w:pStyle w:val="Heading1"/>
      </w:pPr>
      <w:r>
        <w:t>KPIs and Success Metrics</w:t>
      </w:r>
    </w:p>
    <w:p>
      <w:pPr>
        <w:pStyle w:val="Heading2"/>
      </w:pPr>
      <w:r>
        <w:t>Data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t>Client data accuracy</w:t>
            </w:r>
          </w:p>
        </w:tc>
        <w:tc>
          <w:tcPr>
            <w:tcW w:type="dxa" w:w="2160"/>
          </w:tcPr>
          <w:p>
            <w:r>
              <w:t>98%</w:t>
            </w:r>
          </w:p>
        </w:tc>
        <w:tc>
          <w:tcPr>
            <w:tcW w:type="dxa" w:w="2160"/>
          </w:tcPr>
          <w:p>
            <w:r>
              <w:t>Data quality reports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</w:tr>
      <w:tr>
        <w:tc>
          <w:tcPr>
            <w:tcW w:type="dxa" w:w="2160"/>
          </w:tcPr>
          <w:p>
            <w:r>
              <w:t>Property data completeness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Completeness checks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</w:tr>
      <w:tr>
        <w:tc>
          <w:tcPr>
            <w:tcW w:type="dxa" w:w="2160"/>
          </w:tcPr>
          <w:p>
            <w:r>
              <w:t>Duplicate account rate</w:t>
            </w:r>
          </w:p>
        </w:tc>
        <w:tc>
          <w:tcPr>
            <w:tcW w:type="dxa" w:w="2160"/>
          </w:tcPr>
          <w:p>
            <w:r>
              <w:t>&lt;2%</w:t>
            </w:r>
          </w:p>
        </w:tc>
        <w:tc>
          <w:tcPr>
            <w:tcW w:type="dxa" w:w="2160"/>
          </w:tcPr>
          <w:p>
            <w:r>
              <w:t>Duplicate detection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  <w:tr>
        <w:tc>
          <w:tcPr>
            <w:tcW w:type="dxa" w:w="2160"/>
          </w:tcPr>
          <w:p>
            <w:r>
              <w:t>Industry classification accuracy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SIC code validation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</w:tbl>
    <w:p>
      <w:pPr>
        <w:pStyle w:val="Heading2"/>
      </w:pPr>
      <w:r>
        <w:t>User Adoption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t>Active users</w:t>
            </w:r>
          </w:p>
        </w:tc>
        <w:tc>
          <w:tcPr>
            <w:tcW w:type="dxa" w:w="2160"/>
          </w:tcPr>
          <w:p>
            <w:r>
              <w:t>80% of licensed users</w:t>
            </w:r>
          </w:p>
        </w:tc>
        <w:tc>
          <w:tcPr>
            <w:tcW w:type="dxa" w:w="2160"/>
          </w:tcPr>
          <w:p>
            <w:r>
              <w:t>System login/activity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</w:tr>
      <w:tr>
        <w:tc>
          <w:tcPr>
            <w:tcW w:type="dxa" w:w="2160"/>
          </w:tcPr>
          <w:p>
            <w:r>
              <w:t>Daily active users</w:t>
            </w:r>
          </w:p>
        </w:tc>
        <w:tc>
          <w:tcPr>
            <w:tcW w:type="dxa" w:w="2160"/>
          </w:tcPr>
          <w:p>
            <w:r>
              <w:t>70% of licensed users</w:t>
            </w:r>
          </w:p>
        </w:tc>
        <w:tc>
          <w:tcPr>
            <w:tcW w:type="dxa" w:w="2160"/>
          </w:tcPr>
          <w:p>
            <w:r>
              <w:t>System login/activity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</w:tr>
      <w:tr>
        <w:tc>
          <w:tcPr>
            <w:tcW w:type="dxa" w:w="2160"/>
          </w:tcPr>
          <w:p>
            <w:r>
              <w:t>User satisfaction score</w:t>
            </w:r>
          </w:p>
        </w:tc>
        <w:tc>
          <w:tcPr>
            <w:tcW w:type="dxa" w:w="2160"/>
          </w:tcPr>
          <w:p>
            <w:r>
              <w:t>4.0/5.0</w:t>
            </w:r>
          </w:p>
        </w:tc>
        <w:tc>
          <w:tcPr>
            <w:tcW w:type="dxa" w:w="2160"/>
          </w:tcPr>
          <w:p>
            <w:r>
              <w:t>Survey feedback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  <w:tr>
        <w:tc>
          <w:tcPr>
            <w:tcW w:type="dxa" w:w="2160"/>
          </w:tcPr>
          <w:p>
            <w:r>
              <w:t>Training completion rate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Training records</w:t>
            </w:r>
          </w:p>
        </w:tc>
        <w:tc>
          <w:tcPr>
            <w:tcW w:type="dxa" w:w="2160"/>
          </w:tcPr>
          <w:p>
            <w:r>
              <w:t>Per phase</w:t>
            </w:r>
          </w:p>
        </w:tc>
      </w:tr>
    </w:tbl>
    <w:p>
      <w:pPr>
        <w:pStyle w:val="Heading2"/>
      </w:pPr>
      <w:r>
        <w:t>Process Efficiency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t>Deal cycle time</w:t>
            </w:r>
          </w:p>
        </w:tc>
        <w:tc>
          <w:tcPr>
            <w:tcW w:type="dxa" w:w="2160"/>
          </w:tcPr>
          <w:p>
            <w:r>
              <w:t>20% reduction</w:t>
            </w:r>
          </w:p>
        </w:tc>
        <w:tc>
          <w:tcPr>
            <w:tcW w:type="dxa" w:w="2160"/>
          </w:tcPr>
          <w:p>
            <w:r>
              <w:t>BPF analytics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  <w:tr>
        <w:tc>
          <w:tcPr>
            <w:tcW w:type="dxa" w:w="2160"/>
          </w:tcPr>
          <w:p>
            <w:r>
              <w:t>Time to create deal record</w:t>
            </w:r>
          </w:p>
        </w:tc>
        <w:tc>
          <w:tcPr>
            <w:tcW w:type="dxa" w:w="2160"/>
          </w:tcPr>
          <w:p>
            <w:r>
              <w:t>&lt;5 minutes</w:t>
            </w:r>
          </w:p>
        </w:tc>
        <w:tc>
          <w:tcPr>
            <w:tcW w:type="dxa" w:w="2160"/>
          </w:tcPr>
          <w:p>
            <w:r>
              <w:t>Activity tracking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  <w:tr>
        <w:tc>
          <w:tcPr>
            <w:tcW w:type="dxa" w:w="2160"/>
          </w:tcPr>
          <w:p>
            <w:r>
              <w:t>Document retrieval time</w:t>
            </w:r>
          </w:p>
        </w:tc>
        <w:tc>
          <w:tcPr>
            <w:tcW w:type="dxa" w:w="2160"/>
          </w:tcPr>
          <w:p>
            <w:r>
              <w:t>&lt;30 seconds</w:t>
            </w:r>
          </w:p>
        </w:tc>
        <w:tc>
          <w:tcPr>
            <w:tcW w:type="dxa" w:w="2160"/>
          </w:tcPr>
          <w:p>
            <w:r>
              <w:t>SharePoint metrics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  <w:tr>
        <w:tc>
          <w:tcPr>
            <w:tcW w:type="dxa" w:w="2160"/>
          </w:tcPr>
          <w:p>
            <w:r>
              <w:t>Report generation time</w:t>
            </w:r>
          </w:p>
        </w:tc>
        <w:tc>
          <w:tcPr>
            <w:tcW w:type="dxa" w:w="2160"/>
          </w:tcPr>
          <w:p>
            <w:r>
              <w:t>&lt;2 minutes</w:t>
            </w:r>
          </w:p>
        </w:tc>
        <w:tc>
          <w:tcPr>
            <w:tcW w:type="dxa" w:w="2160"/>
          </w:tcPr>
          <w:p>
            <w:r>
              <w:t>Power BI metrics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</w:tbl>
    <w:p>
      <w:r>
        <w:br w:type="page"/>
      </w:r>
    </w:p>
    <w:p>
      <w:pPr>
        <w:pStyle w:val="Heading1"/>
      </w:pPr>
      <w:r>
        <w:t>Solution Scope</w:t>
      </w:r>
    </w:p>
    <w:p>
      <w:pPr>
        <w:pStyle w:val="Heading2"/>
      </w:pPr>
      <w:r>
        <w:t>In-Scope</w:t>
      </w:r>
    </w:p>
    <w:p>
      <w:pPr>
        <w:pStyle w:val="Heading3"/>
      </w:pPr>
      <w:r>
        <w:t>Platform</w:t>
      </w:r>
    </w:p>
    <w:p>
      <w:pPr>
        <w:pStyle w:val="ListBullet"/>
      </w:pPr>
      <w:r>
        <w:t>Dataverse (EU-hosted)</w:t>
      </w:r>
    </w:p>
    <w:p>
      <w:pPr>
        <w:pStyle w:val="ListBullet"/>
      </w:pPr>
      <w:r>
        <w:t>Power Apps Model-Driven Apps</w:t>
      </w:r>
    </w:p>
    <w:p>
      <w:pPr>
        <w:pStyle w:val="ListBullet"/>
      </w:pPr>
      <w:r>
        <w:t>Power Automate (Cloud Flows)</w:t>
      </w:r>
    </w:p>
    <w:p>
      <w:pPr>
        <w:pStyle w:val="ListBullet"/>
      </w:pPr>
      <w:r>
        <w:t>Power BI (Dashboards and Reports)</w:t>
      </w:r>
    </w:p>
    <w:p>
      <w:pPr>
        <w:pStyle w:val="ListBullet"/>
      </w:pPr>
      <w:r>
        <w:t>Copilot for Sales (Pilot)</w:t>
      </w:r>
    </w:p>
    <w:p>
      <w:pPr>
        <w:pStyle w:val="ListBullet"/>
      </w:pPr>
      <w:r>
        <w:t>Outlook Integration</w:t>
      </w:r>
    </w:p>
    <w:p>
      <w:pPr>
        <w:pStyle w:val="ListBullet"/>
      </w:pPr>
      <w:r>
        <w:t>SharePoint Integration</w:t>
      </w:r>
    </w:p>
    <w:p>
      <w:pPr>
        <w:pStyle w:val="Heading3"/>
      </w:pPr>
      <w:r>
        <w:t>Service Lines</w:t>
      </w:r>
    </w:p>
    <w:p>
      <w:pPr>
        <w:pStyle w:val="ListBullet"/>
      </w:pPr>
      <w:r>
        <w:t>Capital Markets (MVP)</w:t>
      </w:r>
    </w:p>
    <w:p>
      <w:pPr>
        <w:pStyle w:val="ListBullet"/>
      </w:pPr>
      <w:r>
        <w:t>Occupier Strategy &amp; Solutions (Future)</w:t>
      </w:r>
    </w:p>
    <w:p>
      <w:pPr>
        <w:pStyle w:val="ListBullet"/>
      </w:pPr>
      <w:r>
        <w:t>Valuations (Future)</w:t>
      </w:r>
    </w:p>
    <w:p>
      <w:pPr>
        <w:pStyle w:val="ListBullet"/>
      </w:pPr>
      <w:r>
        <w:t>Residential (Future)</w:t>
      </w:r>
    </w:p>
    <w:p>
      <w:pPr>
        <w:pStyle w:val="ListBullet"/>
      </w:pPr>
      <w:r>
        <w:t>Private Office (Future)</w:t>
      </w:r>
    </w:p>
    <w:p>
      <w:pPr>
        <w:pStyle w:val="Heading3"/>
      </w:pPr>
      <w:r>
        <w:t>Countries</w:t>
      </w:r>
    </w:p>
    <w:p>
      <w:pPr>
        <w:pStyle w:val="ListBullet"/>
      </w:pPr>
      <w:r>
        <w:t>France (MVP)</w:t>
      </w:r>
    </w:p>
    <w:p>
      <w:pPr>
        <w:pStyle w:val="ListBullet"/>
      </w:pPr>
      <w:r>
        <w:t>Germany (Phase 0 foundation)</w:t>
      </w:r>
    </w:p>
    <w:p>
      <w:pPr>
        <w:pStyle w:val="ListBullet"/>
      </w:pPr>
      <w:r>
        <w:t>Spain (Phase 0 foundation)</w:t>
      </w:r>
    </w:p>
    <w:p>
      <w:pPr>
        <w:pStyle w:val="ListBullet"/>
      </w:pPr>
      <w:r>
        <w:t>Poland (Phase 0 foundation)</w:t>
      </w:r>
    </w:p>
    <w:p>
      <w:pPr>
        <w:pStyle w:val="Heading3"/>
      </w:pPr>
      <w:r>
        <w:t>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t>Phase 0</w:t>
            </w:r>
          </w:p>
        </w:tc>
        <w:tc>
          <w:tcPr>
            <w:tcW w:type="dxa" w:w="2880"/>
          </w:tcPr>
          <w:p>
            <w:r>
              <w:t>CRM Lite</w:t>
            </w:r>
          </w:p>
        </w:tc>
      </w:tr>
      <w:tr>
        <w:tc>
          <w:tcPr>
            <w:tcW w:type="dxa" w:w="2880"/>
          </w:tcPr>
          <w:p>
            <w:r>
              <w:t>Contact</w:t>
            </w:r>
          </w:p>
        </w:tc>
        <w:tc>
          <w:tcPr>
            <w:tcW w:type="dxa" w:w="2880"/>
          </w:tcPr>
          <w:p>
            <w:r>
              <w:t>Phase 0</w:t>
            </w:r>
          </w:p>
        </w:tc>
        <w:tc>
          <w:tcPr>
            <w:tcW w:type="dxa" w:w="2880"/>
          </w:tcPr>
          <w:p>
            <w:r>
              <w:t>CRM Lite</w:t>
            </w:r>
          </w:p>
        </w:tc>
      </w:tr>
      <w:tr>
        <w:tc>
          <w:tcPr>
            <w:tcW w:type="dxa" w:w="2880"/>
          </w:tcPr>
          <w:p>
            <w:r>
              <w:t>kf_Property</w:t>
            </w:r>
          </w:p>
        </w:tc>
        <w:tc>
          <w:tcPr>
            <w:tcW w:type="dxa" w:w="2880"/>
          </w:tcPr>
          <w:p>
            <w:r>
              <w:t>Phase 0</w:t>
            </w:r>
          </w:p>
        </w:tc>
        <w:tc>
          <w:tcPr>
            <w:tcW w:type="dxa" w:w="2880"/>
          </w:tcPr>
          <w:p>
            <w:r>
              <w:t>CRM Lite</w:t>
            </w:r>
          </w:p>
        </w:tc>
      </w:tr>
      <w:tr>
        <w:tc>
          <w:tcPr>
            <w:tcW w:type="dxa" w:w="2880"/>
          </w:tcPr>
          <w:p>
            <w:r>
              <w:t>kf_EnergyRating</w:t>
            </w:r>
          </w:p>
        </w:tc>
        <w:tc>
          <w:tcPr>
            <w:tcW w:type="dxa" w:w="2880"/>
          </w:tcPr>
          <w:p>
            <w:r>
              <w:t>Phase 0</w:t>
            </w:r>
          </w:p>
        </w:tc>
        <w:tc>
          <w:tcPr>
            <w:tcW w:type="dxa" w:w="2880"/>
          </w:tcPr>
          <w:p>
            <w:r>
              <w:t>Compliance</w:t>
            </w:r>
          </w:p>
        </w:tc>
      </w:tr>
      <w:tr>
        <w:tc>
          <w:tcPr>
            <w:tcW w:type="dxa" w:w="2880"/>
          </w:tcPr>
          <w:p>
            <w:r>
              <w:t>kf_GDPRRequest</w:t>
            </w:r>
          </w:p>
        </w:tc>
        <w:tc>
          <w:tcPr>
            <w:tcW w:type="dxa" w:w="2880"/>
          </w:tcPr>
          <w:p>
            <w:r>
              <w:t>Phase 0</w:t>
            </w:r>
          </w:p>
        </w:tc>
        <w:tc>
          <w:tcPr>
            <w:tcW w:type="dxa" w:w="2880"/>
          </w:tcPr>
          <w:p>
            <w:r>
              <w:t>Compliance</w:t>
            </w:r>
          </w:p>
        </w:tc>
      </w:tr>
      <w:tr>
        <w:tc>
          <w:tcPr>
            <w:tcW w:type="dxa" w:w="2880"/>
          </w:tcPr>
          <w:p>
            <w:r>
              <w:t>kf_AuditExport</w:t>
            </w:r>
          </w:p>
        </w:tc>
        <w:tc>
          <w:tcPr>
            <w:tcW w:type="dxa" w:w="2880"/>
          </w:tcPr>
          <w:p>
            <w:r>
              <w:t>Phase 0</w:t>
            </w:r>
          </w:p>
        </w:tc>
        <w:tc>
          <w:tcPr>
            <w:tcW w:type="dxa" w:w="2880"/>
          </w:tcPr>
          <w:p>
            <w:r>
              <w:t>Compliance</w:t>
            </w:r>
          </w:p>
        </w:tc>
      </w:tr>
      <w:tr>
        <w:tc>
          <w:tcPr>
            <w:tcW w:type="dxa" w:w="2880"/>
          </w:tcPr>
          <w:p>
            <w:r>
              <w:t>kf_SICCode</w:t>
            </w:r>
          </w:p>
        </w:tc>
        <w:tc>
          <w:tcPr>
            <w:tcW w:type="dxa" w:w="2880"/>
          </w:tcPr>
          <w:p>
            <w:r>
              <w:t>Phase 0</w:t>
            </w:r>
          </w:p>
        </w:tc>
        <w:tc>
          <w:tcPr>
            <w:tcW w:type="dxa" w:w="2880"/>
          </w:tcPr>
          <w:p>
            <w:r>
              <w:t>Supporting</w:t>
            </w:r>
          </w:p>
        </w:tc>
      </w:tr>
      <w:tr>
        <w:tc>
          <w:tcPr>
            <w:tcW w:type="dxa" w:w="2880"/>
          </w:tcPr>
          <w:p>
            <w:r>
              <w:t>kf_Deal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CM Deep Build</w:t>
            </w:r>
          </w:p>
        </w:tc>
      </w:tr>
      <w:tr>
        <w:tc>
          <w:tcPr>
            <w:tcW w:type="dxa" w:w="2880"/>
          </w:tcPr>
          <w:p>
            <w:r>
              <w:t>kf_DealProperty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Core Shared</w:t>
            </w:r>
          </w:p>
        </w:tc>
      </w:tr>
      <w:tr>
        <w:tc>
          <w:tcPr>
            <w:tcW w:type="dxa" w:w="2880"/>
          </w:tcPr>
          <w:p>
            <w:r>
              <w:t>kf_Pitch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CM Deep Build</w:t>
            </w:r>
          </w:p>
        </w:tc>
      </w:tr>
      <w:tr>
        <w:tc>
          <w:tcPr>
            <w:tcW w:type="dxa" w:w="2880"/>
          </w:tcPr>
          <w:p>
            <w:r>
              <w:t>kf_NDA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CM Deep Build</w:t>
            </w:r>
          </w:p>
        </w:tc>
      </w:tr>
      <w:tr>
        <w:tc>
          <w:tcPr>
            <w:tcW w:type="dxa" w:w="2880"/>
          </w:tcPr>
          <w:p>
            <w:r>
              <w:t>kf_Bid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CM Deep Build</w:t>
            </w:r>
          </w:p>
        </w:tc>
      </w:tr>
      <w:tr>
        <w:tc>
          <w:tcPr>
            <w:tcW w:type="dxa" w:w="2880"/>
          </w:tcPr>
          <w:p>
            <w:r>
              <w:t>kf_DDMilestone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CM Deep Build</w:t>
            </w:r>
          </w:p>
        </w:tc>
      </w:tr>
      <w:tr>
        <w:tc>
          <w:tcPr>
            <w:tcW w:type="dxa" w:w="2880"/>
          </w:tcPr>
          <w:p>
            <w:r>
              <w:t>kf_RedFlag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CM Deep Build</w:t>
            </w:r>
          </w:p>
        </w:tc>
      </w:tr>
      <w:tr>
        <w:tc>
          <w:tcPr>
            <w:tcW w:type="dxa" w:w="2880"/>
          </w:tcPr>
          <w:p>
            <w:r>
              <w:t>kf_FeeSchedule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CM Deep Build</w:t>
            </w:r>
          </w:p>
        </w:tc>
      </w:tr>
      <w:tr>
        <w:tc>
          <w:tcPr>
            <w:tcW w:type="dxa" w:w="2880"/>
          </w:tcPr>
          <w:p>
            <w:r>
              <w:t>kf_KYCRecord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CM Deep Build</w:t>
            </w:r>
          </w:p>
        </w:tc>
      </w:tr>
      <w:tr>
        <w:tc>
          <w:tcPr>
            <w:tcW w:type="dxa" w:w="2880"/>
          </w:tcPr>
          <w:p>
            <w:r>
              <w:t>kf_InvestorProfile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CM Deep Build</w:t>
            </w:r>
          </w:p>
        </w:tc>
      </w:tr>
      <w:tr>
        <w:tc>
          <w:tcPr>
            <w:tcW w:type="dxa" w:w="2880"/>
          </w:tcPr>
          <w:p>
            <w:r>
              <w:t>kf_DataRoomAccess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CM Deep Build</w:t>
            </w:r>
          </w:p>
        </w:tc>
      </w:tr>
      <w:tr>
        <w:tc>
          <w:tcPr>
            <w:tcW w:type="dxa" w:w="2880"/>
          </w:tcPr>
          <w:p>
            <w:r>
              <w:t>kf_TransactionReport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CM Deep Build</w:t>
            </w:r>
          </w:p>
        </w:tc>
      </w:tr>
      <w:tr>
        <w:tc>
          <w:tcPr>
            <w:tcW w:type="dxa" w:w="2880"/>
          </w:tcPr>
          <w:p>
            <w:r>
              <w:t>kf_StageGateRule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Supporting</w:t>
            </w:r>
          </w:p>
        </w:tc>
      </w:tr>
      <w:tr>
        <w:tc>
          <w:tcPr>
            <w:tcW w:type="dxa" w:w="2880"/>
          </w:tcPr>
          <w:p>
            <w:r>
              <w:t>kf_IntegrationLog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Supporting</w:t>
            </w:r>
          </w:p>
        </w:tc>
      </w:tr>
      <w:tr>
        <w:tc>
          <w:tcPr>
            <w:tcW w:type="dxa" w:w="2880"/>
          </w:tcPr>
          <w:p>
            <w:r>
              <w:t>Lead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Marketing</w:t>
            </w:r>
          </w:p>
        </w:tc>
      </w:tr>
    </w:tbl>
    <w:p>
      <w:pPr>
        <w:pStyle w:val="Heading2"/>
      </w:pPr>
      <w:r>
        <w:t>Out-of-Scope</w:t>
      </w:r>
    </w:p>
    <w:p>
      <w:pPr>
        <w:pStyle w:val="Heading3"/>
      </w:pPr>
      <w:r>
        <w:t>Service Lines</w:t>
      </w:r>
    </w:p>
    <w:p>
      <w:pPr>
        <w:pStyle w:val="ListBullet"/>
      </w:pPr>
      <w:r>
        <w:t>Occupier Strategy &amp; Solutions (Phase 3)</w:t>
      </w:r>
    </w:p>
    <w:p>
      <w:pPr>
        <w:pStyle w:val="ListBullet"/>
      </w:pPr>
      <w:r>
        <w:t>Valuations (Phase 3)</w:t>
      </w:r>
    </w:p>
    <w:p>
      <w:pPr>
        <w:pStyle w:val="ListBullet"/>
      </w:pPr>
      <w:r>
        <w:t>Residential (Phase 4)</w:t>
      </w:r>
    </w:p>
    <w:p>
      <w:pPr>
        <w:pStyle w:val="ListBullet"/>
      </w:pPr>
      <w:r>
        <w:t>Private Office (Phase 4)</w:t>
      </w:r>
    </w:p>
    <w:p>
      <w:pPr>
        <w:pStyle w:val="Heading3"/>
      </w:pPr>
      <w:r>
        <w:t>Regions</w:t>
      </w:r>
    </w:p>
    <w:p>
      <w:pPr>
        <w:pStyle w:val="ListBullet"/>
      </w:pPr>
      <w:r>
        <w:t>APAC (Phase 5)</w:t>
      </w:r>
    </w:p>
    <w:p>
      <w:pPr>
        <w:pStyle w:val="ListBullet"/>
      </w:pPr>
      <w:r>
        <w:t>Americas (Phase 5)</w:t>
      </w:r>
    </w:p>
    <w:p>
      <w:pPr>
        <w:pStyle w:val="ListBullet"/>
      </w:pPr>
      <w:r>
        <w:t>Middle East (Phase 5)</w:t>
      </w:r>
    </w:p>
    <w:p>
      <w:pPr>
        <w:pStyle w:val="Heading3"/>
      </w:pPr>
      <w:r>
        <w:t>Features</w:t>
      </w:r>
    </w:p>
    <w:p>
      <w:pPr>
        <w:pStyle w:val="ListBullet"/>
      </w:pPr>
      <w:r>
        <w:t>Marketing automation (CI-Journeys integration only)</w:t>
      </w:r>
    </w:p>
    <w:p>
      <w:pPr>
        <w:pStyle w:val="ListBullet"/>
      </w:pPr>
      <w:r>
        <w:t>Legacy system decommissioning</w:t>
      </w:r>
    </w:p>
    <w:p>
      <w:pPr>
        <w:pStyle w:val="ListBullet"/>
      </w:pPr>
      <w:r>
        <w:t>Custom development beyond platform capabilities</w:t>
      </w:r>
    </w:p>
    <w:p>
      <w:pPr>
        <w:pStyle w:val="ListBullet"/>
      </w:pPr>
      <w:r>
        <w:t>Third-party system replacements</w:t>
      </w:r>
    </w:p>
    <w:p>
      <w:pPr>
        <w:pStyle w:val="ListBullet"/>
      </w:pPr>
      <w:r>
        <w:t>Mobile app development (Phase 2 consideration)</w:t>
      </w:r>
    </w:p>
    <w:p>
      <w:pPr>
        <w:pStyle w:val="ListBullet"/>
      </w:pPr>
      <w:r>
        <w:t>Advanced AI/ML beyond Copilot for Sales</w:t>
      </w:r>
    </w:p>
    <w:p>
      <w:r>
        <w:br w:type="page"/>
      </w:r>
    </w:p>
    <w:p>
      <w:pPr>
        <w:pStyle w:val="Heading1"/>
      </w:pPr>
      <w:r>
        <w:t>Solution Architecture</w:t>
      </w:r>
    </w:p>
    <w:p>
      <w:pPr>
        <w:pStyle w:val="Heading2"/>
      </w:pPr>
      <w:r>
        <w:t>Overview Diagrams</w:t>
      </w:r>
    </w:p>
    <w:p>
      <w:r>
        <w:rPr>
          <w:b w:val="0"/>
          <w:i w:val="0"/>
        </w:rPr>
        <w:t>See [[wiki/architecture-overview-diagrams]] for PlantUML diagrams.</w:t>
      </w:r>
    </w:p>
    <w:p>
      <w:r>
        <w:rPr>
          <w:b/>
          <w:i w:val="0"/>
        </w:rPr>
        <w:t>Architecture diagrams include:</w:t>
      </w:r>
    </w:p>
    <w:p>
      <w:pPr>
        <w:pStyle w:val="ListBullet"/>
      </w:pPr>
      <w:r>
        <w:t>Solution Architecture — Full component view showing layers, data domains, and integrations</w:t>
      </w:r>
    </w:p>
    <w:p>
      <w:pPr>
        <w:pStyle w:val="ListBullet"/>
      </w:pPr>
      <w:r>
        <w:t>Layered Solution Model — L0-L7 layer hierarchy and extension rules</w:t>
      </w:r>
    </w:p>
    <w:p>
      <w:pPr>
        <w:pStyle w:val="ListBullet"/>
      </w:pPr>
      <w:r>
        <w:t>Data Flow &amp; Integrations — How data flows through the system and external integrations</w:t>
      </w:r>
    </w:p>
    <w:p>
      <w:pPr>
        <w:pStyle w:val="Heading2"/>
      </w:pPr>
      <w:r>
        <w:t>Key Components</w:t>
      </w:r>
    </w:p>
    <w:p>
      <w:r>
        <w:rPr>
          <w:b/>
          <w:i w:val="0"/>
        </w:rPr>
        <w:t>Platform Decision: Power Apps model-driven apps on Dataverse</w:t>
      </w:r>
    </w:p>
    <w:p>
      <w:pPr>
        <w:pStyle w:val="Heading3"/>
      </w:pPr>
      <w:r>
        <w:t>Layered Architecture</w:t>
      </w:r>
    </w:p>
    <w:p>
      <w:r>
        <w:rPr>
          <w:b w:val="0"/>
          <w:i w:val="0"/>
        </w:rPr>
        <w:t>See [[wiki/solution-package-model]] for L0-L7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L0</w:t>
            </w:r>
          </w:p>
        </w:tc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Dataverse foundation</w:t>
            </w:r>
          </w:p>
        </w:tc>
      </w:tr>
      <w:tr>
        <w:tc>
          <w:tcPr>
            <w:tcW w:type="dxa" w:w="2880"/>
          </w:tcPr>
          <w:p>
            <w:r>
              <w:t>L1</w:t>
            </w:r>
          </w:p>
        </w:tc>
        <w:tc>
          <w:tcPr>
            <w:tcW w:type="dxa" w:w="2880"/>
          </w:tcPr>
          <w:p>
            <w:r>
              <w:t>KF_Core</w:t>
            </w:r>
          </w:p>
        </w:tc>
        <w:tc>
          <w:tcPr>
            <w:tcW w:type="dxa" w:w="2880"/>
          </w:tcPr>
          <w:p>
            <w:r>
              <w:t>40+ table shells, option sets</w:t>
            </w:r>
          </w:p>
        </w:tc>
      </w:tr>
      <w:tr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KF_Europe</w:t>
            </w:r>
          </w:p>
        </w:tc>
        <w:tc>
          <w:tcPr>
            <w:tcW w:type="dxa" w:w="2880"/>
          </w:tcPr>
          <w:p>
            <w:r>
              <w:t>EUR defaults, GDPR baseline</w:t>
            </w:r>
          </w:p>
        </w:tc>
      </w:tr>
      <w:tr>
        <w:tc>
          <w:tcPr>
            <w:tcW w:type="dxa" w:w="2880"/>
          </w:tcPr>
          <w:p>
            <w:r>
              <w:t>L3</w:t>
            </w:r>
          </w:p>
        </w:tc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KF_France, KF_Germany, KF_Poland, KF_Spain</w:t>
            </w:r>
          </w:p>
        </w:tc>
      </w:tr>
      <w:tr>
        <w:tc>
          <w:tcPr>
            <w:tcW w:type="dxa" w:w="2880"/>
          </w:tcPr>
          <w:p>
            <w:r>
              <w:t>L4</w:t>
            </w:r>
          </w:p>
        </w:tc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KF_CapitalMarkets_Core</w:t>
            </w:r>
          </w:p>
        </w:tc>
      </w:tr>
      <w:tr>
        <w:tc>
          <w:tcPr>
            <w:tcW w:type="dxa" w:w="2880"/>
          </w:tcPr>
          <w:p>
            <w:r>
              <w:t>L5</w:t>
            </w:r>
          </w:p>
        </w:tc>
        <w:tc>
          <w:tcPr>
            <w:tcW w:type="dxa" w:w="2880"/>
          </w:tcPr>
          <w:p>
            <w:r>
              <w:t>Service Line</w:t>
            </w:r>
          </w:p>
        </w:tc>
        <w:tc>
          <w:tcPr>
            <w:tcW w:type="dxa" w:w="2880"/>
          </w:tcPr>
          <w:p>
            <w:r>
              <w:t>KF_CM_France, KF_CM_Spain</w:t>
            </w:r>
          </w:p>
        </w:tc>
      </w:tr>
      <w:tr>
        <w:tc>
          <w:tcPr>
            <w:tcW w:type="dxa" w:w="2880"/>
          </w:tcPr>
          <w:p>
            <w:r>
              <w:t>L6</w:t>
            </w:r>
          </w:p>
        </w:tc>
        <w:tc>
          <w:tcPr>
            <w:tcW w:type="dxa" w:w="2880"/>
          </w:tcPr>
          <w:p>
            <w:r>
              <w:t>Cross-Border</w:t>
            </w:r>
          </w:p>
        </w:tc>
        <w:tc>
          <w:tcPr>
            <w:tcW w:type="dxa" w:w="2880"/>
          </w:tcPr>
          <w:p>
            <w:r>
              <w:t>KF_EIT</w:t>
            </w:r>
          </w:p>
        </w:tc>
      </w:tr>
    </w:tbl>
    <w:p>
      <w:pPr>
        <w:pStyle w:val="Heading3"/>
      </w:pPr>
      <w:r>
        <w:t>Data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Entities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Account, Contact, InvestorProfile</w:t>
            </w:r>
          </w:p>
        </w:tc>
        <w:tc>
          <w:tcPr>
            <w:tcW w:type="dxa" w:w="2880"/>
          </w:tcPr>
          <w:p>
            <w:r>
              <w:t>Single view across service lines/countries</w:t>
            </w:r>
          </w:p>
        </w:tc>
      </w:tr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kf_Site, kf_Property, kf_ResProperty</w:t>
            </w:r>
          </w:p>
        </w:tc>
        <w:tc>
          <w:tcPr>
            <w:tcW w:type="dxa" w:w="2880"/>
          </w:tcPr>
          <w:p>
            <w:r>
              <w:t>Canonical physical asset with commercial/residential split</w:t>
            </w:r>
          </w:p>
        </w:tc>
      </w:tr>
      <w:tr>
        <w:tc>
          <w:tcPr>
            <w:tcW w:type="dxa" w:w="2880"/>
          </w:tcPr>
          <w:p>
            <w:r>
              <w:t>Deal</w:t>
            </w:r>
          </w:p>
        </w:tc>
        <w:tc>
          <w:tcPr>
            <w:tcW w:type="dxa" w:w="2880"/>
          </w:tcPr>
          <w:p>
            <w:r>
              <w:t>kf_Deal, kf_Pitch, kf_NDA, kf_Bid</w:t>
            </w:r>
          </w:p>
        </w:tc>
        <w:tc>
          <w:tcPr>
            <w:tcW w:type="dxa" w:w="2880"/>
          </w:tcPr>
          <w:p>
            <w:r>
              <w:t>12 entities for 8-stage lifecycle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kf_KYCRecord, kf_NDA, kf_GDPRRequest</w:t>
            </w:r>
          </w:p>
        </w:tc>
        <w:tc>
          <w:tcPr>
            <w:tcW w:type="dxa" w:w="2880"/>
          </w:tcPr>
          <w:p>
            <w:r>
              <w:t>KYC at legal entity level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kf_FeeSchedule, kf_WIP, kf_TransactionReport</w:t>
            </w:r>
          </w:p>
        </w:tc>
        <w:tc>
          <w:tcPr>
            <w:tcW w:type="dxa" w:w="2880"/>
          </w:tcPr>
          <w:p>
            <w:r>
              <w:t>CRM deal → Finance project</w:t>
            </w:r>
          </w:p>
        </w:tc>
      </w:tr>
    </w:tbl>
    <w:p>
      <w:pPr>
        <w:pStyle w:val="Heading2"/>
      </w:pPr>
      <w:r>
        <w:t>Business Architecture</w:t>
      </w:r>
    </w:p>
    <w:p>
      <w:r>
        <w:rPr>
          <w:b w:val="0"/>
          <w:i w:val="0"/>
        </w:rPr>
        <w:t>Business process models and capability mapping.</w:t>
      </w:r>
    </w:p>
    <w:p>
      <w:r>
        <w:rPr>
          <w:b w:val="0"/>
          <w:i w:val="0"/>
        </w:rPr>
        <w:t>See [[wiki/architecture-business]] for detailed process flows.</w:t>
      </w:r>
    </w:p>
    <w:p>
      <w:pPr>
        <w:pStyle w:val="Heading2"/>
      </w:pPr>
      <w:r>
        <w:t>Application Architecture</w:t>
      </w:r>
    </w:p>
    <w:p>
      <w:r>
        <w:rPr>
          <w:b w:val="0"/>
          <w:i w:val="0"/>
        </w:rPr>
        <w:t>Application component design and integration patterns.</w:t>
      </w:r>
    </w:p>
    <w:p>
      <w:r>
        <w:rPr>
          <w:b w:val="0"/>
          <w:i w:val="0"/>
        </w:rPr>
        <w:t>See [[wiki/architecture-application]] for detailed component design.</w:t>
      </w:r>
    </w:p>
    <w:p>
      <w:pPr>
        <w:pStyle w:val="Heading2"/>
      </w:pPr>
      <w:r>
        <w:t>Data Architecture</w:t>
      </w:r>
    </w:p>
    <w:p>
      <w:r>
        <w:rPr>
          <w:b/>
          <w:i w:val="0"/>
        </w:rPr>
        <w:t>Core Data Domains:</w:t>
      </w:r>
    </w:p>
    <w:p>
      <w:pPr>
        <w:pStyle w:val="ListBullet"/>
      </w:pPr>
      <w:r>
        <w:t>[[wiki/client-data-model]] — One client, one view</w:t>
      </w:r>
    </w:p>
    <w:p>
      <w:pPr>
        <w:pStyle w:val="ListBullet"/>
      </w:pPr>
      <w:r>
        <w:t>[[wiki/property-data-model]] — Site, Property, Deal</w:t>
      </w:r>
    </w:p>
    <w:p>
      <w:pPr>
        <w:pStyle w:val="ListBullet"/>
      </w:pPr>
      <w:r>
        <w:t>[[wiki/capital-markets-data-model]] — 12 entities for deal lifecycle</w:t>
      </w:r>
    </w:p>
    <w:p>
      <w:pPr>
        <w:pStyle w:val="ListBullet"/>
      </w:pPr>
      <w:r>
        <w:t>[[wiki/wip-data-model]] — Work in progress and revenue tracking</w:t>
      </w:r>
    </w:p>
    <w:p>
      <w:r>
        <w:rPr>
          <w:b/>
          <w:i w:val="0"/>
        </w:rPr>
        <w:t>Taxonomy Standards:</w:t>
      </w:r>
    </w:p>
    <w:p>
      <w:pPr>
        <w:pStyle w:val="ListBullet"/>
      </w:pPr>
      <w:r>
        <w:t>SIC to KF Client Sector mapping (66 sectors)</w:t>
      </w:r>
    </w:p>
    <w:p>
      <w:pPr>
        <w:pStyle w:val="ListBullet"/>
      </w:pPr>
      <w:r>
        <w:t>HILUCS to KF Asset Class mapping</w:t>
      </w:r>
    </w:p>
    <w:p>
      <w:pPr>
        <w:pStyle w:val="Heading2"/>
      </w:pPr>
      <w:r>
        <w:t>Technology Architecture</w:t>
      </w:r>
    </w:p>
    <w:p>
      <w:r>
        <w:rPr>
          <w:b w:val="0"/>
          <w:i w:val="0"/>
        </w:rPr>
        <w:t>Infrastructure, hosting, and technology stack decisions.</w:t>
      </w:r>
    </w:p>
    <w:p>
      <w:r>
        <w:rPr>
          <w:b w:val="0"/>
          <w:i w:val="0"/>
        </w:rPr>
        <w:t>See [[wiki/architecture-technology]] for detailed technology stack.</w:t>
      </w:r>
    </w:p>
    <w:p>
      <w:r>
        <w:br w:type="page"/>
      </w:r>
    </w:p>
    <w:p>
      <w:pPr>
        <w:pStyle w:val="Heading1"/>
      </w:pPr>
      <w:r>
        <w:t>Alignment with Enterprise Architecture</w:t>
      </w:r>
    </w:p>
    <w:p>
      <w:pPr>
        <w:pStyle w:val="Heading2"/>
      </w:pPr>
      <w:r>
        <w:t>Principles Compliance</w:t>
      </w:r>
    </w:p>
    <w:p>
      <w:r>
        <w:rPr>
          <w:b w:val="0"/>
          <w:i w:val="0"/>
        </w:rPr>
        <w:t>The CTO Architecture Principles document is referenced as a dependency.</w:t>
      </w:r>
    </w:p>
    <w:p>
      <w:r>
        <w:rPr>
          <w:b w:val="0"/>
          <w:i w:val="0"/>
        </w:rPr>
        <w:t>See [[wiki/architecture-principles-compliance]] for mapping of solution design to enterprise standards.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Compliance 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Cloud-first</w:t>
            </w:r>
          </w:p>
        </w:tc>
        <w:tc>
          <w:tcPr>
            <w:tcW w:type="dxa" w:w="2880"/>
          </w:tcPr>
          <w:p>
            <w:r>
              <w:t>✅ Compliant</w:t>
            </w:r>
          </w:p>
        </w:tc>
        <w:tc>
          <w:tcPr>
            <w:tcW w:type="dxa" w:w="2880"/>
          </w:tcPr>
          <w:p>
            <w:r>
              <w:t>Dataverse (EU-hosted), Power Platform</w:t>
            </w:r>
          </w:p>
        </w:tc>
      </w:tr>
      <w:tr>
        <w:tc>
          <w:tcPr>
            <w:tcW w:type="dxa" w:w="2880"/>
          </w:tcPr>
          <w:p>
            <w:r>
              <w:t>Security by design</w:t>
            </w:r>
          </w:p>
        </w:tc>
        <w:tc>
          <w:tcPr>
            <w:tcW w:type="dxa" w:w="2880"/>
          </w:tcPr>
          <w:p>
            <w:r>
              <w:t>✅ Compliant</w:t>
            </w:r>
          </w:p>
        </w:tc>
        <w:tc>
          <w:tcPr>
            <w:tcW w:type="dxa" w:w="2880"/>
          </w:tcPr>
          <w:p>
            <w:r>
              <w:t>Entra ID, MFA, encryption, audit trails</w:t>
            </w:r>
          </w:p>
        </w:tc>
      </w:tr>
      <w:tr>
        <w:tc>
          <w:tcPr>
            <w:tcW w:type="dxa" w:w="2880"/>
          </w:tcPr>
          <w:p>
            <w:r>
              <w:t>Data residency</w:t>
            </w:r>
          </w:p>
        </w:tc>
        <w:tc>
          <w:tcPr>
            <w:tcW w:type="dxa" w:w="2880"/>
          </w:tcPr>
          <w:p>
            <w:r>
              <w:t>✅ Compliant</w:t>
            </w:r>
          </w:p>
        </w:tc>
        <w:tc>
          <w:tcPr>
            <w:tcW w:type="dxa" w:w="2880"/>
          </w:tcPr>
          <w:p>
            <w:r>
              <w:t>EU-hosted Dataverse, regional BUs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✅ Compliant</w:t>
            </w:r>
          </w:p>
        </w:tc>
        <w:tc>
          <w:tcPr>
            <w:tcW w:type="dxa" w:w="2880"/>
          </w:tcPr>
          <w:p>
            <w:r>
              <w:t>Power Platform autoscaling, Dataverse</w:t>
            </w:r>
          </w:p>
        </w:tc>
      </w:tr>
      <w:tr>
        <w:tc>
          <w:tcPr>
            <w:tcW w:type="dxa" w:w="2880"/>
          </w:tcPr>
          <w:p>
            <w:r>
              <w:t>Integration-first</w:t>
            </w:r>
          </w:p>
        </w:tc>
        <w:tc>
          <w:tcPr>
            <w:tcW w:type="dxa" w:w="2880"/>
          </w:tcPr>
          <w:p>
            <w:r>
              <w:t>✅ Compliant</w:t>
            </w:r>
          </w:p>
        </w:tc>
        <w:tc>
          <w:tcPr>
            <w:tcW w:type="dxa" w:w="2880"/>
          </w:tcPr>
          <w:p>
            <w:r>
              <w:t>9 Finance flows, Outlook, SharePoint, CI-Journeys</w:t>
            </w:r>
          </w:p>
        </w:tc>
      </w:tr>
      <w:tr>
        <w:tc>
          <w:tcPr>
            <w:tcW w:type="dxa" w:w="2880"/>
          </w:tcPr>
          <w:p>
            <w:r>
              <w:t>Modularity</w:t>
            </w:r>
          </w:p>
        </w:tc>
        <w:tc>
          <w:tcPr>
            <w:tcW w:type="dxa" w:w="2880"/>
          </w:tcPr>
          <w:p>
            <w:r>
              <w:t>✅ Compliant</w:t>
            </w:r>
          </w:p>
        </w:tc>
        <w:tc>
          <w:tcPr>
            <w:tcW w:type="dxa" w:w="2880"/>
          </w:tcPr>
          <w:p>
            <w:r>
              <w:t>L0-L7 layer model, managed solutions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✅ Compliant</w:t>
            </w:r>
          </w:p>
        </w:tc>
        <w:tc>
          <w:tcPr>
            <w:tcW w:type="dxa" w:w="2880"/>
          </w:tcPr>
          <w:p>
            <w:r>
              <w:t>KYC, GDPR, audit trails, regulatory gates</w:t>
            </w:r>
          </w:p>
        </w:tc>
      </w:tr>
      <w:tr>
        <w:tc>
          <w:tcPr>
            <w:tcW w:type="dxa" w:w="2880"/>
          </w:tcPr>
          <w:p>
            <w:r>
              <w:t>User experience</w:t>
            </w:r>
          </w:p>
        </w:tc>
        <w:tc>
          <w:tcPr>
            <w:tcW w:type="dxa" w:w="2880"/>
          </w:tcPr>
          <w:p>
            <w:r>
              <w:t>✅ Compliant</w:t>
            </w:r>
          </w:p>
        </w:tc>
        <w:tc>
          <w:tcPr>
            <w:tcW w:type="dxa" w:w="2880"/>
          </w:tcPr>
          <w:p>
            <w:r>
              <w:t>Model-driven apps, Copilot for Sales</w:t>
            </w:r>
          </w:p>
        </w:tc>
      </w:tr>
      <w:tr>
        <w:tc>
          <w:tcPr>
            <w:tcW w:type="dxa" w:w="2880"/>
          </w:tcPr>
          <w:p>
            <w:r>
              <w:t>Cost optimisation</w:t>
            </w:r>
          </w:p>
        </w:tc>
        <w:tc>
          <w:tcPr>
            <w:tcW w:type="dxa" w:w="2880"/>
          </w:tcPr>
          <w:p>
            <w:r>
              <w:t>✅ Compliant</w:t>
            </w:r>
          </w:p>
        </w:tc>
        <w:tc>
          <w:tcPr>
            <w:tcW w:type="dxa" w:w="2880"/>
          </w:tcPr>
          <w:p>
            <w:r>
              <w:t>Power Platform licensing, phased rollout</w:t>
            </w:r>
          </w:p>
        </w:tc>
      </w:tr>
      <w:tr>
        <w:tc>
          <w:tcPr>
            <w:tcW w:type="dxa" w:w="2880"/>
          </w:tcPr>
          <w:p>
            <w:r>
              <w:t>Future-proofing</w:t>
            </w:r>
          </w:p>
        </w:tc>
        <w:tc>
          <w:tcPr>
            <w:tcW w:type="dxa" w:w="2880"/>
          </w:tcPr>
          <w:p>
            <w:r>
              <w:t>✅ Compliant</w:t>
            </w:r>
          </w:p>
        </w:tc>
        <w:tc>
          <w:tcPr>
            <w:tcW w:type="dxa" w:w="2880"/>
          </w:tcPr>
          <w:p>
            <w:r>
              <w:t>Layer model supports new regions/service lines</w:t>
            </w:r>
          </w:p>
        </w:tc>
      </w:tr>
    </w:tbl>
    <w:p>
      <w:pPr>
        <w:pStyle w:val="Heading2"/>
      </w:pPr>
      <w:r>
        <w:t>Target State Alignment</w:t>
      </w:r>
    </w:p>
    <w:p>
      <w:r>
        <w:rPr>
          <w:b w:val="0"/>
          <w:i w:val="0"/>
        </w:rPr>
        <w:t>Standards, PADs, and Blueprints relevant to this SOD: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Standard/Blueprint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CTO Architecture Principles</w:t>
            </w:r>
          </w:p>
        </w:tc>
        <w:tc>
          <w:tcPr>
            <w:tcW w:type="dxa" w:w="2880"/>
          </w:tcPr>
          <w:p>
            <w:r>
              <w:t>Referenced</w:t>
            </w:r>
          </w:p>
        </w:tc>
        <w:tc>
          <w:tcPr>
            <w:tcW w:type="dxa" w:w="2880"/>
          </w:tcPr>
          <w:p>
            <w:r>
              <w:t>Pending review</w:t>
            </w:r>
          </w:p>
        </w:tc>
      </w:tr>
      <w:tr>
        <w:tc>
          <w:tcPr>
            <w:tcW w:type="dxa" w:w="2880"/>
          </w:tcPr>
          <w:p>
            <w:r>
              <w:t>Enterprise data residency standards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Regional compliance required</w:t>
            </w:r>
          </w:p>
        </w:tc>
      </w:tr>
      <w:tr>
        <w:tc>
          <w:tcPr>
            <w:tcW w:type="dxa" w:w="2880"/>
          </w:tcPr>
          <w:p>
            <w:r>
              <w:t>Security baseline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TDA alignment needed</w:t>
            </w:r>
          </w:p>
        </w:tc>
      </w:tr>
      <w:tr>
        <w:tc>
          <w:tcPr>
            <w:tcW w:type="dxa" w:w="2880"/>
          </w:tcPr>
          <w:p>
            <w:r>
              <w:t>Power Platform Centre of Excellence</w:t>
            </w:r>
          </w:p>
        </w:tc>
        <w:tc>
          <w:tcPr>
            <w:tcW w:type="dxa" w:w="2880"/>
          </w:tcPr>
          <w:p>
            <w:r>
              <w:t>Referenced</w:t>
            </w:r>
          </w:p>
        </w:tc>
        <w:tc>
          <w:tcPr>
            <w:tcW w:type="dxa" w:w="2880"/>
          </w:tcPr>
          <w:p>
            <w:r>
              <w:t>Aligned</w:t>
            </w:r>
          </w:p>
        </w:tc>
      </w:tr>
    </w:tbl>
    <w:p>
      <w:r>
        <w:br w:type="page"/>
      </w:r>
    </w:p>
    <w:p>
      <w:pPr>
        <w:pStyle w:val="Heading1"/>
      </w:pPr>
      <w:r>
        <w:t>Dependencies and Constraints</w:t>
      </w:r>
    </w:p>
    <w:p>
      <w:r>
        <w:rPr>
          <w:b/>
          <w:i w:val="0"/>
        </w:rPr>
        <w:t>Key dependencies:</w:t>
      </w:r>
    </w:p>
    <w:p>
      <w:pPr>
        <w:pStyle w:val="ListBullet"/>
      </w:pPr>
      <w:r>
        <w:t>TDA approval required before implementation</w:t>
      </w:r>
    </w:p>
    <w:p>
      <w:pPr>
        <w:pStyle w:val="ListBullet"/>
      </w:pPr>
      <w:r>
        <w:t>CTO Architecture Principles review</w:t>
      </w:r>
    </w:p>
    <w:p>
      <w:pPr>
        <w:pStyle w:val="ListBullet"/>
      </w:pPr>
      <w:r>
        <w:t>Regional legal and compliance review</w:t>
      </w:r>
    </w:p>
    <w:p>
      <w:pPr>
        <w:pStyle w:val="ListBullet"/>
      </w:pPr>
      <w:r>
        <w:t>Enterprise integration platform availability</w:t>
      </w:r>
    </w:p>
    <w:p>
      <w:pPr>
        <w:pStyle w:val="Heading2"/>
      </w:pPr>
      <w:r>
        <w:t>Constraints</w:t>
      </w:r>
    </w:p>
    <w:p>
      <w:pPr>
        <w:pStyle w:val="ListBullet"/>
      </w:pPr>
      <w:r>
        <w:t>Regional data residency requirements</w:t>
      </w:r>
    </w:p>
    <w:p>
      <w:pPr>
        <w:pStyle w:val="ListBullet"/>
      </w:pPr>
      <w:r>
        <w:t>Existing system integrations</w:t>
      </w:r>
    </w:p>
    <w:p>
      <w:pPr>
        <w:pStyle w:val="ListBullet"/>
      </w:pPr>
      <w:r>
        <w:t>TDA governance oversight</w:t>
      </w:r>
    </w:p>
    <w:p>
      <w:pPr>
        <w:pStyle w:val="ListBullet"/>
      </w:pPr>
      <w:r>
        <w:t>Budget and resource limitations (TBD)</w:t>
      </w:r>
    </w:p>
    <w:p>
      <w:r>
        <w:br w:type="page"/>
      </w:r>
    </w:p>
    <w:p>
      <w:pPr>
        <w:pStyle w:val="Heading1"/>
      </w:pPr>
      <w:r>
        <w:t>Functional and Non-Functional Requirements</w:t>
      </w:r>
    </w:p>
    <w:p>
      <w:pPr>
        <w:pStyle w:val="Heading2"/>
      </w:pPr>
      <w:r>
        <w:t>Functional Requirements</w:t>
      </w:r>
    </w:p>
    <w:p>
      <w:r>
        <w:rPr>
          <w:b w:val="0"/>
          <w:i w:val="0"/>
        </w:rPr>
        <w:t>Requirements to be gathered from business stakeholders across all four regions.</w:t>
      </w:r>
    </w:p>
    <w:p>
      <w:r>
        <w:rPr>
          <w:b w:val="0"/>
          <w:i w:val="0"/>
        </w:rPr>
        <w:t>See [[wiki/functional-requirements]] for detailed requirements.</w:t>
      </w:r>
    </w:p>
    <w:p>
      <w:pPr>
        <w:pStyle w:val="Heading2"/>
      </w:pPr>
      <w:r>
        <w:t>Non-Functional Requirements</w:t>
      </w:r>
    </w:p>
    <w:p>
      <w:r>
        <w:rPr>
          <w:b w:val="0"/>
          <w:i w:val="0"/>
        </w:rPr>
        <w:t>Performance, security, and compliance requirements to be defined.</w:t>
      </w:r>
    </w:p>
    <w:p>
      <w:r>
        <w:rPr>
          <w:b w:val="0"/>
          <w:i w:val="0"/>
        </w:rPr>
        <w:t>See [[wiki/functional-non-functional-requirements]] for detailed requirements.</w:t>
      </w:r>
    </w:p>
    <w:p>
      <w:r>
        <w:br w:type="page"/>
      </w:r>
    </w:p>
    <w:p>
      <w:pPr>
        <w:pStyle w:val="Heading1"/>
      </w:pPr>
      <w:r>
        <w:t>Risks and Issues</w:t>
      </w:r>
    </w:p>
    <w:p>
      <w:r>
        <w:rPr>
          <w:b w:val="0"/>
          <w:i w:val="0"/>
        </w:rPr>
        <w:t>Risk register to be populated during design phase.</w:t>
      </w:r>
    </w:p>
    <w:p>
      <w:r>
        <w:rPr>
          <w:b w:val="0"/>
          <w:i w:val="0"/>
        </w:rPr>
        <w:t>See [[wiki/risks-and-issues]] for detailed risk register.</w:t>
      </w:r>
    </w:p>
    <w:p>
      <w:r>
        <w:br w:type="page"/>
      </w:r>
    </w:p>
    <w:p>
      <w:pPr>
        <w:pStyle w:val="Heading1"/>
      </w:pPr>
      <w:r>
        <w:t>Solution Options and Trade-offs</w:t>
      </w:r>
    </w:p>
    <w:p>
      <w:r>
        <w:rPr>
          <w:b w:val="0"/>
          <w:i w:val="0"/>
        </w:rPr>
        <w:t>Options analysis to be completed with vendor evaluation and architecture assessment.</w:t>
      </w:r>
    </w:p>
    <w:p>
      <w:r>
        <w:rPr>
          <w:b w:val="0"/>
          <w:i w:val="0"/>
        </w:rPr>
        <w:t>See [[wiki/solution-options]] for detailed options analysis.</w:t>
      </w:r>
    </w:p>
    <w:p>
      <w:r>
        <w:br w:type="page"/>
      </w:r>
    </w:p>
    <w:p>
      <w:pPr>
        <w:pStyle w:val="Heading1"/>
      </w:pPr>
      <w:r>
        <w:t>Implementation Roadmap</w:t>
      </w:r>
    </w:p>
    <w:p>
      <w:pPr>
        <w:pStyle w:val="Heading2"/>
      </w:pPr>
      <w:r>
        <w:t>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Phase 0</w:t>
            </w:r>
          </w:p>
        </w:tc>
        <w:tc>
          <w:tcPr>
            <w:tcW w:type="dxa" w:w="1728"/>
          </w:tcPr>
          <w:p>
            <w:r>
              <w:t>Foundation</w:t>
            </w:r>
          </w:p>
        </w:tc>
        <w:tc>
          <w:tcPr>
            <w:tcW w:type="dxa" w:w="1728"/>
          </w:tcPr>
          <w:p>
            <w:r>
              <w:t>8-10 weeks</w:t>
            </w:r>
          </w:p>
        </w:tc>
        <w:tc>
          <w:tcPr>
            <w:tcW w:type="dxa" w:w="1728"/>
          </w:tcPr>
          <w:p>
            <w:r>
              <w:t>L2-L4</w:t>
            </w:r>
          </w:p>
        </w:tc>
        <w:tc>
          <w:tcPr>
            <w:tcW w:type="dxa" w:w="1728"/>
          </w:tcPr>
          <w:p>
            <w:r>
              <w:t>Planning</w:t>
            </w:r>
          </w:p>
        </w:tc>
      </w:tr>
      <w:tr>
        <w:tc>
          <w:tcPr>
            <w:tcW w:type="dxa" w:w="1728"/>
          </w:tcPr>
          <w:p>
            <w:r>
              <w:t>Phase 1</w:t>
            </w:r>
          </w:p>
        </w:tc>
        <w:tc>
          <w:tcPr>
            <w:tcW w:type="dxa" w:w="1728"/>
          </w:tcPr>
          <w:p>
            <w:r>
              <w:t>Paris CM Deep Build</w:t>
            </w:r>
          </w:p>
        </w:tc>
        <w:tc>
          <w:tcPr>
            <w:tcW w:type="dxa" w:w="1728"/>
          </w:tcPr>
          <w:p>
            <w:r>
              <w:t>12-16 weeks</w:t>
            </w:r>
          </w:p>
        </w:tc>
        <w:tc>
          <w:tcPr>
            <w:tcW w:type="dxa" w:w="1728"/>
          </w:tcPr>
          <w:p>
            <w:r>
              <w:t>L5-L6</w:t>
            </w:r>
          </w:p>
        </w:tc>
        <w:tc>
          <w:tcPr>
            <w:tcW w:type="dxa" w:w="1728"/>
          </w:tcPr>
          <w:p>
            <w:r>
              <w:t>Planning</w:t>
            </w:r>
          </w:p>
        </w:tc>
      </w:tr>
      <w:tr>
        <w:tc>
          <w:tcPr>
            <w:tcW w:type="dxa" w:w="1728"/>
          </w:tcPr>
          <w:p>
            <w:r>
              <w:t>Phase 2</w:t>
            </w:r>
          </w:p>
        </w:tc>
        <w:tc>
          <w:tcPr>
            <w:tcW w:type="dxa" w:w="1728"/>
          </w:tcPr>
          <w:p>
            <w:r>
              <w:t>Madrid + EIT CM Deep Build</w:t>
            </w:r>
          </w:p>
        </w:tc>
        <w:tc>
          <w:tcPr>
            <w:tcW w:type="dxa" w:w="1728"/>
          </w:tcPr>
          <w:p>
            <w:r>
              <w:t>10-14 weeks</w:t>
            </w:r>
          </w:p>
        </w:tc>
        <w:tc>
          <w:tcPr>
            <w:tcW w:type="dxa" w:w="1728"/>
          </w:tcPr>
          <w:p>
            <w:r>
              <w:t>L6-L7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Phase 3</w:t>
            </w:r>
          </w:p>
        </w:tc>
        <w:tc>
          <w:tcPr>
            <w:tcW w:type="dxa" w:w="1728"/>
          </w:tcPr>
          <w:p>
            <w:r>
              <w:t>Additional Service Lines</w:t>
            </w:r>
          </w:p>
        </w:tc>
        <w:tc>
          <w:tcPr>
            <w:tcW w:type="dxa" w:w="1728"/>
          </w:tcPr>
          <w:p>
            <w:r>
              <w:t>Future</w:t>
            </w:r>
          </w:p>
        </w:tc>
        <w:tc>
          <w:tcPr>
            <w:tcW w:type="dxa" w:w="1728"/>
          </w:tcPr>
          <w:p>
            <w:r>
              <w:t>L5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Phase 4</w:t>
            </w:r>
          </w:p>
        </w:tc>
        <w:tc>
          <w:tcPr>
            <w:tcW w:type="dxa" w:w="1728"/>
          </w:tcPr>
          <w:p>
            <w:r>
              <w:t>Residential / Private Office</w:t>
            </w:r>
          </w:p>
        </w:tc>
        <w:tc>
          <w:tcPr>
            <w:tcW w:type="dxa" w:w="1728"/>
          </w:tcPr>
          <w:p>
            <w:r>
              <w:t>Future</w:t>
            </w:r>
          </w:p>
        </w:tc>
        <w:tc>
          <w:tcPr>
            <w:tcW w:type="dxa" w:w="1728"/>
          </w:tcPr>
          <w:p>
            <w:r>
              <w:t>L5-L7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Phase 5</w:t>
            </w:r>
          </w:p>
        </w:tc>
        <w:tc>
          <w:tcPr>
            <w:tcW w:type="dxa" w:w="1728"/>
          </w:tcPr>
          <w:p>
            <w:r>
              <w:t>Regional Expansion</w:t>
            </w:r>
          </w:p>
        </w:tc>
        <w:tc>
          <w:tcPr>
            <w:tcW w:type="dxa" w:w="1728"/>
          </w:tcPr>
          <w:p>
            <w:r>
              <w:t>Future</w:t>
            </w:r>
          </w:p>
        </w:tc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Phase 6</w:t>
            </w:r>
          </w:p>
        </w:tc>
        <w:tc>
          <w:tcPr>
            <w:tcW w:type="dxa" w:w="1728"/>
          </w:tcPr>
          <w:p>
            <w:r>
              <w:t>Hub Replacement</w:t>
            </w:r>
          </w:p>
        </w:tc>
        <w:tc>
          <w:tcPr>
            <w:tcW w:type="dxa" w:w="1728"/>
          </w:tcPr>
          <w:p>
            <w:r>
              <w:t>Future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Phase 7</w:t>
            </w:r>
          </w:p>
        </w:tc>
        <w:tc>
          <w:tcPr>
            <w:tcW w:type="dxa" w:w="1728"/>
          </w:tcPr>
          <w:p>
            <w:r>
              <w:t>Consolidated Finance ERP</w:t>
            </w:r>
          </w:p>
        </w:tc>
        <w:tc>
          <w:tcPr>
            <w:tcW w:type="dxa" w:w="1728"/>
          </w:tcPr>
          <w:p>
            <w:r>
              <w:t>Future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</w:tbl>
    <w:p>
      <w:pPr>
        <w:pStyle w:val="Heading2"/>
      </w:pPr>
      <w:r>
        <w:t>Timelines</w:t>
      </w:r>
    </w:p>
    <w:p>
      <w:r>
        <w:rPr>
          <w:b w:val="0"/>
          <w:i w:val="0"/>
        </w:rPr>
        <w:t>MVP Timeline (Phases 0-1): 20-26 weeks</w:t>
      </w:r>
    </w:p>
    <w:p>
      <w:r>
        <w:rPr>
          <w:b w:val="0"/>
          <w:i w:val="0"/>
        </w:rPr>
        <w:t>See [[wiki/roadmap-timelines]] for detailed timeline view and Gantt chart.</w:t>
      </w:r>
    </w:p>
    <w:p>
      <w:pPr>
        <w:pStyle w:val="Heading2"/>
      </w:pPr>
      <w:r>
        <w:t>Key Dependencies</w:t>
      </w:r>
    </w:p>
    <w:p>
      <w:r>
        <w:rPr>
          <w:b w:val="0"/>
          <w:i w:val="0"/>
        </w:rPr>
        <w:t>See [[wiki/roadmap-dependencies]] for full dependency register.</w:t>
      </w:r>
    </w:p>
    <w:p>
      <w:r>
        <w:br w:type="page"/>
      </w:r>
    </w:p>
    <w:p>
      <w:pPr>
        <w:pStyle w:val="Heading1"/>
      </w:pPr>
      <w:r>
        <w:t>Cost and Benefits Summary</w:t>
      </w:r>
    </w:p>
    <w:p>
      <w:pPr>
        <w:pStyle w:val="Heading2"/>
      </w:pPr>
      <w:r>
        <w:t>Estimated Costs</w:t>
      </w:r>
    </w:p>
    <w:p>
      <w:r>
        <w:rPr>
          <w:b w:val="0"/>
          <w:i w:val="0"/>
        </w:rPr>
        <w:t>CAPEX: N/A</w:t>
      </w:r>
    </w:p>
    <w:p>
      <w:r>
        <w:rPr>
          <w:b w:val="0"/>
          <w:i w:val="0"/>
        </w:rPr>
        <w:t>OPEX: N/A</w:t>
      </w:r>
    </w:p>
    <w:p>
      <w:r>
        <w:rPr>
          <w:b w:val="0"/>
          <w:i w:val="0"/>
        </w:rPr>
        <w:t>See [[wiki/cost-estimates]] for detailed cost modelling.</w:t>
      </w:r>
    </w:p>
    <w:p>
      <w:pPr>
        <w:pStyle w:val="Heading2"/>
      </w:pPr>
      <w:r>
        <w:t>Expected Benefits</w:t>
      </w:r>
    </w:p>
    <w:p>
      <w:r>
        <w:rPr>
          <w:b w:val="0"/>
          <w:i w:val="0"/>
        </w:rPr>
        <w:t>Benefits realisation to be quantified during business case development.</w:t>
      </w:r>
    </w:p>
    <w:p>
      <w:r>
        <w:rPr>
          <w:b w:val="0"/>
          <w:i w:val="0"/>
        </w:rPr>
        <w:t>See [[wiki/expected-benefits]] for detailed benefits analysis.</w:t>
      </w:r>
    </w:p>
    <w:p>
      <w:r>
        <w:br w:type="page"/>
      </w:r>
    </w:p>
    <w:p>
      <w:pPr>
        <w:pStyle w:val="Heading1"/>
      </w:pPr>
      <w:r>
        <w:t>Governance and Approval</w:t>
      </w:r>
    </w:p>
    <w:p>
      <w:pPr>
        <w:pStyle w:val="Heading2"/>
      </w:pPr>
      <w:r>
        <w:t>Approval</w:t>
      </w:r>
    </w:p>
    <w:p>
      <w:r>
        <w:rPr>
          <w:b w:val="0"/>
          <w:i w:val="0"/>
        </w:rPr>
        <w:t>Approvals are required from the identified Key Stakeholders along with TDA approval.</w:t>
      </w:r>
    </w:p>
    <w:p>
      <w:r>
        <w:rPr>
          <w:b w:val="0"/>
          <w:i w:val="0"/>
        </w:rPr>
        <w:t>See [[wiki/governance-approval]] for the approval workflow.</w:t>
      </w:r>
    </w:p>
    <w:p>
      <w:pPr>
        <w:pStyle w:val="Heading2"/>
      </w:pPr>
      <w:r>
        <w:t>Governance Oversight</w:t>
      </w:r>
    </w:p>
    <w:p>
      <w:r>
        <w:rPr>
          <w:b w:val="0"/>
          <w:i w:val="0"/>
        </w:rPr>
        <w:t>This solution is in the purview of the Technical Design Authority (TDA).</w:t>
      </w:r>
    </w:p>
    <w:p>
      <w:r>
        <w:rPr>
          <w:b w:val="0"/>
          <w:i w:val="0"/>
        </w:rPr>
        <w:t>See [[wiki/governance-oversight]] for governance structure and reporting.</w:t>
      </w:r>
    </w:p>
    <w:p>
      <w:r>
        <w:br w:type="page"/>
      </w:r>
    </w:p>
    <w:p>
      <w:pPr>
        <w:pStyle w:val="Heading1"/>
      </w:pPr>
      <w:r>
        <w:t>Compliance</w:t>
      </w:r>
    </w:p>
    <w:p>
      <w:r>
        <w:rPr>
          <w:b w:val="0"/>
          <w:i w:val="0"/>
        </w:rPr>
        <w:t>Regulatory and compliance requirements across all four European jurisdictions.</w:t>
      </w:r>
    </w:p>
    <w:p>
      <w:r>
        <w:rPr>
          <w:b w:val="0"/>
          <w:i w:val="0"/>
        </w:rPr>
        <w:t>See [[wiki/compliance]] for detailed compliance requirements.</w:t>
      </w:r>
    </w:p>
    <w:p>
      <w:r>
        <w:br w:type="page"/>
      </w:r>
    </w:p>
    <w:p>
      <w:pPr>
        <w:pStyle w:val="Heading1"/>
      </w:pPr>
      <w:r>
        <w:t>Glossary</w:t>
      </w:r>
    </w:p>
    <w:p>
      <w:r>
        <w:rPr>
          <w:b w:val="0"/>
          <w:i w:val="0"/>
        </w:rPr>
        <w:t>See [[wiki/glossary]] for complete glossary.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rPr>
          <w:b/>
          <w:i w:val="0"/>
        </w:rPr>
        <w:t>Source Documents:</w:t>
      </w:r>
    </w:p>
    <w:p>
      <w:pPr>
        <w:pStyle w:val="ListBullet"/>
      </w:pPr>
      <w:r>
        <w:t>CTO Architecture Principles.pptx</w:t>
      </w:r>
    </w:p>
    <w:p>
      <w:pPr>
        <w:pStyle w:val="ListBullet"/>
      </w:pPr>
      <w:r>
        <w:t>European CRM Architecture Review 2.pdf</w:t>
      </w:r>
    </w:p>
    <w:p>
      <w:pPr>
        <w:pStyle w:val="ListBullet"/>
      </w:pPr>
      <w:r>
        <w:t>EU CRM Data Model.xlsx</w:t>
      </w:r>
    </w:p>
    <w:p>
      <w:pPr>
        <w:pStyle w:val="ListBullet"/>
      </w:pPr>
      <w:r>
        <w:t>European_CRM_Client_Industry_Master_Taxonomy.xlsx</w:t>
      </w:r>
    </w:p>
    <w:p>
      <w:pPr>
        <w:pStyle w:val="ListBullet"/>
      </w:pPr>
      <w:r>
        <w:t>European_CRM_Property360_Master_Taxonomy.xlsx</w:t>
      </w:r>
    </w:p>
    <w:p>
      <w:r>
        <w:rPr>
          <w:b/>
          <w:i w:val="0"/>
        </w:rPr>
        <w:t>Wiki Entries:</w:t>
      </w:r>
    </w:p>
    <w:p>
      <w:pPr>
        <w:pStyle w:val="ListBullet"/>
      </w:pPr>
      <w:r>
        <w:t>[[wiki/problem-statement]]</w:t>
      </w:r>
    </w:p>
    <w:p>
      <w:pPr>
        <w:pStyle w:val="ListBullet"/>
      </w:pPr>
      <w:r>
        <w:t>[[wiki/solution-package-model]]</w:t>
      </w:r>
    </w:p>
    <w:p>
      <w:pPr>
        <w:pStyle w:val="ListBullet"/>
      </w:pPr>
      <w:r>
        <w:t>[[wiki/crm-lite-mvp-scope]]</w:t>
      </w:r>
    </w:p>
    <w:p>
      <w:pPr>
        <w:pStyle w:val="ListBullet"/>
      </w:pPr>
      <w:r>
        <w:t>[[wiki/client-data-model]]</w:t>
      </w:r>
    </w:p>
    <w:p>
      <w:pPr>
        <w:pStyle w:val="ListBullet"/>
      </w:pPr>
      <w:r>
        <w:t>[[wiki/property-data-model]]</w:t>
      </w:r>
    </w:p>
    <w:p>
      <w:pPr>
        <w:pStyle w:val="ListBullet"/>
      </w:pPr>
      <w:r>
        <w:t>[[wiki/capital-markets-data-model]]</w:t>
      </w:r>
    </w:p>
    <w:p>
      <w:pPr>
        <w:pStyle w:val="ListBullet"/>
      </w:pPr>
      <w:r>
        <w:t>[[wiki/wip-data-model]]</w:t>
      </w:r>
    </w:p>
    <w:p>
      <w:pPr>
        <w:pStyle w:val="ListBullet"/>
      </w:pPr>
      <w:r>
        <w:t>[[wiki/taxonomy-mappings]]</w:t>
      </w:r>
    </w:p>
    <w:p>
      <w:pPr>
        <w:pStyle w:val="ListBullet"/>
      </w:pPr>
      <w:r>
        <w:t>[[wiki/power-apps-rationale]]</w:t>
      </w:r>
    </w:p>
    <w:p>
      <w:pPr>
        <w:pStyle w:val="ListBullet"/>
      </w:pPr>
      <w:r>
        <w:t>[[wiki/data-model-overview]]</w:t>
      </w:r>
    </w:p>
    <w:p>
      <w:pPr>
        <w:pStyle w:val="ListBullet"/>
      </w:pPr>
      <w:r>
        <w:t>[[wiki/implementation-phases]]</w:t>
      </w:r>
    </w:p>
    <w:p>
      <w:pPr>
        <w:pStyle w:val="ListBullet"/>
      </w:pPr>
      <w:r>
        <w:t>[[wiki/data-model-core-tables]]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