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7.X EuroCRM Domain</w:t>
      </w:r>
    </w:p>
    <w:p>
      <w:pPr>
        <w:pStyle w:val="Heading1"/>
      </w:pPr>
      <w:r>
        <w:t>7.X.1 Scope and Boundary</w:t>
      </w:r>
    </w:p>
    <w:p>
      <w:r>
        <w:rPr>
          <w:b w:val="0"/>
          <w:sz w:val="22"/>
        </w:rPr>
        <w:t>The EuroCRM domain represents Knight Frank's European CRM business unit.</w:t>
      </w:r>
    </w:p>
    <w:p>
      <w:r>
        <w:rPr>
          <w:b w:val="0"/>
          <w:sz w:val="22"/>
        </w:rPr>
        <w:t>EuroCRM provides advisory services relating to the acquisition, maintenance, valuation and optimisation of commercial and residential property across France, Germany, Spain and Poland.</w:t>
      </w:r>
    </w:p>
    <w:p>
      <w:r>
        <w:rPr>
          <w:b w:val="0"/>
          <w:sz w:val="22"/>
        </w:rPr>
        <w:t>The domain is responsible for:</w:t>
      </w:r>
    </w:p>
    <w:p>
      <w:pPr>
        <w:pStyle w:val="ListParagraph"/>
        <w:ind w:left="360"/>
      </w:pPr>
      <w:r>
        <w:rPr>
          <w:sz w:val="22"/>
        </w:rPr>
        <w:t>• Client management (Account, Contact, Brand/Group hierarchy)</w:t>
      </w:r>
    </w:p>
    <w:p>
      <w:pPr>
        <w:pStyle w:val="ListParagraph"/>
        <w:ind w:left="360"/>
      </w:pPr>
      <w:r>
        <w:rPr>
          <w:sz w:val="22"/>
        </w:rPr>
        <w:t>• Property management (Site, Property, Residential Property, Energy Ratings)</w:t>
      </w:r>
    </w:p>
    <w:p>
      <w:pPr>
        <w:pStyle w:val="ListParagraph"/>
        <w:ind w:left="360"/>
      </w:pPr>
      <w:r>
        <w:rPr>
          <w:sz w:val="22"/>
        </w:rPr>
        <w:t>• Deal management (8-stage BPF, NDA, Bid, Due Diligence, Red Flags)</w:t>
      </w:r>
    </w:p>
    <w:p>
      <w:pPr>
        <w:pStyle w:val="ListParagraph"/>
        <w:ind w:left="360"/>
      </w:pPr>
      <w:r>
        <w:rPr>
          <w:sz w:val="22"/>
        </w:rPr>
        <w:t>• Financial management (WIP tracking, Fee management, D365 Finance bridge)</w:t>
      </w:r>
    </w:p>
    <w:p>
      <w:pPr>
        <w:pStyle w:val="ListParagraph"/>
        <w:ind w:left="360"/>
      </w:pPr>
      <w:r>
        <w:rPr>
          <w:sz w:val="22"/>
        </w:rPr>
        <w:t>• Compliance and governance (KYC/AML, GDPR consent, Audit export)</w:t>
      </w:r>
    </w:p>
    <w:p>
      <w:pPr>
        <w:pStyle w:val="ListParagraph"/>
        <w:ind w:left="360"/>
      </w:pPr>
      <w:r>
        <w:rPr>
          <w:sz w:val="22"/>
        </w:rPr>
        <w:t>• Integration and analytics (Outlook, SharePoint, CI-Journeys, Power BI)</w:t>
      </w:r>
    </w:p>
    <w:p>
      <w:r>
        <w:rPr>
          <w:b w:val="0"/>
          <w:sz w:val="22"/>
        </w:rPr>
        <w:t>The domain consumes enterprise client, property and employee data but does not own those entities.</w:t>
      </w:r>
    </w:p>
    <w:p>
      <w:r>
        <w:rPr>
          <w:b/>
          <w:sz w:val="22"/>
        </w:rPr>
        <w:t>In-Scope Items: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Items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Platform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Dataverse (EU-hosted), Power Apps, Power Automate, Power BI, Copilot for Sales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Service Lines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Capital Markets (MVP), OSS (Future), Valuations, Residential, Private Office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Countries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France (MVP), Germany, Spain, Poland (Phase 0 foundation)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D365 Finance (9 flows), CI-Journeys, Loqate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Features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8-stage BPF, Regulatory gates, WIP tracking, KYC/AML, GDPR, Audit trail</w:t>
            </w:r>
          </w:p>
        </w:tc>
      </w:tr>
    </w:tbl>
    <w:p>
      <w:pPr>
        <w:pStyle w:val="Heading1"/>
      </w:pPr>
      <w:r>
        <w:t>7.X.2 Current State</w:t>
      </w:r>
    </w:p>
    <w:p>
      <w:r>
        <w:rPr>
          <w:b w:val="0"/>
          <w:sz w:val="22"/>
        </w:rPr>
        <w:t>The EuroCRM domain currently operates a collection of independent applications procured over time to support individual business requirements.</w:t>
      </w:r>
    </w:p>
    <w:p>
      <w:r>
        <w:rPr>
          <w:b w:val="0"/>
          <w:sz w:val="22"/>
        </w:rPr>
        <w:t>These systems have been introduced to address local business requirements and have evolved independently.</w:t>
      </w:r>
    </w:p>
    <w:p>
      <w:r>
        <w:rPr>
          <w:b w:val="0"/>
          <w:sz w:val="22"/>
        </w:rPr>
        <w:t>Current challenges include:</w:t>
      </w:r>
    </w:p>
    <w:p>
      <w:pPr>
        <w:pStyle w:val="ListParagraph"/>
        <w:ind w:left="360"/>
      </w:pPr>
      <w:r>
        <w:rPr>
          <w:sz w:val="22"/>
        </w:rPr>
        <w:t>• Client information duplicated across multiple platforms.</w:t>
      </w:r>
    </w:p>
    <w:p>
      <w:pPr>
        <w:pStyle w:val="ListParagraph"/>
        <w:ind w:left="360"/>
      </w:pPr>
      <w:r>
        <w:rPr>
          <w:sz w:val="22"/>
        </w:rPr>
        <w:t>• Multiple representations of the same property asset.</w:t>
      </w:r>
    </w:p>
    <w:p>
      <w:pPr>
        <w:pStyle w:val="ListParagraph"/>
        <w:ind w:left="360"/>
      </w:pPr>
      <w:r>
        <w:rPr>
          <w:sz w:val="22"/>
        </w:rPr>
        <w:t>• Manual reconciliation between systems.</w:t>
      </w:r>
    </w:p>
    <w:p>
      <w:pPr>
        <w:pStyle w:val="ListParagraph"/>
        <w:ind w:left="360"/>
      </w:pPr>
      <w:r>
        <w:rPr>
          <w:sz w:val="22"/>
        </w:rPr>
        <w:t>• Point-to-point integrations.</w:t>
      </w:r>
    </w:p>
    <w:p>
      <w:pPr>
        <w:pStyle w:val="ListParagraph"/>
        <w:ind w:left="360"/>
      </w:pPr>
      <w:r>
        <w:rPr>
          <w:sz w:val="22"/>
        </w:rPr>
        <w:t>• Limited visibility of enterprise-wide client relationships.</w:t>
      </w:r>
    </w:p>
    <w:p>
      <w:pPr>
        <w:pStyle w:val="ListParagraph"/>
        <w:ind w:left="360"/>
      </w:pPr>
      <w:r>
        <w:rPr>
          <w:sz w:val="22"/>
        </w:rPr>
        <w:t>• Multiple reporting solutions generating different answers.</w:t>
      </w:r>
    </w:p>
    <w:p>
      <w:pPr>
        <w:pStyle w:val="ListParagraph"/>
        <w:ind w:left="360"/>
      </w:pPr>
      <w:r>
        <w:rPr>
          <w:sz w:val="22"/>
        </w:rPr>
        <w:t>• Email-based deal tracking with no centralised pipeline.</w:t>
      </w:r>
    </w:p>
    <w:p>
      <w:pPr>
        <w:pStyle w:val="ListParagraph"/>
        <w:ind w:left="360"/>
      </w:pPr>
      <w:r>
        <w:rPr>
          <w:sz w:val="22"/>
        </w:rPr>
        <w:t>• Ad-hoc compliance processes without automated gates.</w:t>
      </w:r>
    </w:p>
    <w:p>
      <w:r>
        <w:rPr>
          <w:b w:val="0"/>
          <w:sz w:val="22"/>
        </w:rPr>
        <w:t>As a result, operational delivery remains possible but increasingly dependent upon manual intervention and local knowledge.</w:t>
      </w:r>
    </w:p>
    <w:p>
      <w:r>
        <w:rPr>
          <w:b/>
          <w:sz w:val="22"/>
        </w:rPr>
        <w:t>Current State vs Target State: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Target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Client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spreadsheets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Centralised Dataverse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Property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Fragmented systems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Single source of truth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Deal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Email-based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BPF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Financial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WIP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Integrated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Ad-hoc processes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gates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Reporting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Siloed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Unified Power BI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</w:tbl>
    <w:p>
      <w:r>
        <w:rPr>
          <w:b/>
          <w:sz w:val="22"/>
        </w:rPr>
        <w:t>Current State Architecture</w:t>
      </w:r>
    </w:p>
    <w:p>
      <w:pPr>
        <w:pStyle w:val="Heading1"/>
      </w:pPr>
      <w:r>
        <w:t>7.X.3 Business Capabilities</w:t>
      </w:r>
    </w:p>
    <w:p>
      <w:r>
        <w:rPr>
          <w:b w:val="0"/>
          <w:sz w:val="22"/>
        </w:rPr>
        <w:t>The EuroCRM domain provides the following core business capabilities:</w:t>
      </w:r>
    </w:p>
    <w:p>
      <w:r>
        <w:rPr>
          <w:b/>
          <w:sz w:val="22"/>
        </w:rPr>
        <w:t>Client Management</w:t>
      </w:r>
    </w:p>
    <w:p>
      <w:pPr>
        <w:pStyle w:val="ListParagraph"/>
        <w:ind w:left="360"/>
      </w:pPr>
      <w:r>
        <w:rPr>
          <w:sz w:val="22"/>
        </w:rPr>
        <w:t>• Account Management: Legal entity records with SIC-coded industry classification (66 KF sectors)</w:t>
      </w:r>
    </w:p>
    <w:p>
      <w:pPr>
        <w:pStyle w:val="ListParagraph"/>
        <w:ind w:left="360"/>
      </w:pPr>
      <w:r>
        <w:rPr>
          <w:sz w:val="22"/>
        </w:rPr>
        <w:t>• Contact Management: Individual contacts linked to accounts with roles and preferences</w:t>
      </w:r>
    </w:p>
    <w:p>
      <w:pPr>
        <w:pStyle w:val="ListParagraph"/>
        <w:ind w:left="360"/>
      </w:pPr>
      <w:r>
        <w:rPr>
          <w:sz w:val="22"/>
        </w:rPr>
        <w:t>• Brand/Group Hierarchy: Two-tier model: Brand/Group to Legal Entity</w:t>
      </w:r>
    </w:p>
    <w:p>
      <w:pPr>
        <w:pStyle w:val="ListParagraph"/>
        <w:ind w:left="360"/>
      </w:pPr>
      <w:r>
        <w:rPr>
          <w:sz w:val="22"/>
        </w:rPr>
        <w:t>• Industry Classification: SIC codes mapped to KF sectors with gap analysis</w:t>
      </w:r>
    </w:p>
    <w:p>
      <w:r>
        <w:rPr>
          <w:b/>
          <w:sz w:val="22"/>
        </w:rPr>
        <w:t>Property Management</w:t>
      </w:r>
    </w:p>
    <w:p>
      <w:pPr>
        <w:pStyle w:val="ListParagraph"/>
        <w:ind w:left="360"/>
      </w:pPr>
      <w:r>
        <w:rPr>
          <w:sz w:val="22"/>
        </w:rPr>
        <w:t>• Site Management: Canonical physical sites with addresses and coordinates</w:t>
      </w:r>
    </w:p>
    <w:p>
      <w:pPr>
        <w:pStyle w:val="ListParagraph"/>
        <w:ind w:left="360"/>
      </w:pPr>
      <w:r>
        <w:rPr>
          <w:sz w:val="22"/>
        </w:rPr>
        <w:t>• Property Management: Commercial and residential properties linked to sites</w:t>
      </w:r>
    </w:p>
    <w:p>
      <w:pPr>
        <w:pStyle w:val="ListParagraph"/>
        <w:ind w:left="360"/>
      </w:pPr>
      <w:r>
        <w:rPr>
          <w:sz w:val="22"/>
        </w:rPr>
        <w:t>• Residential Property: Sales, lettings, and property management</w:t>
      </w:r>
    </w:p>
    <w:p>
      <w:pPr>
        <w:pStyle w:val="ListParagraph"/>
        <w:ind w:left="360"/>
      </w:pPr>
      <w:r>
        <w:rPr>
          <w:sz w:val="22"/>
        </w:rPr>
        <w:t>• Energy Ratings: EPC and energy performance data</w:t>
      </w:r>
    </w:p>
    <w:p>
      <w:r>
        <w:rPr>
          <w:b/>
          <w:sz w:val="22"/>
        </w:rPr>
        <w:t>Deal Management</w:t>
      </w:r>
    </w:p>
    <w:p>
      <w:pPr>
        <w:pStyle w:val="ListParagraph"/>
        <w:ind w:left="360"/>
      </w:pPr>
      <w:r>
        <w:rPr>
          <w:sz w:val="22"/>
        </w:rPr>
        <w:t>• Pipeline Management: 8-stage BPF from lead generation to completion</w:t>
      </w:r>
    </w:p>
    <w:p>
      <w:pPr>
        <w:pStyle w:val="ListParagraph"/>
        <w:ind w:left="360"/>
      </w:pPr>
      <w:r>
        <w:rPr>
          <w:sz w:val="22"/>
        </w:rPr>
        <w:t>• BPF Lifecycle: Stage-specific activities, documents, and regulatory gates</w:t>
      </w:r>
    </w:p>
    <w:p>
      <w:pPr>
        <w:pStyle w:val="ListParagraph"/>
        <w:ind w:left="360"/>
      </w:pPr>
      <w:r>
        <w:rPr>
          <w:sz w:val="22"/>
        </w:rPr>
        <w:t>• Due Diligence: NDA, KYC, data room access, red flag tracking</w:t>
      </w:r>
    </w:p>
    <w:p>
      <w:pPr>
        <w:pStyle w:val="ListParagraph"/>
        <w:ind w:left="360"/>
      </w:pPr>
      <w:r>
        <w:rPr>
          <w:sz w:val="22"/>
        </w:rPr>
        <w:t>• Regulatory Gates: City pre-emption (France), right-of-refusal (Spain), notarial deed</w:t>
      </w:r>
    </w:p>
    <w:p>
      <w:r>
        <w:rPr>
          <w:b/>
          <w:sz w:val="22"/>
        </w:rPr>
        <w:t>Financial Management</w:t>
      </w:r>
    </w:p>
    <w:p>
      <w:pPr>
        <w:pStyle w:val="ListParagraph"/>
        <w:ind w:left="360"/>
      </w:pPr>
      <w:r>
        <w:rPr>
          <w:sz w:val="22"/>
        </w:rPr>
        <w:t>• WIP Tracking: Work-in-progress with % complete tied to BPF stage</w:t>
      </w:r>
    </w:p>
    <w:p>
      <w:pPr>
        <w:pStyle w:val="ListParagraph"/>
        <w:ind w:left="360"/>
      </w:pPr>
      <w:r>
        <w:rPr>
          <w:sz w:val="22"/>
        </w:rPr>
        <w:t>• Fee Management: Fee schedules with agreed fees and billing triggers</w:t>
      </w:r>
    </w:p>
    <w:p>
      <w:pPr>
        <w:pStyle w:val="ListParagraph"/>
        <w:ind w:left="360"/>
      </w:pPr>
      <w:r>
        <w:rPr>
          <w:sz w:val="22"/>
        </w:rPr>
        <w:t>• Integration Bridge: 9 flows to D365 Finance (project creation, WIP sync, transaction reports)</w:t>
      </w:r>
    </w:p>
    <w:p>
      <w:pPr>
        <w:pStyle w:val="ListParagraph"/>
        <w:ind w:left="360"/>
      </w:pPr>
      <w:r>
        <w:rPr>
          <w:sz w:val="22"/>
        </w:rPr>
        <w:t>• Transaction Reports: Auto-generated reports for deal completion</w:t>
      </w:r>
    </w:p>
    <w:p>
      <w:r>
        <w:rPr>
          <w:b/>
          <w:sz w:val="22"/>
        </w:rPr>
        <w:t>Compliance and Governance</w:t>
      </w:r>
    </w:p>
    <w:p>
      <w:pPr>
        <w:pStyle w:val="ListParagraph"/>
        <w:ind w:left="360"/>
      </w:pPr>
      <w:r>
        <w:rPr>
          <w:sz w:val="22"/>
        </w:rPr>
        <w:t>• KYC/AML: Know Your Customer checks at legal entity level</w:t>
      </w:r>
    </w:p>
    <w:p>
      <w:pPr>
        <w:pStyle w:val="ListParagraph"/>
        <w:ind w:left="360"/>
      </w:pPr>
      <w:r>
        <w:rPr>
          <w:sz w:val="22"/>
        </w:rPr>
        <w:t>• GDPR Consent: Data processing consent tracking with audit trail</w:t>
      </w:r>
    </w:p>
    <w:p>
      <w:pPr>
        <w:pStyle w:val="ListParagraph"/>
        <w:ind w:left="360"/>
      </w:pPr>
      <w:r>
        <w:rPr>
          <w:sz w:val="22"/>
        </w:rPr>
        <w:t>• Audit Export: 7-year retention with exportable audit logs</w:t>
      </w:r>
    </w:p>
    <w:p>
      <w:pPr>
        <w:pStyle w:val="ListParagraph"/>
        <w:ind w:left="360"/>
      </w:pPr>
      <w:r>
        <w:rPr>
          <w:sz w:val="22"/>
        </w:rPr>
        <w:t>• Red Flag Tracking: Conflict checks and risk identification</w:t>
      </w:r>
    </w:p>
    <w:p>
      <w:r>
        <w:rPr>
          <w:b/>
          <w:sz w:val="22"/>
        </w:rPr>
        <w:t>Integration and Analytics</w:t>
      </w:r>
    </w:p>
    <w:p>
      <w:pPr>
        <w:pStyle w:val="ListParagraph"/>
        <w:ind w:left="360"/>
      </w:pPr>
      <w:r>
        <w:rPr>
          <w:sz w:val="22"/>
        </w:rPr>
        <w:t>• Outlook Integration: Email tracking and activity logging</w:t>
      </w:r>
    </w:p>
    <w:p>
      <w:pPr>
        <w:pStyle w:val="ListParagraph"/>
        <w:ind w:left="360"/>
      </w:pPr>
      <w:r>
        <w:rPr>
          <w:sz w:val="22"/>
        </w:rPr>
        <w:t>• SharePoint Integration: Deal folder auto-provisioning and document management</w:t>
      </w:r>
    </w:p>
    <w:p>
      <w:pPr>
        <w:pStyle w:val="ListParagraph"/>
        <w:ind w:left="360"/>
      </w:pPr>
      <w:r>
        <w:rPr>
          <w:sz w:val="22"/>
        </w:rPr>
        <w:t>• Marketing Handoff: CI-Journeys integration for campaign automation</w:t>
      </w:r>
    </w:p>
    <w:p>
      <w:pPr>
        <w:pStyle w:val="ListParagraph"/>
        <w:ind w:left="360"/>
      </w:pPr>
      <w:r>
        <w:rPr>
          <w:sz w:val="22"/>
        </w:rPr>
        <w:t>• Power BI Dashboards: Regional reporting and analytics</w:t>
      </w:r>
    </w:p>
    <w:p>
      <w:r>
        <w:rPr>
          <w:b/>
          <w:sz w:val="22"/>
        </w:rPr>
        <w:t>Capability Summary: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Account, Contact, Brand/Group hierarchy with SIC classification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Site, Property, Residential Property, Energy Ratings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8-stage BPF, NDA, Bid, Due Diligence, Red Flags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WIP tracking, Fee schedules, D365 Finance bridge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KYC/AML, GDPR consent, Audit export, Red flags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CI-Journeys, Power BI</w:t>
            </w:r>
          </w:p>
        </w:tc>
      </w:tr>
    </w:tbl>
    <w:p>
      <w:pPr>
        <w:pStyle w:val="Heading1"/>
      </w:pPr>
      <w:r>
        <w:t>7.X.4 Capability to System Mapping</w:t>
      </w:r>
    </w:p>
    <w:p>
      <w:r>
        <w:rPr>
          <w:b w:val="0"/>
          <w:sz w:val="22"/>
        </w:rPr>
        <w:t>This mapping highlights areas of duplication and identifies opportunities for future consolidation.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Power Apps (Target)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Legacy System 1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Legacy System 2</w:t>
            </w:r>
          </w:p>
        </w:tc>
        <w:tc>
          <w:tcPr>
            <w:tcW w:type="dxa" w:w="1805"/>
          </w:tcPr>
          <w:p>
            <w:r/>
            <w:r>
              <w:rPr>
                <w:b/>
                <w:sz w:val="20"/>
              </w:rPr>
              <w:t>MS Excel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  <w:tr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✔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  <w:tc>
          <w:tcPr>
            <w:tcW w:type="dxa" w:w="1805"/>
          </w:tcPr>
          <w:p>
            <w:r/>
            <w:r>
              <w:rPr>
                <w:b w:val="0"/>
                <w:sz w:val="20"/>
              </w:rPr>
              <w:t>✘</w:t>
            </w:r>
          </w:p>
        </w:tc>
      </w:tr>
    </w:tbl>
    <w:p>
      <w:r>
        <w:rPr>
          <w:b/>
          <w:sz w:val="22"/>
        </w:rPr>
        <w:t>Capability Maturity: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Target State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Client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spreadsheets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Centralised Dataverse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Property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Fragmented systems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Single source of truth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Deal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Email-based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BPF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Financial Management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Manual WIP tracking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Integrated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Compliance and Governance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Ad-hoc processes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Automated gates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Integration and Analytics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Siloed data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Unified platform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</w:tr>
    </w:tbl>
    <w:p>
      <w:pPr>
        <w:pStyle w:val="Heading1"/>
      </w:pPr>
      <w:r>
        <w:t>7.X.5 Desired Future State</w:t>
      </w:r>
    </w:p>
    <w:p>
      <w:r>
        <w:rPr>
          <w:b w:val="0"/>
          <w:sz w:val="22"/>
        </w:rPr>
        <w:t>The future-state architecture aligns with the Enterprise Target Architecture and adopts the common architectural principles defined by the CTO office.</w:t>
      </w:r>
    </w:p>
    <w:p>
      <w:r>
        <w:rPr>
          <w:b w:val="0"/>
          <w:sz w:val="22"/>
        </w:rPr>
        <w:t>The EuroCRM domain does not create an independent architecture. Instead it consumes and contributes to the common enterprise architecture.</w:t>
      </w:r>
    </w:p>
    <w:p>
      <w:r>
        <w:rPr>
          <w:b w:val="0"/>
          <w:sz w:val="22"/>
        </w:rPr>
        <w:t>The future state assumes:</w:t>
      </w:r>
    </w:p>
    <w:p>
      <w:pPr>
        <w:pStyle w:val="ListParagraph"/>
        <w:ind w:left="360"/>
      </w:pPr>
      <w:r>
        <w:rPr>
          <w:sz w:val="22"/>
        </w:rPr>
        <w:t>• Enterprise Connectivity Services (ECS) is used for system integration.</w:t>
      </w:r>
    </w:p>
    <w:p>
      <w:pPr>
        <w:pStyle w:val="ListParagraph"/>
        <w:ind w:left="360"/>
      </w:pPr>
      <w:r>
        <w:rPr>
          <w:sz w:val="22"/>
        </w:rPr>
        <w:t>• Major entity changes are published to the ECS message bus to notify other systems.</w:t>
      </w:r>
    </w:p>
    <w:p>
      <w:pPr>
        <w:pStyle w:val="ListParagraph"/>
        <w:ind w:left="360"/>
      </w:pPr>
      <w:r>
        <w:rPr>
          <w:sz w:val="22"/>
        </w:rPr>
        <w:t>• Client data is consumed from enterprise mastered entities.</w:t>
      </w:r>
    </w:p>
    <w:p>
      <w:pPr>
        <w:pStyle w:val="ListParagraph"/>
        <w:ind w:left="360"/>
      </w:pPr>
      <w:r>
        <w:rPr>
          <w:sz w:val="22"/>
        </w:rPr>
        <w:t>• Property information is consumed from enterprise mastered entities.</w:t>
      </w:r>
    </w:p>
    <w:p>
      <w:pPr>
        <w:pStyle w:val="ListParagraph"/>
        <w:ind w:left="360"/>
      </w:pPr>
      <w:r>
        <w:rPr>
          <w:sz w:val="22"/>
        </w:rPr>
        <w:t>• Enterprise identifiers are adopted.</w:t>
      </w:r>
    </w:p>
    <w:p>
      <w:pPr>
        <w:pStyle w:val="ListParagraph"/>
        <w:ind w:left="360"/>
      </w:pPr>
      <w:r>
        <w:rPr>
          <w:sz w:val="22"/>
        </w:rPr>
        <w:t>• Reconciliation is automated where practical.</w:t>
      </w:r>
    </w:p>
    <w:p>
      <w:pPr>
        <w:pStyle w:val="ListParagraph"/>
        <w:ind w:left="360"/>
      </w:pPr>
      <w:r>
        <w:rPr>
          <w:sz w:val="22"/>
        </w:rPr>
        <w:t>• New integrations conform to published enterprise contracts.</w:t>
      </w:r>
    </w:p>
    <w:p>
      <w:pPr>
        <w:pStyle w:val="ListParagraph"/>
        <w:ind w:left="360"/>
      </w:pPr>
      <w:r>
        <w:rPr>
          <w:sz w:val="22"/>
        </w:rPr>
        <w:t>• Dataverse (EU-hosted) serves as the single source of truth.</w:t>
      </w:r>
    </w:p>
    <w:p>
      <w:pPr>
        <w:pStyle w:val="ListParagraph"/>
        <w:ind w:left="360"/>
      </w:pPr>
      <w:r>
        <w:rPr>
          <w:sz w:val="22"/>
        </w:rPr>
        <w:t>• Power Apps model-driven apps provide the user interface.</w:t>
      </w:r>
    </w:p>
    <w:p>
      <w:pPr>
        <w:pStyle w:val="ListParagraph"/>
        <w:ind w:left="360"/>
      </w:pPr>
      <w:r>
        <w:rPr>
          <w:sz w:val="22"/>
        </w:rPr>
        <w:t>• Copilot for Sales provides AI-powered client matching.</w:t>
      </w:r>
    </w:p>
    <w:p>
      <w:r>
        <w:rPr>
          <w:b/>
          <w:sz w:val="22"/>
        </w:rPr>
        <w:t>Future State Architecture</w:t>
      </w:r>
    </w:p>
    <w:p>
      <w:r>
        <w:rPr>
          <w:b w:val="0"/>
          <w:sz w:val="22"/>
        </w:rPr>
        <w:t>In the future state:</w:t>
      </w:r>
    </w:p>
    <w:p>
      <w:pPr>
        <w:pStyle w:val="ListParagraph"/>
        <w:ind w:left="360"/>
      </w:pPr>
      <w:r>
        <w:rPr>
          <w:sz w:val="22"/>
        </w:rPr>
        <w:t>• EuroCRM systems remain authoritative for EuroCRM-specific operational processes.</w:t>
      </w:r>
    </w:p>
    <w:p>
      <w:pPr>
        <w:pStyle w:val="ListParagraph"/>
        <w:ind w:left="360"/>
      </w:pPr>
      <w:r>
        <w:rPr>
          <w:sz w:val="22"/>
        </w:rPr>
        <w:t>• Shared business entities are consumed from enterprise services.</w:t>
      </w:r>
    </w:p>
    <w:p>
      <w:pPr>
        <w:pStyle w:val="ListParagraph"/>
        <w:ind w:left="360"/>
      </w:pPr>
      <w:r>
        <w:rPr>
          <w:sz w:val="22"/>
        </w:rPr>
        <w:t>• Reporting is driven from governed enterprise data.</w:t>
      </w:r>
    </w:p>
    <w:p>
      <w:pPr>
        <w:pStyle w:val="ListParagraph"/>
        <w:ind w:left="360"/>
      </w:pPr>
      <w:r>
        <w:rPr>
          <w:sz w:val="22"/>
        </w:rPr>
        <w:t>• AI capabilities consume governed enterprise information.</w:t>
      </w:r>
    </w:p>
    <w:p>
      <w:pPr>
        <w:pStyle w:val="ListParagraph"/>
        <w:ind w:left="360"/>
      </w:pPr>
      <w:r>
        <w:rPr>
          <w:sz w:val="22"/>
        </w:rPr>
        <w:t>• New systems align to enterprise contracts and standards.</w:t>
      </w:r>
    </w:p>
    <w:p>
      <w:r>
        <w:rPr>
          <w:b/>
          <w:sz w:val="22"/>
        </w:rPr>
        <w:t>Target State Components: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513"/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Model-Driven Apps, Power BI Dashboards, Copilot for Sales, Outlook Integration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Application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KF_Core, KF_Europe, Country Solutions, Service Line Solutions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Dataverse, SharePoint, Power BI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Integration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Outlook, SharePoint, D365 Finance, CI-Journeys, Loqate, ECS (change bus)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20"/>
              </w:rPr>
              <w:t>Entra ID, MFA, Conditional Access, Audit Trails</w:t>
            </w:r>
          </w:p>
        </w:tc>
      </w:tr>
    </w:tbl>
    <w:p>
      <w:r>
        <w:rPr>
          <w:b/>
          <w:sz w:val="22"/>
        </w:rPr>
        <w:t>ECS Change Notification:</w:t>
      </w:r>
    </w:p>
    <w:p>
      <w:r>
        <w:rPr>
          <w:b w:val="0"/>
          <w:sz w:val="22"/>
        </w:rPr>
        <w:t>Whenever a Major entity is created or updated in Dataverse, a change notification is published to the Knight Frank ECS (Enterprise Connectivity Services) platform - the internal notification and message bus that notifies other systems that a change has happened. Candidate Major entities are the Client (Account, Contact), Property (kf_Site, kf_Property) and Deal (kf_Deal) domains; the definitive list is to be confirmed with the TDA. Notifications are logged in kf_IntegrationLog.</w:t>
      </w:r>
    </w:p>
    <w:p>
      <w:r>
        <w:rPr>
          <w:b/>
          <w:sz w:val="22"/>
        </w:rPr>
        <w:t>Standards, PADs, and Blueprints: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Standard/Blueprint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Relevance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Compliance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CTO Architecture Principles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Referenced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Enterprise data residency standards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(EU-hosted)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Security baseline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(Entra ID, MFA, encryption)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Integration patterns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Compliant (API-first, standard connectors)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Power Platform Centre of Excellence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Referenced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Aligned</w:t>
            </w:r>
          </w:p>
        </w:tc>
      </w:tr>
    </w:tbl>
    <w:p>
      <w:r>
        <w:rPr>
          <w:b/>
          <w:sz w:val="22"/>
        </w:rPr>
        <w:t>Target State Capabilities by Phase:</w:t>
      </w:r>
    </w:p>
    <w:p>
      <w:r>
        <w:rPr>
          <w:b/>
          <w:sz w:val="22"/>
        </w:rPr>
        <w:t>Client Management (Phase 0)</w:t>
      </w:r>
    </w:p>
    <w:p>
      <w:pPr>
        <w:pStyle w:val="ListParagraph"/>
        <w:ind w:left="360"/>
      </w:pPr>
      <w:r>
        <w:rPr>
          <w:sz w:val="22"/>
        </w:rPr>
        <w:t>• Single source of truth for all client data</w:t>
      </w:r>
    </w:p>
    <w:p>
      <w:pPr>
        <w:pStyle w:val="ListParagraph"/>
        <w:ind w:left="360"/>
      </w:pPr>
      <w:r>
        <w:rPr>
          <w:sz w:val="22"/>
        </w:rPr>
        <w:t>• Two-tier hierarchy: Brand/Group to Legal Entity</w:t>
      </w:r>
    </w:p>
    <w:p>
      <w:pPr>
        <w:pStyle w:val="ListParagraph"/>
        <w:ind w:left="360"/>
      </w:pPr>
      <w:r>
        <w:rPr>
          <w:sz w:val="22"/>
        </w:rPr>
        <w:t>• SIC-coded industry classification (66 KF sectors)</w:t>
      </w:r>
    </w:p>
    <w:p>
      <w:pPr>
        <w:pStyle w:val="ListParagraph"/>
        <w:ind w:left="360"/>
      </w:pPr>
      <w:r>
        <w:rPr>
          <w:sz w:val="22"/>
        </w:rPr>
        <w:t>• Multi-country, multi-service line view</w:t>
      </w:r>
    </w:p>
    <w:p>
      <w:r>
        <w:rPr>
          <w:b/>
          <w:sz w:val="22"/>
        </w:rPr>
        <w:t>Property Management (Phase 0)</w:t>
      </w:r>
    </w:p>
    <w:p>
      <w:pPr>
        <w:pStyle w:val="ListParagraph"/>
        <w:ind w:left="360"/>
      </w:pPr>
      <w:r>
        <w:rPr>
          <w:sz w:val="22"/>
        </w:rPr>
        <w:t>• Canonical physical sites with addresses and coordinates</w:t>
      </w:r>
    </w:p>
    <w:p>
      <w:pPr>
        <w:pStyle w:val="ListParagraph"/>
        <w:ind w:left="360"/>
      </w:pPr>
      <w:r>
        <w:rPr>
          <w:sz w:val="22"/>
        </w:rPr>
        <w:t>• Commercial and residential properties</w:t>
      </w:r>
    </w:p>
    <w:p>
      <w:pPr>
        <w:pStyle w:val="ListParagraph"/>
        <w:ind w:left="360"/>
      </w:pPr>
      <w:r>
        <w:rPr>
          <w:sz w:val="22"/>
        </w:rPr>
        <w:t>• Energy ratings and EPC data</w:t>
      </w:r>
    </w:p>
    <w:p>
      <w:pPr>
        <w:pStyle w:val="ListParagraph"/>
        <w:ind w:left="360"/>
      </w:pPr>
      <w:r>
        <w:rPr>
          <w:sz w:val="22"/>
        </w:rPr>
        <w:t>• 10 service lines read same property record</w:t>
      </w:r>
    </w:p>
    <w:p>
      <w:r>
        <w:rPr>
          <w:b/>
          <w:sz w:val="22"/>
        </w:rPr>
        <w:t>Deal Management (Phase 1)</w:t>
      </w:r>
    </w:p>
    <w:p>
      <w:pPr>
        <w:pStyle w:val="ListParagraph"/>
        <w:ind w:left="360"/>
      </w:pPr>
      <w:r>
        <w:rPr>
          <w:sz w:val="22"/>
        </w:rPr>
        <w:t>• 8-stage BPF from lead generation to completion</w:t>
      </w:r>
    </w:p>
    <w:p>
      <w:pPr>
        <w:pStyle w:val="ListParagraph"/>
        <w:ind w:left="360"/>
      </w:pPr>
      <w:r>
        <w:rPr>
          <w:sz w:val="22"/>
        </w:rPr>
        <w:t>• 12 CM entities for full deal lifecycle</w:t>
      </w:r>
    </w:p>
    <w:p>
      <w:pPr>
        <w:pStyle w:val="ListParagraph"/>
        <w:ind w:left="360"/>
      </w:pPr>
      <w:r>
        <w:rPr>
          <w:sz w:val="22"/>
        </w:rPr>
        <w:t>• Regulatory gates per market</w:t>
      </w:r>
    </w:p>
    <w:p>
      <w:pPr>
        <w:pStyle w:val="ListParagraph"/>
        <w:ind w:left="360"/>
      </w:pPr>
      <w:r>
        <w:rPr>
          <w:sz w:val="22"/>
        </w:rPr>
        <w:t>• Cross-border portfolio management</w:t>
      </w:r>
    </w:p>
    <w:p>
      <w:r>
        <w:rPr>
          <w:b/>
          <w:sz w:val="22"/>
        </w:rPr>
        <w:t>Financial Management (Phase 1)</w:t>
      </w:r>
    </w:p>
    <w:p>
      <w:pPr>
        <w:pStyle w:val="ListParagraph"/>
        <w:ind w:left="360"/>
      </w:pPr>
      <w:r>
        <w:rPr>
          <w:sz w:val="22"/>
        </w:rPr>
        <w:t>• WIP tracking with % complete tied to BPF stage</w:t>
      </w:r>
    </w:p>
    <w:p>
      <w:pPr>
        <w:pStyle w:val="ListParagraph"/>
        <w:ind w:left="360"/>
      </w:pPr>
      <w:r>
        <w:rPr>
          <w:sz w:val="22"/>
        </w:rPr>
        <w:t>• Fee management with billing triggers</w:t>
      </w:r>
    </w:p>
    <w:p>
      <w:pPr>
        <w:pStyle w:val="ListParagraph"/>
        <w:ind w:left="360"/>
      </w:pPr>
      <w:r>
        <w:rPr>
          <w:sz w:val="22"/>
        </w:rPr>
        <w:t>• 9 integration flows to D365 Finance</w:t>
      </w:r>
    </w:p>
    <w:p>
      <w:pPr>
        <w:pStyle w:val="ListParagraph"/>
        <w:ind w:left="360"/>
      </w:pPr>
      <w:r>
        <w:rPr>
          <w:sz w:val="22"/>
        </w:rPr>
        <w:t>• Transaction report automation</w:t>
      </w:r>
    </w:p>
    <w:p>
      <w:r>
        <w:rPr>
          <w:b/>
          <w:sz w:val="22"/>
        </w:rPr>
        <w:t>Compliance and Governance (Phase 0)</w:t>
      </w:r>
    </w:p>
    <w:p>
      <w:pPr>
        <w:pStyle w:val="ListParagraph"/>
        <w:ind w:left="360"/>
      </w:pPr>
      <w:r>
        <w:rPr>
          <w:sz w:val="22"/>
        </w:rPr>
        <w:t>• KYC/AML checks at legal entity level</w:t>
      </w:r>
    </w:p>
    <w:p>
      <w:pPr>
        <w:pStyle w:val="ListParagraph"/>
        <w:ind w:left="360"/>
      </w:pPr>
      <w:r>
        <w:rPr>
          <w:sz w:val="22"/>
        </w:rPr>
        <w:t>• GDPR consent tracking with audit trail</w:t>
      </w:r>
    </w:p>
    <w:p>
      <w:pPr>
        <w:pStyle w:val="ListParagraph"/>
        <w:ind w:left="360"/>
      </w:pPr>
      <w:r>
        <w:rPr>
          <w:sz w:val="22"/>
        </w:rPr>
        <w:t>• 7-year retention with exportable audit logs</w:t>
      </w:r>
    </w:p>
    <w:p>
      <w:pPr>
        <w:pStyle w:val="ListParagraph"/>
        <w:ind w:left="360"/>
      </w:pPr>
      <w:r>
        <w:rPr>
          <w:sz w:val="22"/>
        </w:rPr>
        <w:t>• Red flag tracking and conflict checks</w:t>
      </w:r>
    </w:p>
    <w:p>
      <w:r>
        <w:rPr>
          <w:b/>
          <w:sz w:val="22"/>
        </w:rPr>
        <w:t>Integration and Analytics (Phase 1)</w:t>
      </w:r>
    </w:p>
    <w:p>
      <w:pPr>
        <w:pStyle w:val="ListParagraph"/>
        <w:ind w:left="360"/>
      </w:pPr>
      <w:r>
        <w:rPr>
          <w:sz w:val="22"/>
        </w:rPr>
        <w:t>• Outlook email tracking and activity logging</w:t>
      </w:r>
    </w:p>
    <w:p>
      <w:pPr>
        <w:pStyle w:val="ListParagraph"/>
        <w:ind w:left="360"/>
      </w:pPr>
      <w:r>
        <w:rPr>
          <w:sz w:val="22"/>
        </w:rPr>
        <w:t>• SharePoint deal folder auto-provisioning</w:t>
      </w:r>
    </w:p>
    <w:p>
      <w:pPr>
        <w:pStyle w:val="ListParagraph"/>
        <w:ind w:left="360"/>
      </w:pPr>
      <w:r>
        <w:rPr>
          <w:sz w:val="22"/>
        </w:rPr>
        <w:t>• CI-Journeys marketing handoff</w:t>
      </w:r>
    </w:p>
    <w:p>
      <w:pPr>
        <w:pStyle w:val="ListParagraph"/>
        <w:ind w:left="360"/>
      </w:pPr>
      <w:r>
        <w:rPr>
          <w:sz w:val="22"/>
        </w:rPr>
        <w:t>• Power BI dashboards and reports</w:t>
      </w:r>
    </w:p>
    <w:p>
      <w:pPr>
        <w:pStyle w:val="Heading1"/>
      </w:pPr>
      <w:r>
        <w:t>7.X.6 Transition States</w:t>
      </w:r>
    </w:p>
    <w:p>
      <w:r>
        <w:rPr>
          <w:b w:val="0"/>
          <w:sz w:val="22"/>
        </w:rPr>
        <w:t>The implementation follows a phased approach, starting with a foundation layer and building toward full capability across all service lines and countries.</w:t>
      </w:r>
    </w:p>
    <w:p>
      <w:r>
        <w:rPr>
          <w:b/>
          <w:sz w:val="22"/>
        </w:rPr>
        <w:t>Implementation Roadmap: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(L2-L4): Account, Contact, Property, Compliance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8-10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Planning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Paris CM Deep Build (L5-L6): Deal, WIP, Finance bridge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12-16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Planning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2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Madrid + EIT (L6-L7): Cross-border portfolios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10-14 weeks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Additional Service Lines: OSS, Valuations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Residential / Private Office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5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Regional Expansion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6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Hub Replacement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7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Consolidated Finance ERP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Not started</w:t>
            </w:r>
          </w:p>
        </w:tc>
      </w:tr>
    </w:tbl>
    <w:p>
      <w:r>
        <w:rPr>
          <w:b/>
          <w:sz w:val="22"/>
        </w:rPr>
        <w:t>Regional Scope: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Included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France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0-1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MVP, CM team pilot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Germany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Spain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Poland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Foundation only, CM in Phase 2</w:t>
            </w:r>
          </w:p>
        </w:tc>
      </w:tr>
    </w:tbl>
    <w:p>
      <w:r>
        <w:rPr>
          <w:b/>
          <w:sz w:val="22"/>
        </w:rPr>
        <w:t>Service Line Scope: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Included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256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Capital Markets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0-1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MVP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Occupier Strategy and Solutions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Valuations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3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Residential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Private Office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Future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Phase 4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20"/>
              </w:rPr>
              <w:t>TBD</w:t>
            </w:r>
          </w:p>
        </w:tc>
      </w:tr>
    </w:tbl>
    <w:p>
      <w:r>
        <w:rPr>
          <w:b/>
          <w:sz w:val="22"/>
        </w:rPr>
        <w:t>Key Milestones:</w:t>
      </w:r>
    </w:p>
    <w:p>
      <w:pPr>
        <w:pStyle w:val="ListParagraph"/>
        <w:ind w:left="360"/>
      </w:pPr>
      <w:r>
        <w:rPr>
          <w:sz w:val="22"/>
        </w:rPr>
        <w:t>• TDA approval required before implementation.</w:t>
      </w:r>
    </w:p>
    <w:p>
      <w:pPr>
        <w:pStyle w:val="ListParagraph"/>
        <w:ind w:left="360"/>
      </w:pPr>
      <w:r>
        <w:rPr>
          <w:sz w:val="22"/>
        </w:rPr>
        <w:t>• Phase 0 delivers foundation entities across all four countries.</w:t>
      </w:r>
    </w:p>
    <w:p>
      <w:pPr>
        <w:pStyle w:val="ListParagraph"/>
        <w:ind w:left="360"/>
      </w:pPr>
      <w:r>
        <w:rPr>
          <w:sz w:val="22"/>
        </w:rPr>
        <w:t>• Phase 1 delivers Paris Capital Markets deep build with 8-stage BPF.</w:t>
      </w:r>
    </w:p>
    <w:p>
      <w:pPr>
        <w:pStyle w:val="ListParagraph"/>
        <w:ind w:left="360"/>
      </w:pPr>
      <w:r>
        <w:rPr>
          <w:sz w:val="22"/>
        </w:rPr>
        <w:t>• Phase 2 extends to Madrid and European Investment Team.</w:t>
      </w:r>
    </w:p>
    <w:p>
      <w:pPr>
        <w:pStyle w:val="ListParagraph"/>
        <w:ind w:left="360"/>
      </w:pPr>
      <w:r>
        <w:rPr>
          <w:sz w:val="22"/>
        </w:rPr>
        <w:t>• Subsequent phases add service lines and countries incrementally.</w:t>
      </w:r>
    </w:p>
    <w:p>
      <w:pPr>
        <w:pStyle w:val="ListParagraph"/>
        <w:ind w:left="360"/>
      </w:pPr>
      <w:r>
        <w:rPr>
          <w:sz w:val="22"/>
        </w:rPr>
        <w:t>• Each layer is a separate managed solution.</w:t>
      </w:r>
    </w:p>
    <w:p>
      <w:pPr>
        <w:pStyle w:val="ListParagraph"/>
        <w:ind w:left="360"/>
      </w:pPr>
      <w:r>
        <w:rPr>
          <w:sz w:val="22"/>
        </w:rPr>
        <w:t>• No unmanaged customisations in TEST, UAT, or PROD.</w:t>
      </w:r>
    </w:p>
    <w:sectPr w:rsidR="002703A4" w:rsidSect="0022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B7E"/>
    <w:multiLevelType w:val="multilevel"/>
    <w:tmpl w:val="606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0431"/>
    <w:multiLevelType w:val="multilevel"/>
    <w:tmpl w:val="D6B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6075F"/>
    <w:multiLevelType w:val="multilevel"/>
    <w:tmpl w:val="0F5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5252C"/>
    <w:multiLevelType w:val="multilevel"/>
    <w:tmpl w:val="84F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1C09"/>
    <w:multiLevelType w:val="multilevel"/>
    <w:tmpl w:val="997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0BB0"/>
    <w:multiLevelType w:val="multilevel"/>
    <w:tmpl w:val="FCE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F22"/>
    <w:multiLevelType w:val="multilevel"/>
    <w:tmpl w:val="FE8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F3C9B"/>
    <w:multiLevelType w:val="multilevel"/>
    <w:tmpl w:val="A84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558C"/>
    <w:multiLevelType w:val="multilevel"/>
    <w:tmpl w:val="62FA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573E6"/>
    <w:multiLevelType w:val="multilevel"/>
    <w:tmpl w:val="166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81887"/>
    <w:multiLevelType w:val="multilevel"/>
    <w:tmpl w:val="5B2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03777">
    <w:abstractNumId w:val="0"/>
  </w:num>
  <w:num w:numId="2" w16cid:durableId="777454384">
    <w:abstractNumId w:val="8"/>
  </w:num>
  <w:num w:numId="3" w16cid:durableId="467479381">
    <w:abstractNumId w:val="5"/>
  </w:num>
  <w:num w:numId="4" w16cid:durableId="1429693176">
    <w:abstractNumId w:val="2"/>
  </w:num>
  <w:num w:numId="5" w16cid:durableId="535965150">
    <w:abstractNumId w:val="10"/>
  </w:num>
  <w:num w:numId="6" w16cid:durableId="247735679">
    <w:abstractNumId w:val="7"/>
  </w:num>
  <w:num w:numId="7" w16cid:durableId="1431781764">
    <w:abstractNumId w:val="4"/>
  </w:num>
  <w:num w:numId="8" w16cid:durableId="1894004919">
    <w:abstractNumId w:val="1"/>
  </w:num>
  <w:num w:numId="9" w16cid:durableId="227958420">
    <w:abstractNumId w:val="9"/>
  </w:num>
  <w:num w:numId="10" w16cid:durableId="133832518">
    <w:abstractNumId w:val="3"/>
  </w:num>
  <w:num w:numId="11" w16cid:durableId="827870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C6"/>
    <w:rsid w:val="00003C9A"/>
    <w:rsid w:val="000A1884"/>
    <w:rsid w:val="00224EC6"/>
    <w:rsid w:val="002703A4"/>
    <w:rsid w:val="00CF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3646"/>
  <w15:chartTrackingRefBased/>
  <w15:docId w15:val="{0A95B4CB-EE45-4E29-A80A-50C4572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C6"/>
  </w:style>
  <w:style w:type="paragraph" w:styleId="Heading1">
    <w:name w:val="heading 1"/>
    <w:basedOn w:val="Normal"/>
    <w:next w:val="Normal"/>
    <w:link w:val="Heading1Char"/>
    <w:uiPriority w:val="9"/>
    <w:qFormat/>
    <w:rsid w:val="0022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C6"/>
    <w:rPr>
      <w:b/>
      <w:bCs/>
      <w:smallCaps/>
      <w:color w:val="0F4761" w:themeColor="accent1" w:themeShade="BF"/>
      <w:spacing w:val="5"/>
    </w:rPr>
  </w:style>
  <w:style w:type="table" w:styleId="GridTable1LightAccent2">
    <w:name w:val="Grid Table 1 Light Accent 2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224E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681</Words>
  <Characters>4728</Characters>
  <Application>Microsoft Office Word</Application>
  <DocSecurity>0</DocSecurity>
  <Lines>163</Lines>
  <Paragraphs>131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Ballard</dc:creator>
  <cp:keywords/>
  <dc:description/>
  <cp:lastModifiedBy>Ian Ballard</cp:lastModifiedBy>
  <cp:revision>1</cp:revision>
  <dcterms:created xsi:type="dcterms:W3CDTF">2026-09-01T10:52:00Z</dcterms:created>
  <dcterms:modified xsi:type="dcterms:W3CDTF">2026-09-01T10:57:00Z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da7d78-680d-456e-89f4-ed3f515ae329_Enabled">
    <vt:lpwstr>true</vt:lpwstr>
  </property>
  <property fmtid="{D5CDD505-2E9C-101B-9397-08002B2CF9AE}" pid="3" name="MSIP_Label_49da7d78-680d-456e-89f4-ed3f515ae329_SetDate">
    <vt:lpwstr>2026-09-01T10:57:47Z</vt:lpwstr>
  </property>
  <property fmtid="{D5CDD505-2E9C-101B-9397-08002B2CF9AE}" pid="4" name="MSIP_Label_49da7d78-680d-456e-89f4-ed3f515ae329_Method">
    <vt:lpwstr>Privileged</vt:lpwstr>
  </property>
  <property fmtid="{D5CDD505-2E9C-101B-9397-08002B2CF9AE}" pid="5" name="MSIP_Label_49da7d78-680d-456e-89f4-ed3f515ae329_Name">
    <vt:lpwstr>Public</vt:lpwstr>
  </property>
  <property fmtid="{D5CDD505-2E9C-101B-9397-08002B2CF9AE}" pid="6" name="MSIP_Label_49da7d78-680d-456e-89f4-ed3f515ae329_SiteId">
    <vt:lpwstr>99d6a2d9-b626-40e9-822a-688a6cda5a94</vt:lpwstr>
  </property>
  <property fmtid="{D5CDD505-2E9C-101B-9397-08002B2CF9AE}" pid="7" name="MSIP_Label_49da7d78-680d-456e-89f4-ed3f515ae329_ActionId">
    <vt:lpwstr>2ace3b9f-2a5c-4ee0-b607-61fcd6a3a3ab</vt:lpwstr>
  </property>
  <property fmtid="{D5CDD505-2E9C-101B-9397-08002B2CF9AE}" pid="8" name="MSIP_Label_49da7d78-680d-456e-89f4-ed3f515ae329_ContentBits">
    <vt:lpwstr>0</vt:lpwstr>
  </property>
  <property fmtid="{D5CDD505-2E9C-101B-9397-08002B2CF9AE}" pid="9" name="MSIP_Label_49da7d78-680d-456e-89f4-ed3f515ae329_Tag">
    <vt:lpwstr>10, 0, 1, 1</vt:lpwstr>
  </property>
</Properties>
</file>