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n-US"/>
        </w:rPr>
      </w:pPr>
      <w:r>
        <w:rPr>
          <w:b/>
          <w:u w:val="single"/>
          <w:lang w:val="en-US"/>
        </w:rPr>
        <w:t>Answers to the Reviewers by the Authors</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ascii="Times New Roman" w:hAnsi="Times New Roman"/>
          <w:szCs w:val="24"/>
          <w:lang w:val="en-US"/>
        </w:rPr>
        <w:t>Reviewer 2 raised the following issue:</w:t>
      </w:r>
      <w:r>
        <w:rPr>
          <w:rFonts w:ascii="Times New Roman" w:hAnsi="Times New Roman"/>
          <w:i/>
          <w:szCs w:val="24"/>
          <w:lang w:val="en-US"/>
        </w:rPr>
        <w:t xml:space="preserve"> </w:t>
      </w:r>
      <w:r>
        <w:rPr>
          <w:rFonts w:cs="Times New Roman" w:ascii="Times New Roman" w:hAnsi="Times New Roman"/>
          <w:i/>
          <w:szCs w:val="24"/>
          <w:lang w:val="en-US"/>
        </w:rPr>
        <w:t>«In page 5, Line 29: “According to 7a” please include the name of the authors here»</w:t>
      </w:r>
      <w:r>
        <w:rPr>
          <w:rFonts w:cs="Times New Roman" w:ascii="Times New Roman" w:hAnsi="Times New Roman"/>
          <w:szCs w:val="24"/>
          <w:lang w:val="en-US"/>
        </w:rPr>
        <w:t>.</w:t>
      </w:r>
    </w:p>
    <w:p>
      <w:pPr>
        <w:pStyle w:val="NoSpacing"/>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apologize for this inaccuracy. Unfortunately, the references have shifted during the automatic numbering. We made appropriate corrections in the revised manuscript.</w:t>
      </w:r>
    </w:p>
    <w:p>
      <w:pPr>
        <w:pStyle w:val="NoSpacing"/>
        <w:rPr>
          <w:rFonts w:ascii="Times New Roman" w:hAnsi="Times New Roman"/>
          <w:color w:val="000000"/>
          <w:szCs w:val="24"/>
          <w:lang w:val="en-US"/>
        </w:rPr>
      </w:pPr>
      <w:r>
        <w:rPr>
          <w:rFonts w:ascii="Times New Roman" w:hAnsi="Times New Roman"/>
          <w:color w:val="000000"/>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ascii="Times New Roman" w:hAnsi="Times New Roman"/>
          <w:szCs w:val="24"/>
          <w:lang w:val="en-US"/>
        </w:rPr>
        <w:t>Reviewer 3 raised the following issue:</w:t>
      </w:r>
      <w:r>
        <w:rPr>
          <w:rFonts w:ascii="Times New Roman" w:hAnsi="Times New Roman"/>
          <w:i/>
          <w:szCs w:val="24"/>
          <w:lang w:val="en-US"/>
        </w:rPr>
        <w:t xml:space="preserve"> </w:t>
      </w:r>
      <w:r>
        <w:rPr>
          <w:rFonts w:cs="Times New Roman" w:ascii="Times New Roman" w:hAnsi="Times New Roman"/>
          <w:i/>
          <w:szCs w:val="24"/>
          <w:lang w:val="en-US"/>
        </w:rPr>
        <w:t xml:space="preserve"> «The authors perform DFT calculations of an isolated contact ion pair in vacuum. This means that strongly symmetrical </w:t>
      </w:r>
      <w:bookmarkStart w:id="0" w:name="_Hlk17891557"/>
      <w:r>
        <w:rPr>
          <w:rFonts w:cs="Times New Roman" w:ascii="Times New Roman" w:hAnsi="Times New Roman"/>
          <w:i/>
          <w:szCs w:val="24"/>
          <w:lang w:val="en-US"/>
        </w:rPr>
        <w:t xml:space="preserve">electric field of crystal </w:t>
      </w:r>
      <w:bookmarkEnd w:id="0"/>
      <w:r>
        <w:rPr>
          <w:rFonts w:cs="Times New Roman" w:ascii="Times New Roman" w:hAnsi="Times New Roman"/>
          <w:i/>
          <w:szCs w:val="24"/>
          <w:lang w:val="en-US"/>
        </w:rPr>
        <w:t>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pPr>
        <w:pStyle w:val="NoSpacing"/>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share the reviewer's concern and are grateful for raising this important issue. To address this, we added the following passage to the Quantum chemical calculations section (highlighted in green within the manuscript):</w:t>
      </w:r>
    </w:p>
    <w:p>
      <w:pPr>
        <w:pStyle w:val="NoSpacing"/>
        <w:jc w:val="both"/>
        <w:rPr>
          <w:rFonts w:ascii="Times New Roman" w:hAnsi="Times New Roman"/>
          <w:color w:val="000000"/>
          <w:szCs w:val="24"/>
          <w:lang w:val="en-US"/>
        </w:rPr>
      </w:pPr>
      <w:r>
        <w:rPr>
          <w:rFonts w:ascii="Times New Roman" w:hAnsi="Times New Roman"/>
          <w:color w:val="000000"/>
          <w:szCs w:val="24"/>
          <w:lang w:val="en-US"/>
        </w:rPr>
      </w:r>
    </w:p>
    <w:p>
      <w:pPr>
        <w:pStyle w:val="NoSpacing"/>
        <w:jc w:val="both"/>
        <w:rPr>
          <w:rFonts w:ascii="Times New Roman" w:hAnsi="Times New Roman"/>
          <w:color w:val="000000"/>
          <w:szCs w:val="24"/>
          <w:lang w:val="en-US"/>
        </w:rPr>
      </w:pPr>
      <w:r>
        <w:rPr>
          <w:rFonts w:ascii="Times New Roman" w:hAnsi="Times New Roman"/>
          <w:color w:val="000000"/>
          <w:szCs w:val="24"/>
          <w:lang w:val="en-US"/>
        </w:rPr>
        <w:t xml:space="preserve">«Importantly, the DFT calculations were carried out assuming reagents and products are isolated molecules, therefore, the electric field of crystal was neglected. However, the very fact that the predicted energies are in good agreement with the experimental values measured by flow calorimetry for the decomposition reactions of five diazonium salts with different counterions and ring substituents </w:t>
      </w:r>
      <w:r>
        <w:rPr>
          <w:rFonts w:ascii="Times New Roman" w:hAnsi="Times New Roman"/>
          <w:b/>
          <w:color w:val="000000"/>
          <w:szCs w:val="24"/>
          <w:lang w:val="en-US"/>
        </w:rPr>
        <w:t>1b-d</w:t>
      </w:r>
      <w:r>
        <w:rPr>
          <w:rFonts w:ascii="Times New Roman" w:hAnsi="Times New Roman"/>
          <w:color w:val="000000"/>
          <w:szCs w:val="24"/>
          <w:lang w:val="en-US"/>
        </w:rPr>
        <w:t xml:space="preserve">, </w:t>
      </w:r>
      <w:r>
        <w:rPr>
          <w:rFonts w:ascii="Times New Roman" w:hAnsi="Times New Roman"/>
          <w:b/>
          <w:color w:val="000000"/>
          <w:szCs w:val="24"/>
          <w:lang w:val="en-US"/>
        </w:rPr>
        <w:t>2</w:t>
      </w:r>
      <w:r>
        <w:rPr>
          <w:rFonts w:ascii="Times New Roman" w:hAnsi="Times New Roman"/>
          <w:color w:val="000000"/>
          <w:szCs w:val="24"/>
          <w:lang w:val="en-US"/>
        </w:rPr>
        <w:t xml:space="preserve"> and </w:t>
      </w:r>
      <w:r>
        <w:rPr>
          <w:rFonts w:ascii="Times New Roman" w:hAnsi="Times New Roman"/>
          <w:b/>
          <w:color w:val="000000"/>
          <w:szCs w:val="24"/>
          <w:lang w:val="en-US"/>
        </w:rPr>
        <w:t>3</w:t>
      </w:r>
      <w:r>
        <w:rPr>
          <w:rFonts w:ascii="Times New Roman" w:hAnsi="Times New Roman"/>
          <w:color w:val="000000"/>
          <w:szCs w:val="24"/>
          <w:lang w:val="en-US"/>
        </w:rPr>
        <w:t xml:space="preserve"> (Table 8) indicates that the major contribution to the reaction thermodynamics is made by the chemical transformations, whereas the effects of changing the crystal lattices are minor. Possibly, it is due to the fact that both reagents and products remain solid (except N</w:t>
      </w:r>
      <w:r>
        <w:rPr>
          <w:rFonts w:ascii="Times New Roman" w:hAnsi="Times New Roman"/>
          <w:color w:val="000000"/>
          <w:szCs w:val="24"/>
          <w:vertAlign w:val="subscript"/>
          <w:lang w:val="en-US"/>
        </w:rPr>
        <w:t>2</w:t>
      </w:r>
      <w:r>
        <w:rPr>
          <w:rFonts w:ascii="Times New Roman" w:hAnsi="Times New Roman"/>
          <w:color w:val="000000"/>
          <w:szCs w:val="24"/>
          <w:lang w:val="en-US"/>
        </w:rPr>
        <w:t xml:space="preserve">), thus, there is a compensation for the thermal effects of the transformation of the crystal lattices of the starting material and products. It is also important from an application prospective that the proposed quantum-chemical approach to assessing the thermodynamics of decomposition reactions of diazonium salts is relatively easy to implement. While calculations taking into account unknown transformations of crystal lattice are much more laborious, sophisticated and cannot yet be widely used to predict the thermal effects of chemical reactions, despite the known progress in calculating the crystalline state of benzenediazonium chloride and tetrafluoroborate. </w:t>
      </w:r>
      <w:r>
        <w:rPr>
          <w:rFonts w:ascii="Times New Roman" w:hAnsi="Times New Roman"/>
          <w:color w:val="000000"/>
          <w:szCs w:val="24"/>
          <w:vertAlign w:val="superscript"/>
          <w:lang w:val="en-US"/>
        </w:rPr>
        <w:t>2c,d</w:t>
      </w:r>
      <w:r>
        <w:rPr>
          <w:rFonts w:ascii="Times New Roman" w:hAnsi="Times New Roman"/>
          <w:color w:val="000000"/>
          <w:szCs w:val="24"/>
          <w:lang w:val="en-US"/>
        </w:rPr>
        <w:t>»</w:t>
      </w:r>
    </w:p>
    <w:p>
      <w:pPr>
        <w:pStyle w:val="NoSpacing"/>
        <w:jc w:val="both"/>
        <w:rPr>
          <w:rFonts w:ascii="Times New Roman" w:hAnsi="Times New Roman"/>
          <w:color w:val="000000"/>
          <w:szCs w:val="24"/>
          <w:lang w:val="en-US"/>
        </w:rPr>
      </w:pPr>
      <w:r>
        <w:rPr>
          <w:rFonts w:ascii="Times New Roman" w:hAnsi="Times New Roman"/>
          <w:color w:val="000000"/>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w:t>
      </w:r>
      <w:r>
        <w:rPr>
          <w:rFonts w:cs="Times New Roman" w:ascii="Times New Roman" w:hAnsi="Times New Roman"/>
          <w:i/>
          <w:szCs w:val="24"/>
        </w:rPr>
        <w:t xml:space="preserve"> </w:t>
      </w:r>
      <w:r>
        <w:rPr>
          <w:rFonts w:cs="Times New Roman" w:ascii="Times New Roman" w:hAnsi="Times New Roman"/>
          <w:i/>
          <w:szCs w:val="24"/>
          <w:lang w:val="en-US"/>
        </w:rPr>
        <w:t>appropriate</w:t>
      </w:r>
      <w:r>
        <w:rPr>
          <w:rFonts w:cs="Times New Roman" w:ascii="Times New Roman" w:hAnsi="Times New Roman"/>
          <w:i/>
          <w:szCs w:val="24"/>
        </w:rPr>
        <w:t xml:space="preserve"> </w:t>
      </w:r>
      <w:r>
        <w:rPr>
          <w:rFonts w:cs="Times New Roman" w:ascii="Times New Roman" w:hAnsi="Times New Roman"/>
          <w:i/>
          <w:szCs w:val="24"/>
          <w:lang w:val="en-US"/>
        </w:rPr>
        <w:t>citation</w:t>
      </w:r>
      <w:r>
        <w:rPr>
          <w:rFonts w:cs="Times New Roman" w:ascii="Times New Roman" w:hAnsi="Times New Roman"/>
          <w:i/>
          <w:szCs w:val="24"/>
        </w:rPr>
        <w:t xml:space="preserve"> </w:t>
      </w:r>
      <w:r>
        <w:rPr>
          <w:rFonts w:cs="Times New Roman" w:ascii="Times New Roman" w:hAnsi="Times New Roman"/>
          <w:i/>
          <w:szCs w:val="24"/>
          <w:lang w:val="en-US"/>
        </w:rPr>
        <w:t>and</w:t>
      </w:r>
      <w:r>
        <w:rPr>
          <w:rFonts w:cs="Times New Roman" w:ascii="Times New Roman" w:hAnsi="Times New Roman"/>
          <w:i/>
          <w:szCs w:val="24"/>
        </w:rPr>
        <w:t xml:space="preserve"> </w:t>
      </w:r>
      <w:r>
        <w:rPr>
          <w:rFonts w:cs="Times New Roman" w:ascii="Times New Roman" w:hAnsi="Times New Roman"/>
          <w:i/>
          <w:szCs w:val="24"/>
          <w:lang w:val="en-US"/>
        </w:rPr>
        <w:t>comments</w:t>
      </w:r>
      <w:r>
        <w:rPr>
          <w:rFonts w:cs="Times New Roman" w:ascii="Times New Roman" w:hAnsi="Times New Roman"/>
          <w:i/>
          <w:szCs w:val="24"/>
        </w:rPr>
        <w:t xml:space="preserve"> </w:t>
      </w:r>
      <w:r>
        <w:rPr>
          <w:rFonts w:cs="Times New Roman" w:ascii="Times New Roman" w:hAnsi="Times New Roman"/>
          <w:i/>
          <w:szCs w:val="24"/>
          <w:lang w:val="en-US"/>
        </w:rPr>
        <w:t>in</w:t>
      </w:r>
      <w:r>
        <w:rPr>
          <w:rFonts w:cs="Times New Roman" w:ascii="Times New Roman" w:hAnsi="Times New Roman"/>
          <w:i/>
          <w:szCs w:val="24"/>
        </w:rPr>
        <w:t xml:space="preserve"> </w:t>
      </w:r>
      <w:r>
        <w:rPr>
          <w:rFonts w:cs="Times New Roman" w:ascii="Times New Roman" w:hAnsi="Times New Roman"/>
          <w:i/>
          <w:szCs w:val="24"/>
          <w:lang w:val="en-US"/>
        </w:rPr>
        <w:t>the</w:t>
      </w:r>
      <w:r>
        <w:rPr>
          <w:rFonts w:cs="Times New Roman" w:ascii="Times New Roman" w:hAnsi="Times New Roman"/>
          <w:i/>
          <w:szCs w:val="24"/>
        </w:rPr>
        <w:t xml:space="preserve"> </w:t>
      </w:r>
      <w:r>
        <w:rPr>
          <w:rFonts w:cs="Times New Roman" w:ascii="Times New Roman" w:hAnsi="Times New Roman"/>
          <w:i/>
          <w:szCs w:val="24"/>
          <w:lang w:val="en-US"/>
        </w:rPr>
        <w:t>text</w:t>
      </w:r>
      <w:r>
        <w:rPr>
          <w:rFonts w:cs="Times New Roman" w:ascii="Times New Roman" w:hAnsi="Times New Roman"/>
          <w:i/>
          <w:szCs w:val="24"/>
        </w:rPr>
        <w:t xml:space="preserve"> </w:t>
      </w:r>
      <w:r>
        <w:rPr>
          <w:rFonts w:cs="Times New Roman" w:ascii="Times New Roman" w:hAnsi="Times New Roman"/>
          <w:i/>
          <w:szCs w:val="24"/>
          <w:lang w:val="en-US"/>
        </w:rPr>
        <w:t>are</w:t>
      </w:r>
      <w:r>
        <w:rPr>
          <w:rFonts w:cs="Times New Roman" w:ascii="Times New Roman" w:hAnsi="Times New Roman"/>
          <w:i/>
          <w:szCs w:val="24"/>
        </w:rPr>
        <w:t xml:space="preserve"> </w:t>
      </w:r>
      <w:r>
        <w:rPr>
          <w:rFonts w:cs="Times New Roman" w:ascii="Times New Roman" w:hAnsi="Times New Roman"/>
          <w:i/>
          <w:szCs w:val="24"/>
          <w:lang w:val="en-US"/>
        </w:rPr>
        <w:t>required</w:t>
      </w:r>
    </w:p>
    <w:p>
      <w:pPr>
        <w:pStyle w:val="NoSpacing"/>
        <w:rPr>
          <w:rFonts w:ascii="Times New Roman" w:hAnsi="Times New Roman" w:cs="Times New Roman"/>
          <w:szCs w:val="24"/>
          <w:lang w:val="en-US"/>
        </w:rPr>
      </w:pPr>
      <w:r>
        <w:rPr>
          <w:rFonts w:cs="Times New Roman" w:ascii="Times New Roman" w:hAnsi="Times New Roman"/>
          <w:szCs w:val="24"/>
          <w:u w:val="single"/>
          <w:lang w:val="en-US"/>
        </w:rPr>
        <w:t>Authors’ reply</w:t>
      </w:r>
      <w:r>
        <w:rPr>
          <w:rFonts w:cs="Times New Roman" w:ascii="Times New Roman" w:hAnsi="Times New Roman"/>
          <w:szCs w:val="24"/>
          <w:lang w:val="en-US"/>
        </w:rPr>
        <w:t>: Since we calculated the reaction thermodynamics based on the initial and final states of the system, the ground state (singlet or triplet) of the intermediate aryl cations did not matter (Scheme 1). However, to explain the decomposition features of 2-nitrobenzene diazonium salt, we suggested the mechanism provided in the Supporting Information. In the revised manuscript we added the following refences (J. Phys. Chem. A 2014, 118, 3201-3210) and (Chemical Physics 389 (2011) 68-74) as [14 a,b].</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The unusual chemistry of the 2-nitrophenyl cation was pointed out before (Chemical Physics 389 (2011) 68-74). The authors should provide some referencing and comments on this issue in the text.</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The reference was added to the revised manuscript (</w:t>
      </w:r>
      <w:r>
        <w:rPr>
          <w:rFonts w:cs="Times New Roman" w:ascii="Times New Roman" w:hAnsi="Times New Roman"/>
          <w:i/>
          <w:iCs/>
          <w:szCs w:val="24"/>
          <w:lang w:val="en-US"/>
        </w:rPr>
        <w:t>vide supra</w:t>
      </w:r>
      <w:r>
        <w:rPr>
          <w:rFonts w:cs="Times New Roman" w:ascii="Times New Roman" w:hAnsi="Times New Roman"/>
          <w:szCs w:val="24"/>
          <w:lang w:val="en-US"/>
        </w:rPr>
        <w: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i/>
          <w:i/>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Literature numbering is damaged. Thus, it is not possible to assign reference numbers in the text with the same in the reference list»</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Authors’ reply: </w:t>
      </w:r>
      <w:r>
        <w:rPr>
          <w:rFonts w:ascii="Times New Roman" w:hAnsi="Times New Roman"/>
          <w:color w:val="000000"/>
          <w:szCs w:val="24"/>
          <w:lang w:val="en-US"/>
        </w:rPr>
        <w:t>We apologize for this inaccuracy. Unfortunately, the references have shifted during the automatic numbering. We made appropriate corrections in the revised manuscript.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BF3 cleavage. Probably, this must be BF3 detachment?</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We agree with the reviewer’s remark. The «</w:t>
      </w:r>
      <w:r>
        <w:rPr>
          <w:rFonts w:cs="Times New Roman" w:ascii="Times New Roman" w:hAnsi="Times New Roman"/>
          <w:i/>
          <w:iCs/>
          <w:szCs w:val="24"/>
          <w:lang w:val="en-US"/>
        </w:rPr>
        <w:t>cleavage</w:t>
      </w:r>
      <w:r>
        <w:rPr>
          <w:rFonts w:cs="Times New Roman" w:ascii="Times New Roman" w:hAnsi="Times New Roman"/>
          <w:szCs w:val="24"/>
          <w:lang w:val="en-US"/>
        </w:rPr>
        <w:t>» was replaced by «</w:t>
      </w:r>
      <w:r>
        <w:rPr>
          <w:rFonts w:cs="Times New Roman" w:ascii="Times New Roman" w:hAnsi="Times New Roman"/>
          <w:i/>
          <w:szCs w:val="24"/>
          <w:lang w:val="en-US"/>
        </w:rPr>
        <w:t>detachment</w:t>
      </w:r>
      <w:r>
        <w:rPr>
          <w:rFonts w:cs="Times New Roman" w:ascii="Times New Roman" w:hAnsi="Times New Roman"/>
          <w:szCs w:val="24"/>
          <w:lang w:val="en-US"/>
        </w:rPr>
        <w:t>» in the revised manuscript.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olor w:val="000000"/>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Supporting. Probably, this must be Supporting Information?</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Authors’ reply: We agree with the reviewer’s comments. The necessary adjustments were made in the revised manuscript. </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rPr>
        <w:t>Рецензент</w:t>
      </w:r>
      <w:r>
        <w:rPr>
          <w:rFonts w:cs="Times New Roman" w:ascii="Times New Roman" w:hAnsi="Times New Roman"/>
          <w:szCs w:val="24"/>
          <w:lang w:val="en-US"/>
        </w:rPr>
        <w:t xml:space="preserve"> 4.</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cs="Times New Roman" w:ascii="Times New Roman" w:hAnsi="Times New Roman"/>
          <w:szCs w:val="24"/>
          <w:lang w:val="en-US"/>
        </w:rPr>
        <w:t>.</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Authors’ reply: The purity degree of the diazonium salts tested is given in our previous papers referenced in the manuscript [Organic Lett. 2010, 10, 3961; Eur.J.Org.Chem. </w:t>
      </w:r>
      <w:commentRangeStart w:id="0"/>
      <w:r>
        <w:rPr>
          <w:rFonts w:cs="Times New Roman" w:ascii="Times New Roman" w:hAnsi="Times New Roman"/>
          <w:szCs w:val="24"/>
          <w:highlight w:val="yellow"/>
          <w:lang w:val="en-US"/>
        </w:rPr>
        <w:t>2019, 2019</w:t>
      </w:r>
      <w:r>
        <w:rPr>
          <w:rFonts w:cs="Times New Roman" w:ascii="Times New Roman" w:hAnsi="Times New Roman"/>
          <w:szCs w:val="24"/>
          <w:highlight w:val="yellow"/>
          <w:lang w:val="en-US"/>
        </w:rPr>
      </w:r>
      <w:commentRangeEnd w:id="0"/>
      <w:r>
        <w:commentReference w:id="0"/>
      </w:r>
      <w:r>
        <w:rPr>
          <w:rFonts w:cs="Times New Roman" w:ascii="Times New Roman" w:hAnsi="Times New Roman"/>
          <w:szCs w:val="24"/>
          <w:lang w:val="en-US"/>
        </w:rPr>
        <w:t>]. In the revised manuscript we added the description of sample drying prior to the measurements: «All samples used in calorimetric studies were dried in vacuum for 48 h». This procedure is recommended in the study of the decomposition of arendiazonium chlorides [7a]. The observed endothermic effects are caused by melting as they match the experimentally found melting points. The latter we added to the Table 1 in the revised manuscript. (</w:t>
      </w:r>
      <w:r>
        <w:rPr>
          <w:rFonts w:cs="Times New Roman" w:ascii="Times New Roman" w:hAnsi="Times New Roman"/>
          <w:b/>
          <w:szCs w:val="24"/>
          <w:highlight w:val="red"/>
        </w:rPr>
        <w:t>А</w:t>
      </w:r>
      <w:r>
        <w:rPr>
          <w:rFonts w:cs="Times New Roman" w:ascii="Times New Roman" w:hAnsi="Times New Roman"/>
          <w:b/>
          <w:szCs w:val="24"/>
          <w:highlight w:val="red"/>
          <w:lang w:val="en-US"/>
        </w:rPr>
        <w:t>.</w:t>
      </w:r>
      <w:r>
        <w:rPr>
          <w:rFonts w:cs="Times New Roman" w:ascii="Times New Roman" w:hAnsi="Times New Roman"/>
          <w:b/>
          <w:szCs w:val="24"/>
          <w:highlight w:val="red"/>
        </w:rPr>
        <w:t>А</w:t>
      </w:r>
      <w:r>
        <w:rPr>
          <w:rFonts w:cs="Times New Roman" w:ascii="Times New Roman" w:hAnsi="Times New Roman"/>
          <w:b/>
          <w:szCs w:val="24"/>
          <w:highlight w:val="red"/>
          <w:lang w:val="en-US"/>
        </w:rPr>
        <w:t xml:space="preserve">., </w:t>
      </w:r>
      <w:r>
        <w:rPr>
          <w:rFonts w:cs="Times New Roman" w:ascii="Times New Roman" w:hAnsi="Times New Roman"/>
          <w:b/>
          <w:szCs w:val="24"/>
          <w:highlight w:val="red"/>
        </w:rPr>
        <w:t>не</w:t>
      </w:r>
      <w:r>
        <w:rPr>
          <w:rFonts w:cs="Times New Roman" w:ascii="Times New Roman" w:hAnsi="Times New Roman"/>
          <w:b/>
          <w:szCs w:val="24"/>
          <w:highlight w:val="red"/>
          <w:lang w:val="en-US"/>
        </w:rPr>
        <w:t xml:space="preserve"> </w:t>
      </w:r>
      <w:r>
        <w:rPr>
          <w:rFonts w:cs="Times New Roman" w:ascii="Times New Roman" w:hAnsi="Times New Roman"/>
          <w:b/>
          <w:szCs w:val="24"/>
          <w:highlight w:val="red"/>
        </w:rPr>
        <w:t>забыть</w:t>
      </w:r>
      <w:r>
        <w:rPr>
          <w:rFonts w:cs="Times New Roman" w:ascii="Times New Roman" w:hAnsi="Times New Roman"/>
          <w:b/>
          <w:szCs w:val="24"/>
          <w:highlight w:val="red"/>
          <w:lang w:val="en-US"/>
        </w:rPr>
        <w:t xml:space="preserve"> </w:t>
      </w:r>
      <w:r>
        <w:rPr>
          <w:rFonts w:cs="Times New Roman" w:ascii="Times New Roman" w:hAnsi="Times New Roman"/>
          <w:b/>
          <w:szCs w:val="24"/>
          <w:highlight w:val="red"/>
        </w:rPr>
        <w:t>это</w:t>
      </w:r>
      <w:r>
        <w:rPr>
          <w:rFonts w:cs="Times New Roman" w:ascii="Times New Roman" w:hAnsi="Times New Roman"/>
          <w:b/>
          <w:szCs w:val="24"/>
          <w:highlight w:val="red"/>
          <w:lang w:val="en-US"/>
        </w:rPr>
        <w:t xml:space="preserve"> </w:t>
      </w:r>
      <w:r>
        <w:rPr>
          <w:rFonts w:cs="Times New Roman" w:ascii="Times New Roman" w:hAnsi="Times New Roman"/>
          <w:b/>
          <w:szCs w:val="24"/>
          <w:highlight w:val="red"/>
        </w:rPr>
        <w:t>сделать</w:t>
      </w:r>
      <w:r>
        <w:rPr>
          <w:rFonts w:cs="Times New Roman" w:ascii="Times New Roman" w:hAnsi="Times New Roman"/>
          <w:b/>
          <w:szCs w:val="24"/>
          <w:highlight w:val="red"/>
          <w:lang w:val="en-US"/>
        </w:rPr>
        <w:t>!</w:t>
      </w:r>
      <w:r>
        <w:rPr>
          <w:rFonts w:cs="Times New Roman" w:ascii="Times New Roman" w:hAnsi="Times New Roman"/>
          <w:szCs w:val="24"/>
          <w:lang w:val="en-US"/>
        </w:rPr>
        <w: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cs="Times New Roman" w:ascii="Times New Roman" w:hAnsi="Times New Roman"/>
          <w:szCs w:val="24"/>
          <w:lang w:val="en-US"/>
        </w:rPr>
        <w:t>.</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Authors’ reply: </w:t>
      </w:r>
      <w:r>
        <w:rPr>
          <w:rFonts w:cs="Times New Roman" w:ascii="Times New Roman" w:hAnsi="Times New Roman"/>
          <w:iCs/>
          <w:szCs w:val="24"/>
          <w:lang w:val="en-US"/>
        </w:rPr>
        <w:t>The typical sample size</w:t>
      </w:r>
      <w:r>
        <w:rPr>
          <w:rFonts w:cs="Times New Roman" w:ascii="Times New Roman" w:hAnsi="Times New Roman"/>
          <w:szCs w:val="24"/>
          <w:lang w:val="en-US"/>
        </w:rPr>
        <w:t xml:space="preserve"> was 10 mg as indicated on page 6, line 22. The </w:t>
      </w:r>
      <w:r>
        <w:rPr>
          <w:rFonts w:cs="Times New Roman" w:ascii="Times New Roman" w:hAnsi="Times New Roman"/>
          <w:iCs/>
          <w:szCs w:val="24"/>
          <w:lang w:val="en-US"/>
        </w:rPr>
        <w:t xml:space="preserve">TAM instrument and </w:t>
      </w:r>
      <w:r>
        <w:rPr>
          <w:rFonts w:cs="Times New Roman" w:ascii="Times New Roman" w:hAnsi="Times New Roman"/>
          <w:szCs w:val="24"/>
          <w:lang w:val="en-US"/>
        </w:rPr>
        <w:t>Hastelloy ampoule are designed to study the properties of high-energy products. We calculated the amount of gaseous nitrogen (~ 0.7 mL) released during decomposition of the studied diazonium salts and found that this amount would not increase the pressure in the Hastelloy ampoule even up to 1.5-2 atm.</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According to the reviewer’s comment, we clarified the experiment conditions as follows: «The ampoule was evacuated, then purged with nitrogen, argon or air depending on experimental conditions, and sealed».</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Pr>
          <w:rFonts w:cs="Times New Roman" w:ascii="Times New Roman" w:hAnsi="Times New Roman"/>
          <w:szCs w:val="24"/>
          <w:lang w:val="en-US"/>
        </w:rPr>
        <w:t>.</w:t>
      </w:r>
    </w:p>
    <w:p>
      <w:pPr>
        <w:pStyle w:val="NoSpacing"/>
        <w:rPr/>
      </w:pPr>
      <w:r>
        <w:rPr>
          <w:rFonts w:cs="Times New Roman" w:ascii="Times New Roman" w:hAnsi="Times New Roman"/>
          <w:szCs w:val="24"/>
          <w:lang w:val="en-US"/>
        </w:rPr>
        <w:t>Authors’ reply: We are grateful to the reviewer for paying attention to this issue. Indeed, the claim that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is generated at 33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is clearly incorrect. In fact, the endothermic peak corresponding to the loss of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is located at 58.7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and we made the corresponding corrections in Fig. 6 and in the text. The purity of the diazonium salt </w:t>
      </w:r>
      <w:r>
        <w:rPr>
          <w:rFonts w:cs="Times New Roman" w:ascii="Times New Roman" w:hAnsi="Times New Roman"/>
          <w:b/>
          <w:bCs/>
          <w:szCs w:val="24"/>
          <w:lang w:val="en-US"/>
        </w:rPr>
        <w:t>3</w:t>
      </w:r>
      <w:r>
        <w:rPr>
          <w:rFonts w:cs="Times New Roman" w:ascii="Times New Roman" w:hAnsi="Times New Roman"/>
          <w:szCs w:val="24"/>
          <w:lang w:val="en-US"/>
        </w:rPr>
        <w:t xml:space="preserve"> is 98% (Aldrich). The reviewer's remarks stimulated us to analyze more carefully the literature on the thermal decomposition of tetrafluoroborates. The following paper </w:t>
      </w:r>
      <w:r>
        <w:rPr>
          <w:rFonts w:cs="Times New Roman" w:ascii="Times New Roman" w:hAnsi="Times New Roman"/>
          <w:szCs w:val="24"/>
          <w:highlight w:val="green"/>
          <w:lang w:val="en-US"/>
        </w:rPr>
        <w:t>Koval’chuk, E. P.; Reshetnyak, O. V.; Kozlovs’ka, Z. Y.; Błażejowski, J.; Gladyshevs’kyj, R. Y.; Obushak, M. D. Mechanism of the Benzenediazonium Tetrafluoroborate Thermolysis in the Solid State. Thermochimica Acta 2006, 444 (1), 1–5. https://doi.org/10.1016/j.tca.2006.02.002</w:t>
      </w:r>
      <w:r>
        <w:rPr>
          <w:rFonts w:cs="Times New Roman" w:ascii="Times New Roman" w:hAnsi="Times New Roman"/>
          <w:szCs w:val="24"/>
          <w:lang w:val="en-US"/>
        </w:rPr>
        <w:t xml:space="preserve"> </w:t>
      </w:r>
      <w:r>
        <w:rPr>
          <w:rFonts w:cs="Times New Roman" w:ascii="Times New Roman" w:hAnsi="Times New Roman"/>
          <w:szCs w:val="24"/>
          <w:lang w:val="en-US"/>
        </w:rPr>
        <w:t>(</w:t>
      </w:r>
      <w:commentRangeStart w:id="1"/>
      <w:r>
        <w:rPr>
          <w:rFonts w:cs="Times New Roman" w:ascii="Times New Roman" w:hAnsi="Times New Roman"/>
          <w:strike/>
          <w:szCs w:val="24"/>
          <w:highlight w:val="yellow"/>
          <w:lang w:val="en-US"/>
        </w:rPr>
        <w:t>Koval’chuk, E. P.; Reshetnyak, O. V.; Kozlovs’ka, Z. Ye.; Bła˙zejowski, J.;  Gladyshevs’kyj, R. Ye.; Obushak</w:t>
      </w:r>
      <w:r>
        <w:rPr>
          <w:rFonts w:cs="Times New Roman" w:ascii="Times New Roman" w:hAnsi="Times New Roman"/>
          <w:strike/>
          <w:szCs w:val="24"/>
          <w:highlight w:val="yellow"/>
          <w:lang w:val="en-US"/>
        </w:rPr>
      </w:r>
      <w:commentRangeEnd w:id="1"/>
      <w:r>
        <w:commentReference w:id="1"/>
      </w:r>
      <w:r>
        <w:rPr>
          <w:rFonts w:cs="Times New Roman" w:ascii="Times New Roman" w:hAnsi="Times New Roman"/>
          <w:strike/>
          <w:szCs w:val="24"/>
          <w:highlight w:val="yellow"/>
          <w:lang w:val="en-US"/>
        </w:rPr>
        <w:t>, M.D. Mechanism of the benzenediazonium tetra</w:t>
      </w:r>
      <w:r>
        <w:rPr>
          <w:rFonts w:cs="Times New Roman" w:ascii="Times New Roman" w:hAnsi="Times New Roman"/>
          <w:strike/>
          <w:szCs w:val="24"/>
          <w:highlight w:val="yellow"/>
        </w:rPr>
        <w:t>ﬂ</w:t>
      </w:r>
      <w:r>
        <w:rPr>
          <w:rFonts w:cs="Times New Roman" w:ascii="Times New Roman" w:hAnsi="Times New Roman"/>
          <w:strike/>
          <w:szCs w:val="24"/>
          <w:highlight w:val="yellow"/>
          <w:lang w:val="en-US"/>
        </w:rPr>
        <w:t>uoroborate thermolysis in the solid state. Thermochimica Acta, 2006, 444, 1-5</w:t>
      </w:r>
      <w:r>
        <w:rPr>
          <w:rFonts w:cs="Times New Roman" w:ascii="Times New Roman" w:hAnsi="Times New Roman"/>
          <w:strike/>
          <w:szCs w:val="24"/>
          <w:highlight w:val="yellow"/>
          <w:lang w:val="en-US"/>
        </w:rPr>
        <w:t>)</w:t>
      </w:r>
      <w:r>
        <w:rPr>
          <w:rFonts w:cs="Times New Roman" w:ascii="Times New Roman" w:hAnsi="Times New Roman"/>
          <w:szCs w:val="24"/>
          <w:lang w:val="en-US"/>
        </w:rPr>
        <w:t xml:space="preserve"> (referenced in the revised manuscript as [12]) made us to reconsider the conclusions regarding the nature of the endothermic peak at 58.7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We modified the passage describing the decomposition of 4-nitrobenzene diazonium tetrafluoroborate </w:t>
      </w:r>
      <w:r>
        <w:rPr>
          <w:rFonts w:cs="Times New Roman" w:ascii="Times New Roman" w:hAnsi="Times New Roman"/>
          <w:b/>
          <w:bCs/>
          <w:szCs w:val="24"/>
          <w:lang w:val="en-US"/>
        </w:rPr>
        <w:t>3</w:t>
      </w:r>
      <w:r>
        <w:rPr>
          <w:rFonts w:cs="Times New Roman" w:ascii="Times New Roman" w:hAnsi="Times New Roman"/>
          <w:szCs w:val="24"/>
          <w:lang w:val="en-US"/>
        </w:rPr>
        <w:t xml:space="preserve"> as follows:</w:t>
      </w:r>
    </w:p>
    <w:p>
      <w:pPr>
        <w:pStyle w:val="NoSpacing"/>
        <w:rPr>
          <w:rFonts w:ascii="Times New Roman" w:hAnsi="Times New Roman" w:cs="Times New Roman"/>
          <w:szCs w:val="24"/>
          <w:lang w:val="en-US"/>
        </w:rPr>
      </w:pPr>
      <w:r>
        <w:rPr>
          <w:rFonts w:cs="Times New Roman" w:ascii="Times New Roman" w:hAnsi="Times New Roman"/>
          <w:szCs w:val="24"/>
          <w:lang w:val="en-US"/>
        </w:rPr>
        <w:t>«It might seem that the loss of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at 58.7 ° C indicates that intermediate </w:t>
      </w:r>
      <w:r>
        <w:rPr>
          <w:rFonts w:cs="Times New Roman" w:ascii="Times New Roman" w:hAnsi="Times New Roman"/>
          <w:b/>
          <w:bCs/>
          <w:szCs w:val="24"/>
          <w:lang w:val="en-US"/>
        </w:rPr>
        <w:t>3a</w:t>
      </w:r>
      <w:r>
        <w:rPr>
          <w:rFonts w:cs="Times New Roman" w:ascii="Times New Roman" w:hAnsi="Times New Roman"/>
          <w:szCs w:val="24"/>
          <w:lang w:val="en-US"/>
        </w:rPr>
        <w:t xml:space="preserve"> undergoes decomposition at 146.5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w:t>
      </w:r>
      <w:commentRangeStart w:id="2"/>
      <w:r>
        <w:rPr>
          <w:rFonts w:cs="Times New Roman" w:ascii="Times New Roman" w:hAnsi="Times New Roman"/>
          <w:szCs w:val="24"/>
          <w:highlight w:val="yellow"/>
          <w:lang w:val="en-US"/>
        </w:rPr>
        <w:t>equation 1</w:t>
      </w:r>
      <w:r>
        <w:rPr>
          <w:rFonts w:cs="Times New Roman" w:ascii="Times New Roman" w:hAnsi="Times New Roman"/>
          <w:szCs w:val="24"/>
          <w:highlight w:val="yellow"/>
          <w:lang w:val="en-US"/>
        </w:rPr>
      </w:r>
      <w:commentRangeEnd w:id="2"/>
      <w:r>
        <w:commentReference w:id="2"/>
      </w:r>
      <w:r>
        <w:rPr>
          <w:rFonts w:cs="Times New Roman" w:ascii="Times New Roman" w:hAnsi="Times New Roman"/>
          <w:szCs w:val="24"/>
          <w:lang w:val="en-US"/>
        </w:rPr>
        <w:t>). However, upon thermal decomposition of PhN</w:t>
      </w:r>
      <w:r>
        <w:rPr>
          <w:rFonts w:cs="Times New Roman" w:ascii="Times New Roman" w:hAnsi="Times New Roman"/>
          <w:szCs w:val="24"/>
          <w:vertAlign w:val="subscript"/>
          <w:lang w:val="en-US"/>
        </w:rPr>
        <w:t>2</w:t>
      </w:r>
      <w:r>
        <w:rPr>
          <w:rFonts w:cs="Times New Roman" w:ascii="Times New Roman" w:hAnsi="Times New Roman"/>
          <w:szCs w:val="24"/>
          <w:vertAlign w:val="superscript"/>
          <w:lang w:val="en-US"/>
        </w:rPr>
        <w:t>+</w:t>
      </w:r>
      <w:r>
        <w:rPr>
          <w:rFonts w:cs="Times New Roman" w:ascii="Times New Roman" w:hAnsi="Times New Roman"/>
          <w:szCs w:val="24"/>
          <w:lang w:val="en-US"/>
        </w:rPr>
        <w:t>BF</w:t>
      </w:r>
      <w:r>
        <w:rPr>
          <w:rFonts w:cs="Times New Roman" w:ascii="Times New Roman" w:hAnsi="Times New Roman"/>
          <w:szCs w:val="24"/>
          <w:vertAlign w:val="subscript"/>
          <w:lang w:val="en-US"/>
        </w:rPr>
        <w:t>4</w:t>
      </w:r>
      <w:r>
        <w:rPr>
          <w:rFonts w:cs="Times New Roman" w:ascii="Times New Roman" w:hAnsi="Times New Roman"/>
          <w:szCs w:val="24"/>
          <w:vertAlign w:val="superscript"/>
          <w:lang w:val="en-US"/>
        </w:rPr>
        <w:t>-</w:t>
      </w:r>
      <w:r>
        <w:rPr>
          <w:rFonts w:cs="Times New Roman" w:ascii="Times New Roman" w:hAnsi="Times New Roman"/>
          <w:szCs w:val="24"/>
          <w:lang w:val="en-US"/>
        </w:rPr>
        <w:t xml:space="preserve">, a small endothermic peak at 63 ° C was also observed on the DSC/TGA curves. The appearance of this peak was explained by the removal of water bound to DS via hydrogen bonds. </w:t>
      </w:r>
      <w:r>
        <w:rPr>
          <w:rFonts w:cs="Times New Roman" w:ascii="Times New Roman" w:hAnsi="Times New Roman"/>
          <w:szCs w:val="24"/>
          <w:vertAlign w:val="superscript"/>
          <w:lang w:val="en-US"/>
        </w:rPr>
        <w:t>12</w:t>
      </w:r>
      <w:r>
        <w:rPr>
          <w:rFonts w:cs="Times New Roman" w:ascii="Times New Roman" w:hAnsi="Times New Roman"/>
          <w:szCs w:val="24"/>
          <w:lang w:val="en-US"/>
        </w:rPr>
        <w:t xml:space="preserve"> It cannot be applied to DS </w:t>
      </w:r>
      <w:r>
        <w:rPr>
          <w:rFonts w:cs="Times New Roman" w:ascii="Times New Roman" w:hAnsi="Times New Roman"/>
          <w:b/>
          <w:bCs/>
          <w:szCs w:val="24"/>
          <w:lang w:val="en-US"/>
        </w:rPr>
        <w:t>3</w:t>
      </w:r>
      <w:r>
        <w:rPr>
          <w:rFonts w:cs="Times New Roman" w:ascii="Times New Roman" w:hAnsi="Times New Roman"/>
          <w:szCs w:val="24"/>
          <w:lang w:val="en-US"/>
        </w:rPr>
        <w:t xml:space="preserve"> thought, as the weight loss of DS 3 at 58.7 °C corresponds to 5.2 mol of water per 1 mol of DS </w:t>
      </w:r>
      <w:r>
        <w:rPr>
          <w:rFonts w:cs="Times New Roman" w:ascii="Times New Roman" w:hAnsi="Times New Roman"/>
          <w:b/>
          <w:bCs/>
          <w:szCs w:val="24"/>
          <w:lang w:val="en-US"/>
        </w:rPr>
        <w:t>3</w:t>
      </w:r>
      <w:r>
        <w:rPr>
          <w:rFonts w:cs="Times New Roman" w:ascii="Times New Roman" w:hAnsi="Times New Roman"/>
          <w:szCs w:val="24"/>
          <w:lang w:val="en-US"/>
        </w:rPr>
        <w:t xml:space="preserve">. Should it be such a large amount of water, DS </w:t>
      </w:r>
      <w:r>
        <w:rPr>
          <w:rFonts w:cs="Times New Roman" w:ascii="Times New Roman" w:hAnsi="Times New Roman"/>
          <w:b/>
          <w:bCs/>
          <w:szCs w:val="24"/>
          <w:lang w:val="en-US"/>
        </w:rPr>
        <w:t>3</w:t>
      </w:r>
      <w:r>
        <w:rPr>
          <w:rFonts w:cs="Times New Roman" w:ascii="Times New Roman" w:hAnsi="Times New Roman"/>
          <w:szCs w:val="24"/>
          <w:lang w:val="en-US"/>
        </w:rPr>
        <w:t xml:space="preserve"> would have to be partially dissolved, but not crystalline. However, there are contradictions in explaining the cause of the endothermic peak appearance during the heating of DS </w:t>
      </w:r>
      <w:r>
        <w:rPr>
          <w:rFonts w:cs="Times New Roman" w:ascii="Times New Roman" w:hAnsi="Times New Roman"/>
          <w:b/>
          <w:bCs/>
          <w:szCs w:val="24"/>
          <w:lang w:val="en-US"/>
        </w:rPr>
        <w:t>3</w:t>
      </w:r>
      <w:r>
        <w:rPr>
          <w:rFonts w:cs="Times New Roman" w:ascii="Times New Roman" w:hAnsi="Times New Roman"/>
          <w:szCs w:val="24"/>
          <w:lang w:val="en-US"/>
        </w:rPr>
        <w:t xml:space="preserve"> and PhN</w:t>
      </w:r>
      <w:r>
        <w:rPr>
          <w:rFonts w:cs="Times New Roman" w:ascii="Times New Roman" w:hAnsi="Times New Roman"/>
          <w:szCs w:val="24"/>
          <w:vertAlign w:val="subscript"/>
          <w:lang w:val="en-US"/>
        </w:rPr>
        <w:t>2</w:t>
      </w:r>
      <w:r>
        <w:rPr>
          <w:rFonts w:cs="Times New Roman" w:ascii="Times New Roman" w:hAnsi="Times New Roman"/>
          <w:szCs w:val="24"/>
          <w:vertAlign w:val="superscript"/>
          <w:lang w:val="en-US"/>
        </w:rPr>
        <w:t>+</w:t>
      </w:r>
      <w:r>
        <w:rPr>
          <w:rFonts w:cs="Times New Roman" w:ascii="Times New Roman" w:hAnsi="Times New Roman"/>
          <w:szCs w:val="24"/>
          <w:lang w:val="en-US"/>
        </w:rPr>
        <w:t>BF</w:t>
      </w:r>
      <w:r>
        <w:rPr>
          <w:rFonts w:cs="Times New Roman" w:ascii="Times New Roman" w:hAnsi="Times New Roman"/>
          <w:szCs w:val="24"/>
          <w:vertAlign w:val="subscript"/>
          <w:lang w:val="en-US"/>
        </w:rPr>
        <w:t>4</w:t>
      </w:r>
      <w:r>
        <w:rPr>
          <w:rFonts w:cs="Times New Roman" w:ascii="Times New Roman" w:hAnsi="Times New Roman"/>
          <w:szCs w:val="24"/>
          <w:vertAlign w:val="superscript"/>
          <w:lang w:val="en-US"/>
        </w:rPr>
        <w:t>-</w:t>
      </w:r>
      <w:r>
        <w:rPr>
          <w:rFonts w:cs="Times New Roman" w:ascii="Times New Roman" w:hAnsi="Times New Roman"/>
          <w:szCs w:val="24"/>
          <w:lang w:val="en-US"/>
        </w:rPr>
        <w:t xml:space="preserve">. Obviously, this issue requires further special studies. Therefore, at present, we can propose </w:t>
      </w:r>
      <w:r>
        <w:rPr>
          <w:rFonts w:cs="Times New Roman" w:ascii="Times New Roman" w:hAnsi="Times New Roman"/>
          <w:szCs w:val="24"/>
          <w:highlight w:val="yellow"/>
          <w:lang w:val="en-US"/>
        </w:rPr>
        <w:t>Equation 1</w:t>
      </w:r>
      <w:r>
        <w:rPr>
          <w:rFonts w:cs="Times New Roman" w:ascii="Times New Roman" w:hAnsi="Times New Roman"/>
          <w:szCs w:val="24"/>
          <w:lang w:val="en-US"/>
        </w:rPr>
        <w:t xml:space="preserve"> only as a hypothesis, partially consistent with the results of quantum-chemical modeling of DS decomposition reactions (</w:t>
      </w:r>
      <w:r>
        <w:rPr>
          <w:rFonts w:cs="Times New Roman" w:ascii="Times New Roman" w:hAnsi="Times New Roman"/>
          <w:i/>
          <w:iCs/>
          <w:szCs w:val="24"/>
          <w:lang w:val="en-US"/>
        </w:rPr>
        <w:t>vide infra</w:t>
      </w:r>
      <w:r>
        <w:rPr>
          <w:rFonts w:cs="Times New Roman" w:ascii="Times New Roman" w:hAnsi="Times New Roman"/>
          <w:szCs w:val="24"/>
          <w:lang w:val="en-US"/>
        </w:rPr>
        <w:t>). »</w:t>
      </w:r>
    </w:p>
    <w:p>
      <w:pPr>
        <w:pStyle w:val="NoSpacing"/>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8 line 33, and figure 5: the small exothermic around 69C can be caused by the baseline issue, or crystallization from amorphous phase. It may not be a decomposition. need to double check this conclusion</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Authors’ reply: We did not interpret the exothermic peak around 69 °C in the manuscript. Due to the reviewer’s comment, we now better understand the possible reasons for the appearance of this peak. We added the explanation suggested by the reviewer (underlined) to the following passage: «The first one at 69.37 ° C is characterized by a small amount of heat released (24.47 J/g) and </w:t>
      </w:r>
      <w:r>
        <w:rPr>
          <w:rFonts w:cs="Times New Roman" w:ascii="Times New Roman" w:hAnsi="Times New Roman"/>
          <w:szCs w:val="24"/>
          <w:u w:val="single"/>
          <w:lang w:val="en-US"/>
        </w:rPr>
        <w:t>can be caused by the baseline issue, or crystallization from amorphous phase.</w:t>
      </w:r>
      <w:r>
        <w:rPr>
          <w:rFonts w:cs="Times New Roman" w:ascii="Times New Roman" w:hAnsi="Times New Roman"/>
          <w:szCs w:val="24"/>
          <w:lang w:val="en-US"/>
        </w:rPr>
        <w:t xml:space="preserve"> While for the second one, located at 146.6 ° C, the heat release of 323.0 J/g is observed». In addition, the reviewer's comment prompted us to correct the sentence on page 8, line 40, as follows: «In the case of DSs </w:t>
      </w:r>
      <w:r>
        <w:rPr>
          <w:rFonts w:cs="Times New Roman" w:ascii="Times New Roman" w:hAnsi="Times New Roman"/>
          <w:b/>
          <w:szCs w:val="24"/>
          <w:lang w:val="en-US"/>
        </w:rPr>
        <w:t>1a, 1b, 1d</w:t>
      </w:r>
      <w:r>
        <w:rPr>
          <w:rFonts w:cs="Times New Roman" w:ascii="Times New Roman" w:hAnsi="Times New Roman"/>
          <w:szCs w:val="24"/>
          <w:lang w:val="en-US"/>
        </w:rPr>
        <w:t xml:space="preserve"> the endothermic peaks are not accompanied by a weight loss and are probably associated with the rearrangement of the crystal lattice ». We also added the melting points of the diazonium salts tested to Table 1 for a better understanding of the discussed thermal effects.</w:t>
      </w:r>
    </w:p>
    <w:p>
      <w:pPr>
        <w:pStyle w:val="NoSpacing"/>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Fig 1 to 6, make different line styles (such as dash vs. solid) and add legends for them. It is difficult to tell which one is which on the current graph</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Figures 1-6 have been changed according to the reviewer’s suggestion.</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2, 4 and 5: unit of k (g/mol/c). What is “c”. based on equation 2, the unit of k should be reciprocal of unit of A0 and divided by unit of time. I don’t see the unit of time anywhere in the right side of equation 2 with this k unit.</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Unfortunately, we made a typo translating the article.</w:t>
      </w:r>
      <w:r>
        <w:rPr>
          <w:rFonts w:cs="Times New Roman" w:ascii="Times New Roman" w:hAnsi="Times New Roman"/>
          <w:i/>
          <w:szCs w:val="24"/>
          <w:lang w:val="en-US"/>
        </w:rPr>
        <w:t xml:space="preserve"> </w:t>
      </w:r>
      <w:r>
        <w:rPr>
          <w:rFonts w:cs="Times New Roman" w:ascii="Times New Roman" w:hAnsi="Times New Roman"/>
          <w:szCs w:val="24"/>
          <w:lang w:val="en-US"/>
        </w:rPr>
        <w:t xml:space="preserve">The reaction rate constants given in Tables 2, 4, and 5 are in g/mol/s units, where s stands for second. To clarify the issue, we expressed the kinetic equation (2) in terms of </w:t>
      </w:r>
      <w:r>
        <w:rPr>
          <w:rFonts w:cs="Times New Roman" w:ascii="Times New Roman" w:hAnsi="Times New Roman"/>
          <w:szCs w:val="24"/>
        </w:rPr>
        <w:t>α</w:t>
      </w:r>
      <w:r>
        <w:rPr>
          <w:rFonts w:cs="Times New Roman" w:ascii="Times New Roman" w:hAnsi="Times New Roman"/>
          <w:szCs w:val="24"/>
          <w:lang w:val="en-US"/>
        </w:rPr>
        <w:t xml:space="preserve"> conversion and the constant in </w:t>
      </w:r>
      <w:r>
        <w:rPr>
          <w:rFonts w:cs="Times New Roman" w:ascii="Times New Roman" w:hAnsi="Times New Roman"/>
          <w:i/>
          <w:iCs/>
          <w:szCs w:val="24"/>
          <w:lang w:val="en-US"/>
        </w:rPr>
        <w:t>s</w:t>
      </w:r>
      <w:r>
        <w:rPr>
          <w:rFonts w:cs="Times New Roman" w:ascii="Times New Roman" w:hAnsi="Times New Roman"/>
          <w:i/>
          <w:iCs/>
          <w:szCs w:val="24"/>
          <w:vertAlign w:val="superscript"/>
          <w:lang w:val="en-US"/>
        </w:rPr>
        <w:t>-1</w:t>
      </w:r>
      <w:r>
        <w:rPr>
          <w:rFonts w:cs="Times New Roman" w:ascii="Times New Roman" w:hAnsi="Times New Roman"/>
          <w:szCs w:val="24"/>
          <w:lang w:val="en-US"/>
        </w:rPr>
        <w:t xml:space="preserve"> units. We made corresponding adjustments in the revised manuscript.  </w:t>
      </w:r>
    </w:p>
    <w:p>
      <w:pPr>
        <w:pStyle w:val="NoSpacing"/>
        <w:rPr>
          <w:rFonts w:ascii="Times New Roman" w:hAnsi="Times New Roman" w:cs="Times New Roman"/>
          <w:szCs w:val="24"/>
        </w:rPr>
      </w:pPr>
      <w:r>
        <w:rPr>
          <w:rFonts w:cs="Times New Roman" w:ascii="Times New Roman" w:hAnsi="Times New Roman"/>
          <w:szCs w:val="24"/>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2, 3 and 8: ΔH, In this study, the initial purity of the tested samples (reactants) is unknown, and also the conversion of the decomposition reaction is unknown. The measured heat release from the tests (J/g) can’t be converted into kJ/mol unless those information is well defined</w:t>
      </w:r>
      <w:r>
        <w:rPr>
          <w:rFonts w:cs="Times New Roman" w:ascii="Times New Roman" w:hAnsi="Times New Roman"/>
          <w:szCs w:val="24"/>
          <w:lang w:val="en-US"/>
        </w:rPr>
        <w:t xml:space="preserve">. </w:t>
      </w:r>
    </w:p>
    <w:p>
      <w:pPr>
        <w:pStyle w:val="NoSpacing"/>
        <w:rPr>
          <w:lang w:val="en-US"/>
        </w:rPr>
      </w:pPr>
      <w:r>
        <w:rPr>
          <w:rFonts w:cs="Times New Roman" w:ascii="Times New Roman" w:hAnsi="Times New Roman"/>
          <w:szCs w:val="24"/>
          <w:lang w:val="en-US"/>
        </w:rPr>
        <w:t xml:space="preserve">Authors’ reply: The purity degree of the tested samples is given in our previous papers referenced in the manuscript [Organic Lett. 2010, 10, 3961; Eur.J.Org.Chem. </w:t>
      </w:r>
      <w:r>
        <w:rPr>
          <w:rFonts w:cs="Times New Roman" w:ascii="Times New Roman" w:hAnsi="Times New Roman"/>
          <w:szCs w:val="24"/>
          <w:highlight w:val="yellow"/>
          <w:lang w:val="en-US"/>
        </w:rPr>
        <w:t>2019, 2019</w:t>
      </w:r>
      <w:r>
        <w:rPr>
          <w:rFonts w:cs="Times New Roman" w:ascii="Times New Roman" w:hAnsi="Times New Roman"/>
          <w:szCs w:val="24"/>
          <w:lang w:val="en-US"/>
        </w:rPr>
        <w:t xml:space="preserve">]. The value of ΔH is calculated by integrating a curve approximating the experimental heat flux according to equations (2) and (4), over the time interval (0, </w:t>
      </w:r>
      <w:r>
        <w:rPr>
          <w:rFonts w:eastAsia="Liberation Serif" w:cs="Liberation Serif" w:ascii="Liberation Serif" w:hAnsi="Liberation Serif"/>
          <w:szCs w:val="24"/>
          <w:lang w:val="en-US"/>
        </w:rPr>
        <w:t>∞</w:t>
      </w:r>
      <w:r>
        <w:rPr>
          <w:rFonts w:cs="Times New Roman" w:ascii="Times New Roman" w:hAnsi="Times New Roman"/>
          <w:szCs w:val="24"/>
          <w:lang w:val="en-US"/>
        </w:rPr>
        <w: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15 line 38: table 3, instead of table 1???</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We agree with the reviewer’s comments. The necessary adjustments were made in the revised manuscript.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ΔH from the isothermal test since there is not much reactivity observed in days. how long time is these isothermal tests?</w:t>
      </w:r>
    </w:p>
    <w:p>
      <w:pPr>
        <w:pStyle w:val="NoSpacing"/>
        <w:rPr/>
      </w:pPr>
      <w:r>
        <w:rPr>
          <w:rFonts w:cs="Times New Roman" w:ascii="Times New Roman" w:hAnsi="Times New Roman"/>
          <w:szCs w:val="24"/>
          <w:lang w:val="en-US"/>
        </w:rPr>
        <w:t xml:space="preserve">Authors’ reply: We conducted all flow calorimetry experiments at temperatures significantly lower than the melting points. For a better understanding, we added the melting points to the Table 1 in the revised manuscript. The isothermal test was carried out until the heat flux decreased below 2 μW, which is less than 1% of the maximum heat flux and corresponds to the conversion degree </w:t>
      </w:r>
      <w:r>
        <w:rPr>
          <w:rFonts w:cs="Times New Roman" w:ascii="Times New Roman" w:hAnsi="Times New Roman"/>
          <w:szCs w:val="24"/>
        </w:rPr>
        <w:t>α</w:t>
      </w:r>
      <w:r>
        <w:rPr>
          <w:rFonts w:cs="Times New Roman" w:ascii="Times New Roman" w:hAnsi="Times New Roman"/>
          <w:szCs w:val="24"/>
          <w:lang w:val="en-US"/>
        </w:rPr>
        <w:t xml:space="preserve">&gt; 0.99. </w:t>
      </w:r>
      <w:commentRangeStart w:id="3"/>
      <w:r>
        <w:rPr>
          <w:rFonts w:cs="Times New Roman" w:ascii="Times New Roman" w:hAnsi="Times New Roman"/>
          <w:szCs w:val="24"/>
          <w:highlight w:val="yellow"/>
          <w:lang w:val="en-US"/>
        </w:rPr>
        <w:t>Time ranged from several hours to 50 days depending on temperature.</w:t>
      </w:r>
      <w:r>
        <w:rPr>
          <w:rFonts w:cs="Times New Roman" w:ascii="Times New Roman" w:hAnsi="Times New Roman"/>
          <w:szCs w:val="24"/>
          <w:lang w:val="en-US"/>
        </w:rPr>
        <w:t xml:space="preserve"> </w:t>
      </w:r>
      <w:r>
        <w:rPr>
          <w:rFonts w:cs="Times New Roman" w:ascii="Times New Roman" w:hAnsi="Times New Roman"/>
          <w:szCs w:val="24"/>
          <w:lang w:val="en-US"/>
        </w:rPr>
      </w:r>
      <w:commentRangeEnd w:id="3"/>
      <w:r>
        <w:commentReference w:id="3"/>
      </w:r>
      <w:r>
        <w:rPr>
          <w:rFonts w:cs="Times New Roman" w:ascii="Times New Roman" w:hAnsi="Times New Roman"/>
          <w:strike/>
          <w:szCs w:val="24"/>
          <w:lang w:val="en-US"/>
        </w:rPr>
        <w:t>We added the algorithm of the enthalpy calculation to the revised manuscript to the description of equations (2) and (4)</w:t>
      </w:r>
      <w:r>
        <w:rPr>
          <w:rFonts w:cs="Times New Roman" w:ascii="Times New Roman" w:hAnsi="Times New Roman"/>
          <w:strike w:val="false"/>
          <w:dstrike w:val="false"/>
          <w:szCs w:val="24"/>
          <w:lang w:val="en-US"/>
        </w:rPr>
        <w:t xml:space="preserve">. </w:t>
      </w:r>
      <w:r>
        <w:rPr>
          <w:rFonts w:cs="Times New Roman" w:ascii="Times New Roman" w:hAnsi="Times New Roman"/>
          <w:strike w:val="false"/>
          <w:dstrike w:val="false"/>
          <w:szCs w:val="24"/>
          <w:highlight w:val="green"/>
          <w:lang w:val="en-US"/>
        </w:rPr>
        <w:t>Энтальпия реакции рассчитывается на основе интегрирования кривой аппроксимирующей тепловой поток (уравнение 6) на интервале времени (0; Inf); Соответствующее пояснение мы даем в тексте.</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16 line 39 and Page 17 line 3, the right side of equation 2 can be simplified to k*[A]*[C0]. To me, this is not autocatalytic equation since the rate is not dependent on [C]. Need more explanation or reference on this.</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We are grateful to the reviewer for raising this issue. We corrected the equation</w:t>
      </w:r>
    </w:p>
    <w:p>
      <w:pPr>
        <w:pStyle w:val="NoSpacing"/>
        <w:rPr/>
      </w:pPr>
      <w:r>
        <w:rPr>
          <w:rFonts w:cs="Times New Roman" w:ascii="Times New Roman" w:hAnsi="Times New Roman"/>
          <w:szCs w:val="24"/>
          <w:lang w:val="en-US"/>
        </w:rPr>
        <w:t xml:space="preserve"> </w:t>
      </w:r>
      <w:r>
        <w:rPr>
          <w:rFonts w:cs="Times New Roman" w:ascii="Times New Roman" w:hAnsi="Times New Roman"/>
          <w:szCs w:val="24"/>
          <w:lang w:val="en-US"/>
        </w:rPr>
        <w:t xml:space="preserve">(2) by changing </w:t>
      </w:r>
      <w:r>
        <w:rPr>
          <w:rFonts w:cs="Times New Roman" w:ascii="Times New Roman" w:hAnsi="Times New Roman"/>
          <w:szCs w:val="24"/>
        </w:rPr>
        <w:t>С</w:t>
      </w:r>
      <w:r>
        <w:rPr>
          <w:rFonts w:cs="Times New Roman" w:ascii="Times New Roman" w:hAnsi="Times New Roman"/>
          <w:szCs w:val="24"/>
          <w:vertAlign w:val="subscript"/>
          <w:lang w:val="en-US"/>
        </w:rPr>
        <w:t>0</w:t>
      </w:r>
      <w:r>
        <w:rPr>
          <w:rFonts w:cs="Times New Roman" w:ascii="Times New Roman" w:hAnsi="Times New Roman"/>
          <w:szCs w:val="24"/>
          <w:lang w:val="en-US"/>
        </w:rPr>
        <w:t xml:space="preserve"> to C. To make it clear, we expressed the kinetic equation (2) in terms of </w:t>
      </w:r>
      <w:r>
        <w:rPr>
          <w:rFonts w:cs="Times New Roman" w:ascii="Times New Roman" w:hAnsi="Times New Roman"/>
          <w:szCs w:val="24"/>
        </w:rPr>
        <w:t>α</w:t>
      </w:r>
      <w:r>
        <w:rPr>
          <w:rFonts w:cs="Times New Roman" w:ascii="Times New Roman" w:hAnsi="Times New Roman"/>
          <w:szCs w:val="24"/>
          <w:lang w:val="en-US"/>
        </w:rPr>
        <w:t xml:space="preserve"> conversion and gave more detailed explanation with the reference to a paper on modeling the kinetics of solid-phase reactions </w:t>
      </w:r>
      <w:r>
        <w:rPr>
          <w:rFonts w:cs="Times New Roman" w:ascii="Times New Roman" w:hAnsi="Times New Roman"/>
          <w:szCs w:val="24"/>
          <w:lang w:val="en-US"/>
        </w:rPr>
        <w:t>(</w:t>
      </w:r>
      <w:r>
        <w:rPr>
          <w:rFonts w:cs="Times New Roman" w:ascii="Times New Roman" w:hAnsi="Times New Roman"/>
          <w:szCs w:val="24"/>
          <w:highlight w:val="yellow"/>
          <w:lang w:val="en-US"/>
        </w:rPr>
        <w:t>Cai, J.; Liu, R. Kinetic Analysis of Solid-State Reactions: A General Empirical Kinetic Model. Industrial &amp; Engineering Chemistry Research 2009, 48 (6), 3249–3253. https://doi.org/10.1021/ie8018615</w:t>
      </w:r>
      <w:r>
        <w:rPr>
          <w:rFonts w:cs="Times New Roman" w:ascii="Times New Roman" w:hAnsi="Times New Roman"/>
          <w:szCs w:val="24"/>
          <w:lang w:val="en-US"/>
        </w:rPr>
        <w:t>.)</w:t>
      </w:r>
      <w:r>
        <w:rPr>
          <w:rFonts w:cs="Times New Roman" w:ascii="Times New Roman" w:hAnsi="Times New Roman"/>
          <w:szCs w:val="24"/>
          <w:lang w:val="en-US"/>
        </w:rPr>
        <w:t>.</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lang w:val="en-US"/>
        </w:rPr>
      </w:pPr>
      <w:r>
        <w:rPr>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17 line 16, need better define the half-life. To me, the authors took the peak time as half-life. However, most of the times, peaks don’t follow symmetric shape</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Authors’ reply: The half-life corresponds to the conversion degree </w:t>
      </w:r>
      <w:r>
        <w:rPr>
          <w:rFonts w:cs="Times New Roman" w:ascii="MathJax Math" w:hAnsi="MathJax Math"/>
          <w:iCs/>
          <w:szCs w:val="24"/>
          <w:lang w:val="en-US"/>
        </w:rPr>
        <w:t xml:space="preserve">of </w:t>
      </w:r>
      <w:r>
        <w:rPr>
          <w:rFonts w:cs="Times New Roman" w:ascii="Times New Roman" w:hAnsi="Times New Roman"/>
          <w:szCs w:val="24"/>
          <w:lang w:val="en-US"/>
        </w:rPr>
        <w:t xml:space="preserve">0.5. We gave the corresponding definition in the description of the equations (2)-(4): « The half-life corresponds to the conversion degree </w:t>
      </w:r>
      <w:r>
        <w:rPr>
          <w:rFonts w:cs="Times New Roman" w:ascii="MathJax Math" w:hAnsi="MathJax Math"/>
          <w:iCs/>
          <w:szCs w:val="24"/>
          <w:lang w:val="en-US"/>
        </w:rPr>
        <w:t xml:space="preserve">of </w:t>
      </w:r>
      <w:r>
        <w:rPr>
          <w:rFonts w:cs="Times New Roman" w:ascii="Times New Roman" w:hAnsi="Times New Roman"/>
          <w:szCs w:val="24"/>
          <w:lang w:val="en-US"/>
        </w:rPr>
        <w:t>0.5. Due to the symmetry of the approximating kinetic curve 4, the half-life coincides with the maximum heat flux (in the case of more complex kinetics, this rule is not fulfilled).»</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4, Pmax unit: mW/g?</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Table 4 showed the unnormalized values of the initial heat flux (P</w:t>
      </w:r>
      <w:r>
        <w:rPr>
          <w:rFonts w:cs="Times New Roman" w:ascii="Times New Roman" w:hAnsi="Times New Roman"/>
          <w:szCs w:val="24"/>
          <w:vertAlign w:val="subscript"/>
          <w:lang w:val="en-US"/>
        </w:rPr>
        <w:t>0</w:t>
      </w:r>
      <w:r>
        <w:rPr>
          <w:rFonts w:cs="Times New Roman" w:ascii="Times New Roman" w:hAnsi="Times New Roman"/>
          <w:szCs w:val="24"/>
          <w:lang w:val="en-US"/>
        </w:rPr>
        <w:t>) in μW. We reprocessed the data and presented the values in mW/g units as was suggested by the reviewer.</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Figure 8, Pmax of 1c is around 120mW/g but Line 10 mentions 101.5 mW/g</w:t>
      </w:r>
      <w:r>
        <w:rPr>
          <w:rFonts w:cs="Times New Roman" w:ascii="Times New Roman" w:hAnsi="Times New Roman"/>
          <w:szCs w:val="24"/>
          <w:lang w:val="en-US"/>
        </w:rPr>
        <w:t xml:space="preserve"> </w:t>
      </w:r>
    </w:p>
    <w:p>
      <w:pPr>
        <w:pStyle w:val="NoSpacing"/>
        <w:rPr>
          <w:lang w:val="en-US"/>
        </w:rPr>
      </w:pPr>
      <w:r>
        <w:rPr>
          <w:rFonts w:cs="Times New Roman" w:ascii="Times New Roman" w:hAnsi="Times New Roman"/>
          <w:szCs w:val="24"/>
          <w:lang w:val="en-US"/>
        </w:rPr>
        <w:t>Authors’ reply: Indeed, the experimental P</w:t>
      </w:r>
      <w:r>
        <w:rPr>
          <w:rFonts w:cs="Times New Roman" w:ascii="Times New Roman" w:hAnsi="Times New Roman"/>
          <w:szCs w:val="24"/>
          <w:vertAlign w:val="subscript"/>
          <w:lang w:val="en-US"/>
        </w:rPr>
        <w:t>max</w:t>
      </w:r>
      <w:r>
        <w:rPr>
          <w:rFonts w:cs="Times New Roman" w:ascii="Times New Roman" w:hAnsi="Times New Roman"/>
          <w:szCs w:val="24"/>
          <w:lang w:val="en-US"/>
        </w:rPr>
        <w:t xml:space="preserve"> value for diazonium salt </w:t>
      </w:r>
      <w:r>
        <w:rPr>
          <w:rFonts w:cs="Times New Roman" w:ascii="Times New Roman" w:hAnsi="Times New Roman"/>
          <w:b/>
          <w:bCs/>
          <w:szCs w:val="24"/>
          <w:lang w:val="en-US"/>
        </w:rPr>
        <w:t>1</w:t>
      </w:r>
      <w:r>
        <w:rPr>
          <w:rFonts w:cs="Times New Roman" w:ascii="Times New Roman" w:hAnsi="Times New Roman"/>
          <w:b/>
          <w:bCs/>
          <w:szCs w:val="24"/>
        </w:rPr>
        <w:t>с</w:t>
      </w:r>
      <w:r>
        <w:rPr>
          <w:rFonts w:cs="Times New Roman" w:ascii="Times New Roman" w:hAnsi="Times New Roman"/>
          <w:szCs w:val="24"/>
          <w:lang w:val="en-US"/>
        </w:rPr>
        <w:t xml:space="preserve"> is 119.5 mW/g. We corrected the misprint and carefully checked all the data in Tables 2, 3, 4, and 5.</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19 line53 5h vs. page 19 line5 4hr???</w:t>
      </w:r>
      <w:r>
        <w:rPr>
          <w:rFonts w:cs="Times New Roman" w:ascii="Times New Roman" w:hAnsi="Times New Roman"/>
          <w:szCs w:val="24"/>
          <w:lang w:val="en-US"/>
        </w:rPr>
        <w:t xml:space="preserve"> </w:t>
      </w:r>
    </w:p>
    <w:p>
      <w:pPr>
        <w:pStyle w:val="NoSpacing"/>
        <w:rPr>
          <w:lang w:val="en-US"/>
        </w:rPr>
      </w:pPr>
      <w:r>
        <w:rPr>
          <w:rFonts w:cs="Times New Roman" w:ascii="Times New Roman" w:hAnsi="Times New Roman"/>
          <w:szCs w:val="24"/>
          <w:lang w:val="en-US"/>
        </w:rPr>
        <w:t xml:space="preserve">Authors’ reply: The experimental value is 4 h. We corrected the misprint and carefully checked the text of the manuscript. </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iCs/>
          <w:szCs w:val="24"/>
          <w:lang w:val="en-US"/>
        </w:rPr>
        <w:t>Page 20 line 43: define Arrhenius equation or add a reference for it</w:t>
      </w:r>
      <w:r>
        <w:rPr>
          <w:rFonts w:cs="Times New Roman" w:ascii="Times New Roman" w:hAnsi="Times New Roman"/>
          <w:szCs w:val="24"/>
          <w:lang w:val="en-US"/>
        </w:rPr>
        <w:t xml:space="preserve"> </w:t>
      </w:r>
    </w:p>
    <w:p>
      <w:pPr>
        <w:pStyle w:val="NoSpacing"/>
        <w:rPr>
          <w:rFonts w:ascii="Times New Roman" w:hAnsi="Times New Roman" w:cs="Times New Roman"/>
          <w:szCs w:val="24"/>
          <w:lang w:val="en-US"/>
        </w:rPr>
      </w:pPr>
      <w:r>
        <w:rPr>
          <w:rFonts w:cs="Times New Roman" w:ascii="Times New Roman" w:hAnsi="Times New Roman"/>
          <w:szCs w:val="24"/>
          <w:lang w:val="en-US"/>
        </w:rPr>
        <w:t>Authors’ reply: We added the Arrhenius equation (5) to the revised manuscript and showed how it is related to the kinetic equation (2).</w:t>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rFonts w:ascii="Times New Roman" w:hAnsi="Times New Roman" w:cs="Times New Roman"/>
          <w:szCs w:val="24"/>
          <w:lang w:val="en-US"/>
        </w:rPr>
      </w:pPr>
      <w:commentRangeStart w:id="4"/>
      <w:r>
        <w:rPr>
          <w:rFonts w:cs="Times New Roman" w:ascii="Times New Roman" w:hAnsi="Times New Roman"/>
          <w:szCs w:val="24"/>
          <w:highlight w:val="yellow"/>
          <w:lang w:val="en-US"/>
        </w:rPr>
        <w:t>Reviewer 4 raised the following issue: Page 30 line 49: DFT result is more for gas phase reactions, while the measurement result is for solid phase. Any reference for such comparison used in this paper or address such difference?</w:t>
      </w:r>
      <w:r>
        <w:rPr>
          <w:rFonts w:cs="Times New Roman" w:ascii="Times New Roman" w:hAnsi="Times New Roman"/>
          <w:szCs w:val="24"/>
          <w:lang w:val="en-US"/>
        </w:rPr>
        <w:t xml:space="preserve">     </w:t>
      </w:r>
      <w:commentRangeEnd w:id="4"/>
      <w:r>
        <w:commentReference w:id="4"/>
      </w:r>
      <w:r>
        <w:rPr>
          <w:rFonts w:cs="Times New Roman" w:ascii="Times New Roman" w:hAnsi="Times New Roman"/>
          <w:szCs w:val="24"/>
          <w:lang w:val="en-US"/>
        </w:rPr>
      </w:r>
    </w:p>
    <w:p>
      <w:pPr>
        <w:pStyle w:val="NoSpacing"/>
        <w:rPr>
          <w:rFonts w:ascii="Times New Roman" w:hAnsi="Times New Roman" w:cs="Times New Roman"/>
          <w:szCs w:val="24"/>
          <w:lang w:val="en-US"/>
        </w:rPr>
      </w:pPr>
      <w:r>
        <w:rPr>
          <w:rFonts w:cs="Times New Roman" w:ascii="Times New Roman" w:hAnsi="Times New Roman"/>
          <w:szCs w:val="24"/>
          <w:lang w:val="en-US"/>
        </w:rPr>
      </w:r>
    </w:p>
    <w:p>
      <w:pPr>
        <w:pStyle w:val="NoSpacing"/>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Ксения Станкевич" w:date="2019-08-28T18:23:00Z" w:initials="КС">
    <w:p>
      <w:r>
        <w:rPr>
          <w:rFonts w:ascii="Liberation Serif" w:hAnsi="Liberation Serif" w:eastAsia="DejaVu Sans" w:cs="DejaVu Sans"/>
          <w:lang w:val="en-US" w:eastAsia="en-US" w:bidi="en-US"/>
        </w:rPr>
        <w:t>У этой статьи есть выходные данные</w:t>
      </w:r>
    </w:p>
  </w:comment>
  <w:comment w:id="1" w:author="Ксения Станкевич" w:date="2019-08-28T18:24:00Z" w:initials="КС">
    <w:p>
      <w:r>
        <w:rPr>
          <w:rFonts w:ascii="Liberation Serif" w:hAnsi="Liberation Serif" w:eastAsia="DejaVu Sans" w:cs="DejaVu Sans"/>
          <w:lang w:val="en-US" w:eastAsia="en-US" w:bidi="en-US"/>
        </w:rPr>
        <w:t>Стоит все ссылки оформить одинаково</w:t>
      </w:r>
    </w:p>
  </w:comment>
  <w:comment w:id="2" w:author="Ксения Станкевич" w:date="2019-08-28T18:24:00Z" w:initials="КС">
    <w:p>
      <w:r>
        <w:rPr>
          <w:rFonts w:ascii="Liberation Serif" w:hAnsi="Liberation Serif" w:eastAsia="DejaVu Sans" w:cs="DejaVu Sans"/>
          <w:lang w:val="en-US" w:eastAsia="en-US" w:bidi="en-US"/>
        </w:rPr>
        <w:t>Нужно посмотреть, есть ли для equation сокращение в статье</w:t>
      </w:r>
    </w:p>
  </w:comment>
  <w:comment w:id="3" w:author="Ксения Станкевич" w:date="2019-08-28T18:25:00Z" w:initials="КС">
    <w:p>
      <w:r>
        <w:rPr>
          <w:rFonts w:ascii="Liberation Serif" w:hAnsi="Liberation Serif" w:eastAsia="DejaVu Sans" w:cs="DejaVu Sans"/>
          <w:lang w:val="en-US" w:eastAsia="en-US" w:bidi="en-US"/>
        </w:rPr>
        <w:t>К чему относится это предложение я не очень поняла</w:t>
      </w:r>
    </w:p>
  </w:comment>
  <w:comment w:id="4" w:author="Ксения Станкевич" w:date="2019-08-28T18:25:00Z" w:initials="КС">
    <w:p>
      <w:r>
        <w:rPr>
          <w:rFonts w:ascii="Liberation Serif" w:hAnsi="Liberation Serif" w:eastAsia="DejaVu Sans" w:cs="DejaVu Sans"/>
          <w:lang w:val="en-US" w:eastAsia="en-US" w:bidi="en-US"/>
        </w:rPr>
        <w:t>Остался вопрос без ответа. Вы хотите на него ответить также как одному из предыдущих рецензентов?</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MathJax Math">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73c6"/>
    <w:pPr>
      <w:widowControl/>
      <w:bidi w:val="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Интернет-ссылка"/>
    <w:rPr>
      <w:color w:val="000080"/>
      <w:u w:val="single"/>
    </w:rPr>
  </w:style>
  <w:style w:type="character" w:styleId="ListLabel49" w:customStyle="1">
    <w:name w:val="ListLabel 49"/>
    <w:qFormat/>
    <w:rPr>
      <w:b w:val="false"/>
      <w:bCs w:val="false"/>
      <w:color w:val="auto"/>
      <w:highlight w:val="yellow"/>
    </w:rPr>
  </w:style>
  <w:style w:type="character" w:styleId="ListLabel50" w:customStyle="1">
    <w:name w:val="ListLabel 50"/>
    <w:qFormat/>
    <w:rPr>
      <w:rFonts w:ascii="Times New Roman" w:hAnsi="Times New Roman" w:cs="Times New Roman"/>
      <w:b w:val="false"/>
      <w:bCs w:val="false"/>
      <w:color w:val="auto"/>
      <w:sz w:val="24"/>
      <w:szCs w:val="24"/>
    </w:rPr>
  </w:style>
  <w:style w:type="character" w:styleId="Annotationreference">
    <w:name w:val="annotation reference"/>
    <w:basedOn w:val="DefaultParagraphFont"/>
    <w:uiPriority w:val="99"/>
    <w:semiHidden/>
    <w:unhideWhenUsed/>
    <w:qFormat/>
    <w:rsid w:val="00e76a35"/>
    <w:rPr>
      <w:sz w:val="16"/>
      <w:szCs w:val="16"/>
    </w:rPr>
  </w:style>
  <w:style w:type="character" w:styleId="Style15" w:customStyle="1">
    <w:name w:val="Текст примечания Знак"/>
    <w:basedOn w:val="DefaultParagraphFont"/>
    <w:link w:val="aa"/>
    <w:uiPriority w:val="99"/>
    <w:semiHidden/>
    <w:qFormat/>
    <w:rsid w:val="00e76a35"/>
    <w:rPr>
      <w:rFonts w:ascii="Times New Roman" w:hAnsi="Times New Roman" w:eastAsia="Times New Roman" w:cs="Times New Roman"/>
      <w:szCs w:val="20"/>
      <w:lang w:eastAsia="ru-RU"/>
    </w:rPr>
  </w:style>
  <w:style w:type="character" w:styleId="Style16" w:customStyle="1">
    <w:name w:val="Тема примечания Знак"/>
    <w:basedOn w:val="Style15"/>
    <w:link w:val="ac"/>
    <w:uiPriority w:val="99"/>
    <w:semiHidden/>
    <w:qFormat/>
    <w:rsid w:val="00e76a35"/>
    <w:rPr>
      <w:rFonts w:ascii="Times New Roman" w:hAnsi="Times New Roman" w:eastAsia="Times New Roman" w:cs="Times New Roman"/>
      <w:b/>
      <w:bCs/>
      <w:szCs w:val="20"/>
      <w:lang w:eastAsia="ru-RU"/>
    </w:rPr>
  </w:style>
  <w:style w:type="character" w:styleId="Style17" w:customStyle="1">
    <w:name w:val="Текст выноски Знак"/>
    <w:basedOn w:val="DefaultParagraphFont"/>
    <w:link w:val="ae"/>
    <w:uiPriority w:val="99"/>
    <w:semiHidden/>
    <w:qFormat/>
    <w:rsid w:val="00e76a35"/>
    <w:rPr>
      <w:rFonts w:ascii="Segoe UI" w:hAnsi="Segoe UI" w:eastAsia="Times New Roman" w:cs="Segoe UI"/>
      <w:sz w:val="18"/>
      <w:szCs w:val="18"/>
      <w:lang w:eastAsia="ru-RU"/>
    </w:rPr>
  </w:style>
  <w:style w:type="character" w:styleId="ListLabel51">
    <w:name w:val="ListLabel 51"/>
    <w:qFormat/>
    <w:rPr>
      <w:rFonts w:ascii="Times New Roman" w:hAnsi="Times New Roman" w:cs="Times New Roman"/>
      <w:color w:val="auto"/>
      <w:szCs w:val="24"/>
      <w:highlight w:val="yellow"/>
      <w:lang w:val="en-US"/>
    </w:rPr>
  </w:style>
  <w:style w:type="character" w:styleId="ListLabel52">
    <w:name w:val="ListLabel 52"/>
    <w:qFormat/>
    <w:rPr>
      <w:rFonts w:ascii="Times New Roman" w:hAnsi="Times New Roman" w:cs="Times New Roman"/>
      <w:color w:val="auto"/>
      <w:szCs w:val="24"/>
      <w:highlight w:val="yellow"/>
      <w:lang w:val="en-US"/>
    </w:rPr>
  </w:style>
  <w:style w:type="paragraph" w:styleId="Style18">
    <w:name w:val="Заголовок"/>
    <w:basedOn w:val="Normal"/>
    <w:next w:val="Style19"/>
    <w:qFormat/>
    <w:pPr>
      <w:keepNext w:val="true"/>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next w:val="Style19"/>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rPr>
  </w:style>
  <w:style w:type="paragraph" w:styleId="Indexheading">
    <w:name w:val="index heading"/>
    <w:basedOn w:val="Normal"/>
    <w:qFormat/>
    <w:pPr>
      <w:suppressLineNumbers/>
    </w:pPr>
    <w:rPr>
      <w:rFonts w:cs="FreeSans"/>
    </w:rPr>
  </w:style>
  <w:style w:type="paragraph" w:styleId="NoSpacing">
    <w:name w:val="No Spacing"/>
    <w:uiPriority w:val="1"/>
    <w:qFormat/>
    <w:rsid w:val="00ff61ef"/>
    <w:pPr>
      <w:widowControl/>
      <w:bidi w:val="0"/>
      <w:jc w:val="left"/>
    </w:pPr>
    <w:rPr>
      <w:rFonts w:ascii="Calibri" w:hAnsi="Calibri" w:eastAsia="Calibri" w:cs="" w:asciiTheme="minorHAnsi" w:cstheme="minorBidi" w:eastAsiaTheme="minorHAnsi" w:hAnsiTheme="minorHAnsi"/>
      <w:color w:val="auto"/>
      <w:kern w:val="0"/>
      <w:sz w:val="24"/>
      <w:szCs w:val="22"/>
      <w:lang w:val="ru-RU" w:eastAsia="en-US" w:bidi="ar-SA"/>
    </w:rPr>
  </w:style>
  <w:style w:type="paragraph" w:styleId="Annotationtext">
    <w:name w:val="annotation text"/>
    <w:basedOn w:val="Normal"/>
    <w:link w:val="ab"/>
    <w:uiPriority w:val="99"/>
    <w:semiHidden/>
    <w:unhideWhenUsed/>
    <w:qFormat/>
    <w:rsid w:val="00e76a35"/>
    <w:pPr/>
    <w:rPr>
      <w:sz w:val="20"/>
      <w:szCs w:val="20"/>
    </w:rPr>
  </w:style>
  <w:style w:type="paragraph" w:styleId="Annotationsubject">
    <w:name w:val="annotation subject"/>
    <w:basedOn w:val="Annotationtext"/>
    <w:next w:val="Annotationtext"/>
    <w:link w:val="ad"/>
    <w:uiPriority w:val="99"/>
    <w:semiHidden/>
    <w:unhideWhenUsed/>
    <w:qFormat/>
    <w:rsid w:val="00e76a35"/>
    <w:pPr/>
    <w:rPr>
      <w:b/>
      <w:bCs/>
    </w:rPr>
  </w:style>
  <w:style w:type="paragraph" w:styleId="BalloonText">
    <w:name w:val="Balloon Text"/>
    <w:basedOn w:val="Normal"/>
    <w:link w:val="af"/>
    <w:uiPriority w:val="99"/>
    <w:semiHidden/>
    <w:unhideWhenUsed/>
    <w:qFormat/>
    <w:rsid w:val="00e76a35"/>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5011-4412-400E-AD38-86FCFA27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Application>LibreOffice/6.1.5.2$Linux_X86_64 LibreOffice_project/10$Build-2</Application>
  <Pages>5</Pages>
  <Words>2748</Words>
  <Characters>14242</Characters>
  <CharactersWithSpaces>16969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2019-08-22T04:27:00Z</dcterms:created>
  <dc:creator>Viktor D. Filimonov</dc:creator>
  <dc:description/>
  <dc:language>ru-RU</dc:language>
  <cp:lastModifiedBy/>
  <dcterms:modified xsi:type="dcterms:W3CDTF">2019-08-30T13:50:17Z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