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jc w:val="both"/>
        <w:rPr>
          <w:lang w:val="en-GB"/>
        </w:rPr>
      </w:pPr>
      <w:r>
        <w:rPr>
          <w:lang w:val="en-GB"/>
        </w:rPr>
        <w:t>Dear Dr. Angela L. A. Puchlopek-Dermenci,</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jc w:val="both"/>
        <w:rPr>
          <w:lang w:val="en-GB"/>
        </w:rPr>
      </w:pPr>
      <w:r>
        <w:rPr>
          <w:lang w:val="en-GB"/>
        </w:rPr>
      </w:r>
    </w:p>
    <w:p>
      <w:pPr>
        <w:pStyle w:val="Normal"/>
        <w:spacing w:lineRule="auto" w:line="360"/>
        <w:jc w:val="both"/>
        <w:rPr>
          <w:lang w:val="en-GB"/>
        </w:rPr>
      </w:pPr>
      <w:r>
        <w:rPr>
          <w:lang w:val="en-GB"/>
        </w:rPr>
        <w:t>We appreciate that you gave us a chance to improve our manuscript. We have thoroughly considered the reviewer’s suggestions and comments and revised the text accordingly. The changes within the manuscript are highlighted in green.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both"/>
        <w:rPr>
          <w:lang w:val="en-GB"/>
        </w:rPr>
      </w:pPr>
      <w:r>
        <w:rPr>
          <w:lang w:val="en-GB"/>
        </w:rPr>
        <w:t xml:space="preserve">Below, we provide detailed point-by-point response to all reviewers’ comments.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both"/>
        <w:rPr>
          <w:lang w:val="en-GB"/>
        </w:rPr>
      </w:pPr>
      <w:r>
        <w:rPr>
          <w:lang w:val="en-GB"/>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both"/>
        <w:rPr>
          <w:lang w:val="en-GB"/>
        </w:rPr>
      </w:pPr>
      <w:r>
        <w:rPr>
          <w:lang w:val="en-GB"/>
        </w:rPr>
        <w:t>Sincerely yours,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both"/>
        <w:rPr>
          <w:lang w:val="en-GB"/>
        </w:rPr>
      </w:pPr>
      <w:r>
        <w:rPr>
          <w:lang w:val="en-GB"/>
        </w:rPr>
        <w:t xml:space="preserve">On behalf of all authors,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both"/>
        <w:rPr>
          <w:lang w:val="en-GB"/>
        </w:rPr>
      </w:pPr>
      <w:r>
        <w:rPr>
          <w:lang w:val="en-GB"/>
        </w:rPr>
        <w:t>Prof. Dr. Victor Filimonov (Corresponding Author)</w:t>
      </w:r>
    </w:p>
    <w:p>
      <w:pPr>
        <w:pStyle w:val="Normal"/>
        <w:jc w:val="both"/>
        <w:rPr>
          <w:b/>
          <w:b/>
          <w:u w:val="single"/>
        </w:rPr>
      </w:pPr>
      <w:r>
        <w:rPr>
          <w:b/>
          <w:u w:val="single"/>
        </w:rPr>
      </w:r>
    </w:p>
    <w:p>
      <w:pPr>
        <w:pStyle w:val="Normal"/>
        <w:jc w:val="both"/>
        <w:rPr>
          <w:b/>
          <w:b/>
          <w:u w:val="single"/>
          <w:lang w:val="en-US"/>
        </w:rPr>
      </w:pPr>
      <w:r>
        <w:rPr>
          <w:b/>
          <w:u w:val="single"/>
          <w:lang w:val="en-US"/>
        </w:rPr>
      </w:r>
    </w:p>
    <w:p>
      <w:pPr>
        <w:pStyle w:val="Normal"/>
        <w:jc w:val="both"/>
        <w:rPr>
          <w:b/>
          <w:b/>
          <w:u w:val="single"/>
          <w:lang w:val="en-US"/>
        </w:rPr>
      </w:pPr>
      <w:r>
        <w:rPr>
          <w:b/>
          <w:u w:val="single"/>
          <w:lang w:val="en-US"/>
        </w:rPr>
      </w:r>
      <w:r>
        <w:br w:type="page"/>
      </w:r>
    </w:p>
    <w:p>
      <w:pPr>
        <w:pStyle w:val="Normal"/>
        <w:jc w:val="center"/>
        <w:rPr>
          <w:b/>
          <w:b/>
          <w:u w:val="single"/>
          <w:lang w:val="en-US"/>
        </w:rPr>
      </w:pPr>
      <w:r>
        <w:rPr>
          <w:b/>
          <w:u w:val="single"/>
          <w:lang w:val="en-US"/>
        </w:rPr>
        <w:t>Answers to the Reviewers by the Authors</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b/>
          <w:b/>
          <w:szCs w:val="24"/>
          <w:lang w:val="en-US"/>
        </w:rPr>
      </w:pPr>
      <w:r>
        <w:rPr>
          <w:rFonts w:cs="Times New Roman" w:ascii="Times New Roman" w:hAnsi="Times New Roman"/>
          <w:b/>
          <w:szCs w:val="24"/>
          <w:lang w:val="en-US"/>
        </w:rPr>
        <w:t>Reviewer 2</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bookmarkStart w:id="0" w:name="_GoBack"/>
      <w:bookmarkStart w:id="1" w:name="_GoBack"/>
      <w:bookmarkEnd w:id="1"/>
    </w:p>
    <w:p>
      <w:pPr>
        <w:pStyle w:val="NoSpacing"/>
        <w:jc w:val="both"/>
        <w:rPr>
          <w:rFonts w:ascii="Times New Roman" w:hAnsi="Times New Roman" w:cs="Times New Roman"/>
          <w:szCs w:val="24"/>
          <w:lang w:val="en-US"/>
        </w:rPr>
      </w:pPr>
      <w:r>
        <w:rPr>
          <w:rFonts w:ascii="Times New Roman" w:hAnsi="Times New Roman"/>
          <w:szCs w:val="24"/>
          <w:lang w:val="en-US"/>
        </w:rPr>
        <w:t>Reviewer 2 raised the following issue:</w:t>
      </w:r>
      <w:r>
        <w:rPr>
          <w:rFonts w:ascii="Times New Roman" w:hAnsi="Times New Roman"/>
          <w:i/>
          <w:szCs w:val="24"/>
          <w:lang w:val="en-US"/>
        </w:rPr>
        <w:t xml:space="preserve"> </w:t>
      </w:r>
      <w:r>
        <w:rPr>
          <w:rFonts w:cs="Times New Roman" w:ascii="Times New Roman" w:hAnsi="Times New Roman"/>
          <w:i/>
          <w:szCs w:val="24"/>
          <w:lang w:val="en-US"/>
        </w:rPr>
        <w:t>«In page 5, Line 29: “According to 7a” please include the name of the authors here»</w:t>
      </w:r>
      <w:r>
        <w:rPr>
          <w:rFonts w:cs="Times New Roman" w:ascii="Times New Roman" w:hAnsi="Times New Roman"/>
          <w:szCs w:val="24"/>
          <w:lang w:val="en-US"/>
        </w:rPr>
        <w:t>.</w:t>
      </w:r>
    </w:p>
    <w:p>
      <w:pPr>
        <w:pStyle w:val="NoSpacing"/>
        <w:jc w:val="both"/>
        <w:rPr>
          <w:rFonts w:ascii="Times New Roman" w:hAnsi="Times New Roman"/>
          <w:color w:val="000000"/>
          <w:szCs w:val="24"/>
          <w:lang w:val="en-US"/>
        </w:rPr>
      </w:pPr>
      <w:r>
        <w:rPr>
          <w:rFonts w:ascii="Times New Roman" w:hAnsi="Times New Roman"/>
          <w:color w:val="000000"/>
          <w:szCs w:val="24"/>
          <w:u w:val="single"/>
          <w:lang w:val="en-US"/>
        </w:rPr>
        <w:t>Authors’ reply</w:t>
      </w:r>
      <w:r>
        <w:rPr>
          <w:rFonts w:ascii="Times New Roman" w:hAnsi="Times New Roman"/>
          <w:color w:val="000000"/>
          <w:szCs w:val="24"/>
          <w:lang w:val="en-US"/>
        </w:rPr>
        <w:t>: We apologize for this inaccuracy. Unfortunately, the references have shifted during the automatic numbering. We made appropriate corrections in the revised manuscript.</w:t>
      </w:r>
    </w:p>
    <w:p>
      <w:pPr>
        <w:pStyle w:val="NoSpacing"/>
        <w:jc w:val="both"/>
        <w:rPr>
          <w:rFonts w:ascii="Times New Roman" w:hAnsi="Times New Roman"/>
          <w:color w:val="000000"/>
          <w:szCs w:val="24"/>
          <w:lang w:val="en-US"/>
        </w:rPr>
      </w:pPr>
      <w:r>
        <w:rPr>
          <w:rFonts w:ascii="Times New Roman" w:hAnsi="Times New Roman"/>
          <w:color w:val="000000"/>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b/>
          <w:b/>
          <w:szCs w:val="24"/>
          <w:lang w:val="en-US"/>
        </w:rPr>
      </w:pPr>
      <w:r>
        <w:rPr>
          <w:rFonts w:cs="Times New Roman" w:ascii="Times New Roman" w:hAnsi="Times New Roman"/>
          <w:b/>
          <w:szCs w:val="24"/>
          <w:lang w:val="en-US"/>
        </w:rPr>
        <w:t>Reviewer 3</w:t>
      </w:r>
    </w:p>
    <w:p>
      <w:pPr>
        <w:pStyle w:val="NoSpacing"/>
        <w:jc w:val="both"/>
        <w:rPr>
          <w:rFonts w:ascii="Times New Roman" w:hAnsi="Times New Roman" w:cs="Times New Roman"/>
          <w:b/>
          <w:b/>
          <w:szCs w:val="24"/>
          <w:lang w:val="en-US"/>
        </w:rPr>
      </w:pPr>
      <w:r>
        <w:rPr>
          <w:rFonts w:cs="Times New Roman" w:ascii="Times New Roman" w:hAnsi="Times New Roman"/>
          <w:b/>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ascii="Times New Roman" w:hAnsi="Times New Roman"/>
          <w:szCs w:val="24"/>
          <w:lang w:val="en-US"/>
        </w:rPr>
        <w:t>Reviewer 3 raised the following issue:</w:t>
      </w:r>
      <w:r>
        <w:rPr>
          <w:rFonts w:ascii="Times New Roman" w:hAnsi="Times New Roman"/>
          <w:i/>
          <w:szCs w:val="24"/>
          <w:lang w:val="en-US"/>
        </w:rPr>
        <w:t xml:space="preserve"> </w:t>
      </w:r>
      <w:r>
        <w:rPr>
          <w:rFonts w:cs="Times New Roman" w:ascii="Times New Roman" w:hAnsi="Times New Roman"/>
          <w:i/>
          <w:szCs w:val="24"/>
          <w:lang w:val="en-US"/>
        </w:rPr>
        <w:t xml:space="preserve"> «The authors perform DFT calculations of an isolated contact ion pair in vacuum. This means that strongly symmetrical </w:t>
      </w:r>
      <w:bookmarkStart w:id="2" w:name="_Hlk17891557"/>
      <w:r>
        <w:rPr>
          <w:rFonts w:cs="Times New Roman" w:ascii="Times New Roman" w:hAnsi="Times New Roman"/>
          <w:i/>
          <w:szCs w:val="24"/>
          <w:lang w:val="en-US"/>
        </w:rPr>
        <w:t xml:space="preserve">electric field of crystal </w:t>
      </w:r>
      <w:bookmarkEnd w:id="2"/>
      <w:r>
        <w:rPr>
          <w:rFonts w:cs="Times New Roman" w:ascii="Times New Roman" w:hAnsi="Times New Roman"/>
          <w:i/>
          <w:szCs w:val="24"/>
          <w:lang w:val="en-US"/>
        </w:rPr>
        <w:t>is simply neglected. As a result, electronic charge is not compensated from outer sides and edge effects take place. In other words, such ions bear some excess of energy, like surface ions in a crystal. How the authors account this physics in their calculations. Probably, the energies obtained are not strongly correct for thermodynamics. Some comments on this issue are important and must be included in the text»</w:t>
      </w:r>
    </w:p>
    <w:p>
      <w:pPr>
        <w:pStyle w:val="NoSpacing"/>
        <w:jc w:val="both"/>
        <w:rPr>
          <w:rFonts w:ascii="Times New Roman" w:hAnsi="Times New Roman"/>
          <w:color w:val="000000"/>
          <w:szCs w:val="24"/>
          <w:lang w:val="en-US"/>
        </w:rPr>
      </w:pPr>
      <w:r>
        <w:rPr>
          <w:rFonts w:ascii="Times New Roman" w:hAnsi="Times New Roman"/>
          <w:color w:val="000000"/>
          <w:szCs w:val="24"/>
          <w:u w:val="single"/>
          <w:lang w:val="en-US"/>
        </w:rPr>
        <w:t>Authors’ reply</w:t>
      </w:r>
      <w:r>
        <w:rPr>
          <w:rFonts w:ascii="Times New Roman" w:hAnsi="Times New Roman"/>
          <w:color w:val="000000"/>
          <w:szCs w:val="24"/>
          <w:lang w:val="en-US"/>
        </w:rPr>
        <w:t>: We share the reviewer's concern and are grateful for raising this important issue. To address this, we added the following passage to the Quantum chemical calculations section (highlighted in green within the manuscript):</w:t>
      </w:r>
    </w:p>
    <w:p>
      <w:pPr>
        <w:pStyle w:val="NoSpacing"/>
        <w:jc w:val="both"/>
        <w:rPr>
          <w:rFonts w:ascii="Times New Roman" w:hAnsi="Times New Roman"/>
          <w:color w:val="000000"/>
          <w:szCs w:val="24"/>
          <w:lang w:val="en-US"/>
        </w:rPr>
      </w:pPr>
      <w:r>
        <w:rPr>
          <w:rFonts w:ascii="Times New Roman" w:hAnsi="Times New Roman"/>
          <w:color w:val="000000"/>
          <w:szCs w:val="24"/>
          <w:lang w:val="en-US"/>
        </w:rPr>
        <w:t xml:space="preserve">«Importantly, the DFT calculations were carried out assuming reagents and products are isolated molecules, therefore, the electric field of crystal was neglected. However, the very fact that the predicted energies are in good agreement with the experimental values measured by flow calorimetry for the decomposition reactions of five diazonium salts with different counterions and ring substituents </w:t>
      </w:r>
      <w:r>
        <w:rPr>
          <w:rFonts w:ascii="Times New Roman" w:hAnsi="Times New Roman"/>
          <w:b/>
          <w:color w:val="000000"/>
          <w:szCs w:val="24"/>
          <w:lang w:val="en-US"/>
        </w:rPr>
        <w:t>1b-d</w:t>
      </w:r>
      <w:r>
        <w:rPr>
          <w:rFonts w:ascii="Times New Roman" w:hAnsi="Times New Roman"/>
          <w:color w:val="000000"/>
          <w:szCs w:val="24"/>
          <w:lang w:val="en-US"/>
        </w:rPr>
        <w:t xml:space="preserve">, </w:t>
      </w:r>
      <w:r>
        <w:rPr>
          <w:rFonts w:ascii="Times New Roman" w:hAnsi="Times New Roman"/>
          <w:b/>
          <w:color w:val="000000"/>
          <w:szCs w:val="24"/>
          <w:lang w:val="en-US"/>
        </w:rPr>
        <w:t>2</w:t>
      </w:r>
      <w:r>
        <w:rPr>
          <w:rFonts w:ascii="Times New Roman" w:hAnsi="Times New Roman"/>
          <w:color w:val="000000"/>
          <w:szCs w:val="24"/>
          <w:lang w:val="en-US"/>
        </w:rPr>
        <w:t xml:space="preserve"> and </w:t>
      </w:r>
      <w:r>
        <w:rPr>
          <w:rFonts w:ascii="Times New Roman" w:hAnsi="Times New Roman"/>
          <w:b/>
          <w:color w:val="000000"/>
          <w:szCs w:val="24"/>
          <w:lang w:val="en-US"/>
        </w:rPr>
        <w:t>3</w:t>
      </w:r>
      <w:r>
        <w:rPr>
          <w:rFonts w:ascii="Times New Roman" w:hAnsi="Times New Roman"/>
          <w:color w:val="000000"/>
          <w:szCs w:val="24"/>
          <w:lang w:val="en-US"/>
        </w:rPr>
        <w:t xml:space="preserve"> (Table 8) indicates that the major contribution to the reaction thermodynamics is made by the chemical transformations, whereas the effects of changing the crystal lattices are minor. Possibly, it is due to the fact that both reagents and products remain solid (except N</w:t>
      </w:r>
      <w:r>
        <w:rPr>
          <w:rFonts w:ascii="Times New Roman" w:hAnsi="Times New Roman"/>
          <w:color w:val="000000"/>
          <w:szCs w:val="24"/>
          <w:vertAlign w:val="subscript"/>
          <w:lang w:val="en-US"/>
        </w:rPr>
        <w:t>2</w:t>
      </w:r>
      <w:r>
        <w:rPr>
          <w:rFonts w:ascii="Times New Roman" w:hAnsi="Times New Roman"/>
          <w:color w:val="000000"/>
          <w:szCs w:val="24"/>
          <w:lang w:val="en-US"/>
        </w:rPr>
        <w:t xml:space="preserve">), thus, there is a compensation for the thermal effects of the transformation of the crystal lattices of the starting material and products. From an application prospective, it is also important that the proposed quantum-chemical approach to assessing the thermodynamics of decomposition reactions of DSs is relatively easy to implement. While calculations that take into account unknown transformations of crystal lattice are much more laborious, sophisticated and cannot yet be widely used to predict the thermal effects of chemical reactions, despite the known progress in calculating the crystalline state of benzenediazonium chloride and tetrafluoroborate. </w:t>
      </w:r>
      <w:r>
        <w:rPr>
          <w:rFonts w:ascii="Times New Roman" w:hAnsi="Times New Roman"/>
          <w:color w:val="000000"/>
          <w:szCs w:val="24"/>
          <w:vertAlign w:val="superscript"/>
          <w:lang w:val="en-US"/>
        </w:rPr>
        <w:t>2c,d</w:t>
      </w:r>
      <w:r>
        <w:rPr>
          <w:rFonts w:ascii="Times New Roman" w:hAnsi="Times New Roman"/>
          <w:color w:val="000000"/>
          <w:szCs w:val="24"/>
          <w:lang w:val="en-US"/>
        </w:rPr>
        <w:t>»</w:t>
      </w:r>
    </w:p>
    <w:p>
      <w:pPr>
        <w:pStyle w:val="NoSpacing"/>
        <w:jc w:val="both"/>
        <w:rPr>
          <w:rFonts w:ascii="Times New Roman" w:hAnsi="Times New Roman"/>
          <w:color w:val="000000"/>
          <w:szCs w:val="24"/>
          <w:lang w:val="en-US"/>
        </w:rPr>
      </w:pPr>
      <w:r>
        <w:rPr>
          <w:rFonts w:ascii="Times New Roman" w:hAnsi="Times New Roman"/>
          <w:color w:val="000000"/>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3 raised the following issue:  </w:t>
      </w:r>
      <w:r>
        <w:rPr>
          <w:rFonts w:cs="Times New Roman" w:ascii="Times New Roman" w:hAnsi="Times New Roman"/>
          <w:i/>
          <w:szCs w:val="24"/>
          <w:lang w:val="en-US"/>
        </w:rPr>
        <w:t>It is known, that aryl cations have close lying singlet and triplet states. Moreover, the ground state not always singlet and depends on the ring substituent (J. Phys. Chem. A 2014, 118, 3201-3210). This also determines chemistry of the aryl cations. How the authors account the different spin states of the aryl cations (say, 4-MeOC6H4+)? The appropriate citation and comments in the text are required</w:t>
      </w:r>
    </w:p>
    <w:p>
      <w:pPr>
        <w:pStyle w:val="NoSpacing"/>
        <w:jc w:val="both"/>
        <w:rPr>
          <w:rFonts w:ascii="Times New Roman" w:hAnsi="Times New Roman" w:cs="Times New Roman"/>
          <w:szCs w:val="24"/>
          <w:lang w:val="en-US"/>
        </w:rPr>
      </w:pPr>
      <w:r>
        <w:rPr>
          <w:rFonts w:cs="Times New Roman" w:ascii="Times New Roman" w:hAnsi="Times New Roman"/>
          <w:szCs w:val="24"/>
          <w:u w:val="single"/>
          <w:lang w:val="en-US"/>
        </w:rPr>
        <w:t>Authors’ reply</w:t>
      </w:r>
      <w:r>
        <w:rPr>
          <w:rFonts w:cs="Times New Roman" w:ascii="Times New Roman" w:hAnsi="Times New Roman"/>
          <w:szCs w:val="24"/>
          <w:lang w:val="en-US"/>
        </w:rPr>
        <w:t>: Since we calculated the reaction thermodynamics based on the initial and final states of the system, the ground state (singlet or triplet) of the intermediate aryl cations did not matter (Scheme 1). However, to explain the decomposition features of 2-nitrobenzene diazonium salt, we suggested the mechanism provided in the Supporting Information. In the revised manuscript we added the following refences (J. Phys. Chem. A 2014, 118, 3201-3210) and (Chemical Physics 389 (2011) 68-74) as [14 a,b].</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3 raised the following issue:  </w:t>
      </w:r>
      <w:r>
        <w:rPr>
          <w:rFonts w:cs="Times New Roman" w:ascii="Times New Roman" w:hAnsi="Times New Roman"/>
          <w:i/>
          <w:szCs w:val="24"/>
          <w:lang w:val="en-US"/>
        </w:rPr>
        <w:t>The unusual chemistry of the 2-nitrophenyl cation was pointed out before (Chemical Physics 389 (2011) 68-74). The authors should provide some referencing and comments on this issue in the text.</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Authors’ reply: The reference was added to the revised manuscript (</w:t>
      </w:r>
      <w:r>
        <w:rPr>
          <w:rFonts w:cs="Times New Roman" w:ascii="Times New Roman" w:hAnsi="Times New Roman"/>
          <w:i/>
          <w:iCs/>
          <w:szCs w:val="24"/>
          <w:lang w:val="en-US"/>
        </w:rPr>
        <w:t>vide supra</w:t>
      </w:r>
      <w:r>
        <w:rPr>
          <w:rFonts w:cs="Times New Roman" w:ascii="Times New Roman" w:hAnsi="Times New Roman"/>
          <w:szCs w:val="24"/>
          <w:lang w:val="en-US"/>
        </w:rPr>
        <w:t>).</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i/>
          <w:i/>
          <w:szCs w:val="24"/>
          <w:lang w:val="en-US"/>
        </w:rPr>
      </w:pPr>
      <w:r>
        <w:rPr>
          <w:rFonts w:cs="Times New Roman" w:ascii="Times New Roman" w:hAnsi="Times New Roman"/>
          <w:szCs w:val="24"/>
          <w:lang w:val="en-US"/>
        </w:rPr>
        <w:t xml:space="preserve">Reviewer 3 raised the following issue:  </w:t>
      </w:r>
      <w:r>
        <w:rPr>
          <w:rFonts w:cs="Times New Roman" w:ascii="Times New Roman" w:hAnsi="Times New Roman"/>
          <w:i/>
          <w:szCs w:val="24"/>
          <w:lang w:val="en-US"/>
        </w:rPr>
        <w:t>Literature numbering is damaged. Thus, it is not possible to assign reference numbers in the text with the same in the reference list»</w:t>
      </w:r>
      <w:r>
        <w:rPr>
          <w:rFonts w:cs="Times New Roman" w:ascii="Times New Roman" w:hAnsi="Times New Roman"/>
          <w:szCs w:val="24"/>
          <w:lang w:val="en-US"/>
        </w:rPr>
        <w:t xml:space="preserve">.  </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Authors’ reply: </w:t>
      </w:r>
      <w:r>
        <w:rPr>
          <w:rFonts w:ascii="Times New Roman" w:hAnsi="Times New Roman"/>
          <w:color w:val="000000"/>
          <w:szCs w:val="24"/>
          <w:lang w:val="en-US"/>
        </w:rPr>
        <w:t>We apologize for this inaccuracy. Unfortunately, the references have shifted during the automatic numbering. We made appropriate corrections in the revised manuscript.</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3 raised the following issue: </w:t>
      </w:r>
      <w:r>
        <w:rPr>
          <w:rFonts w:cs="Times New Roman" w:ascii="Times New Roman" w:hAnsi="Times New Roman"/>
          <w:i/>
          <w:szCs w:val="24"/>
          <w:lang w:val="en-US"/>
        </w:rPr>
        <w:t>BF3 cleavage. Probably, this must be BF3 detachment?</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Authors’ reply: We agree with the reviewer’s remark. The «</w:t>
      </w:r>
      <w:r>
        <w:rPr>
          <w:rFonts w:cs="Times New Roman" w:ascii="Times New Roman" w:hAnsi="Times New Roman"/>
          <w:i/>
          <w:iCs/>
          <w:szCs w:val="24"/>
          <w:lang w:val="en-US"/>
        </w:rPr>
        <w:t>cleavage</w:t>
      </w:r>
      <w:r>
        <w:rPr>
          <w:rFonts w:cs="Times New Roman" w:ascii="Times New Roman" w:hAnsi="Times New Roman"/>
          <w:szCs w:val="24"/>
          <w:lang w:val="en-US"/>
        </w:rPr>
        <w:t>» was replaced by «</w:t>
      </w:r>
      <w:r>
        <w:rPr>
          <w:rFonts w:cs="Times New Roman" w:ascii="Times New Roman" w:hAnsi="Times New Roman"/>
          <w:i/>
          <w:szCs w:val="24"/>
          <w:lang w:val="en-US"/>
        </w:rPr>
        <w:t>detachment</w:t>
      </w:r>
      <w:r>
        <w:rPr>
          <w:rFonts w:cs="Times New Roman" w:ascii="Times New Roman" w:hAnsi="Times New Roman"/>
          <w:szCs w:val="24"/>
          <w:lang w:val="en-US"/>
        </w:rPr>
        <w:t>» in the revised manuscript.</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olor w:val="000000"/>
          <w:szCs w:val="24"/>
          <w:lang w:val="en-US"/>
        </w:rPr>
      </w:pPr>
      <w:r>
        <w:rPr>
          <w:rFonts w:cs="Times New Roman" w:ascii="Times New Roman" w:hAnsi="Times New Roman"/>
          <w:szCs w:val="24"/>
          <w:lang w:val="en-US"/>
        </w:rPr>
        <w:t xml:space="preserve">Reviewer 3 raised the following issue:  </w:t>
      </w:r>
      <w:r>
        <w:rPr>
          <w:rFonts w:cs="Times New Roman" w:ascii="Times New Roman" w:hAnsi="Times New Roman"/>
          <w:i/>
          <w:szCs w:val="24"/>
          <w:lang w:val="en-US"/>
        </w:rPr>
        <w:t>Supporting. Probably, this must be Supporting Information?</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Authors’ reply: We agree with the reviewer’s comments. The necessary adjustments were made in the revised manuscript. </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b/>
          <w:b/>
          <w:szCs w:val="24"/>
          <w:lang w:val="en-US"/>
        </w:rPr>
      </w:pPr>
      <w:r>
        <w:rPr>
          <w:rFonts w:cs="Times New Roman" w:ascii="Times New Roman" w:hAnsi="Times New Roman"/>
          <w:b/>
          <w:szCs w:val="24"/>
          <w:lang w:val="en-US"/>
        </w:rPr>
        <w:t>Reviewer 4</w:t>
      </w:r>
    </w:p>
    <w:p>
      <w:pPr>
        <w:pStyle w:val="NoSpacing"/>
        <w:jc w:val="both"/>
        <w:rPr>
          <w:rFonts w:ascii="Times New Roman" w:hAnsi="Times New Roman" w:cs="Times New Roman"/>
          <w:b/>
          <w:b/>
          <w:szCs w:val="24"/>
          <w:lang w:val="en-US"/>
        </w:rPr>
      </w:pPr>
      <w:r>
        <w:rPr>
          <w:rFonts w:cs="Times New Roman" w:ascii="Times New Roman" w:hAnsi="Times New Roman"/>
          <w:b/>
          <w:szCs w:val="24"/>
          <w:lang w:val="en-US"/>
        </w:rPr>
      </w:r>
    </w:p>
    <w:p>
      <w:pPr>
        <w:pStyle w:val="NoSpacing"/>
        <w:jc w:val="both"/>
        <w:rPr>
          <w:rFonts w:ascii="Times New Roman" w:hAnsi="Times New Roman" w:cs="Times New Roman"/>
          <w:b/>
          <w:b/>
          <w:szCs w:val="24"/>
          <w:lang w:val="en-US"/>
        </w:rPr>
      </w:pPr>
      <w:r>
        <w:rPr>
          <w:rFonts w:cs="Times New Roman" w:ascii="Times New Roman" w:hAnsi="Times New Roman"/>
          <w:b/>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6 line 10: any purity information of the tested samples, especially any moisture or solvent content? If a sample contains moisture or solvent, the data interpretation of TGA and open pan DSC is completely different since the small endothermic event can be caused by them, instead of melting. If data is not available, a drying procedure used by the authors is helpful if other researcher want to repeat this work</w:t>
      </w:r>
      <w:r>
        <w:rPr>
          <w:rFonts w:cs="Times New Roman" w:ascii="Times New Roman" w:hAnsi="Times New Roman"/>
          <w:szCs w:val="24"/>
          <w:lang w:val="en-US"/>
        </w:rPr>
        <w:t>.</w:t>
      </w:r>
    </w:p>
    <w:p>
      <w:pPr>
        <w:pStyle w:val="NoSpacing"/>
        <w:jc w:val="both"/>
        <w:rPr/>
      </w:pPr>
      <w:r>
        <w:rPr>
          <w:rFonts w:cs="Times New Roman" w:ascii="Times New Roman" w:hAnsi="Times New Roman"/>
          <w:szCs w:val="24"/>
          <w:lang w:val="en-US"/>
        </w:rPr>
        <w:t>Authors’ reply: The purity degree of the diazonium salts tested is given in our previous papers referenced in the manuscript [Organic Lett. 20</w:t>
      </w:r>
      <w:r>
        <w:rPr>
          <w:rFonts w:cs="Times New Roman" w:ascii="Times New Roman" w:hAnsi="Times New Roman"/>
          <w:szCs w:val="24"/>
          <w:lang w:val="en-US"/>
        </w:rPr>
        <w:t>08</w:t>
      </w:r>
      <w:r>
        <w:rPr>
          <w:rFonts w:cs="Times New Roman" w:ascii="Times New Roman" w:hAnsi="Times New Roman"/>
          <w:szCs w:val="24"/>
          <w:lang w:val="en-US"/>
        </w:rPr>
        <w:t xml:space="preserve">, 10, 3961; Eur.J.Org.Chem. </w:t>
      </w:r>
      <w:r>
        <w:rPr>
          <w:rFonts w:cs="Times New Roman" w:ascii="Times New Roman" w:hAnsi="Times New Roman"/>
          <w:szCs w:val="24"/>
          <w:highlight w:val="yellow"/>
          <w:lang w:val="en-US"/>
        </w:rPr>
        <w:t xml:space="preserve">2019, </w:t>
      </w:r>
      <w:r>
        <w:rPr>
          <w:rFonts w:cs="Times New Roman" w:ascii="Times New Roman" w:hAnsi="Times New Roman"/>
          <w:szCs w:val="24"/>
          <w:highlight w:val="yellow"/>
          <w:lang w:val="en-US"/>
        </w:rPr>
        <w:t>665-674</w:t>
      </w:r>
      <w:r>
        <w:rPr>
          <w:rFonts w:cs="Times New Roman" w:ascii="Times New Roman" w:hAnsi="Times New Roman"/>
          <w:szCs w:val="24"/>
          <w:lang w:val="en-US"/>
        </w:rPr>
        <w:t>]. In the revised manuscript we added the description of sample drying prior to the measurements: «All samples used in calorimetric studies were dried in vacuum for 48 h». This procedure is recommended in the study of the decomposition of arendiazonium chlorides [7a]. The observed endothermic effects are caused by melting as they match the experimentally found melting points. The latter we added to the Table 1 in the revised manuscript.</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6 line 29: since the heat flux signal of TAM instrument is easy to be saturated, it is important for other researcher to know the typical sample size used in this study. Overloading such high energy materials may result in an uncontrolled reaction and make damage to the instrument</w:t>
      </w:r>
      <w:r>
        <w:rPr>
          <w:rFonts w:cs="Times New Roman" w:ascii="Times New Roman" w:hAnsi="Times New Roman"/>
          <w:szCs w:val="24"/>
          <w:lang w:val="en-US"/>
        </w:rPr>
        <w:t>.</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Authors’ reply: </w:t>
      </w:r>
      <w:r>
        <w:rPr>
          <w:rFonts w:cs="Times New Roman" w:ascii="Times New Roman" w:hAnsi="Times New Roman"/>
          <w:iCs/>
          <w:szCs w:val="24"/>
          <w:lang w:val="en-US"/>
        </w:rPr>
        <w:t>The typical sample size</w:t>
      </w:r>
      <w:r>
        <w:rPr>
          <w:rFonts w:cs="Times New Roman" w:ascii="Times New Roman" w:hAnsi="Times New Roman"/>
          <w:szCs w:val="24"/>
          <w:lang w:val="en-US"/>
        </w:rPr>
        <w:t xml:space="preserve"> was 10 mg as indicated on page 6, line 22. The </w:t>
      </w:r>
      <w:r>
        <w:rPr>
          <w:rFonts w:cs="Times New Roman" w:ascii="Times New Roman" w:hAnsi="Times New Roman"/>
          <w:iCs/>
          <w:szCs w:val="24"/>
          <w:lang w:val="en-US"/>
        </w:rPr>
        <w:t xml:space="preserve">TAM instrument and </w:t>
      </w:r>
      <w:r>
        <w:rPr>
          <w:rFonts w:cs="Times New Roman" w:ascii="Times New Roman" w:hAnsi="Times New Roman"/>
          <w:szCs w:val="24"/>
          <w:lang w:val="en-US"/>
        </w:rPr>
        <w:t>Hastelloy ampoule are designed to study the properties of high-energy products. We calculated the amount of gaseous nitrogen (~ 0.7 mL) released during decomposition of the studied diazonium salts and found that this amount would not increase the pressure in the Hastelloy ampoule even up to 1.5-2 atm.</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6 line 33, were the samples purged with gases during the sample preparation and then sealed during the isothermal test? If this was the case, where did the decomposition product (assume N2 or BF3) go during the test? If they were purged for the whole time, please provide more information on purge gas flow rate, how to control it to ensure constant rate, and a reference cell with purging gas as well</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Authors’ reply: According to the reviewer’s comment, we clarified the experiment conditions as follows: «The ampoule was evacuated, then purged with nitrogen, argon or air depending on experimental conditions, and sealed».</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8 line 50: If the finding about BF3 generation around 33°C is true , this is a BIG safety hazard for storage and transportation of compound 3 since it will release BF3 gas around ambient temperature. A sealed package of compound 3 will be pressured at ambient temperature with BF3 which is an extremely toxic chemical (H330). But I didn’t see any available public information related to this. Please double check this conclusion, with other data/test (pressure rise test at ambient?). On the other hand, since the initial purity of 3 is unknown, the loss of mass on TGA can be caused by the removal of moisture or solvent. Therefore, this conclusion based on single supporting “evidence” can be wrong</w:t>
      </w:r>
      <w:r>
        <w:rPr>
          <w:rFonts w:cs="Times New Roman" w:ascii="Times New Roman" w:hAnsi="Times New Roman"/>
          <w:szCs w:val="24"/>
          <w:lang w:val="en-US"/>
        </w:rPr>
        <w:t>.</w:t>
      </w:r>
    </w:p>
    <w:p>
      <w:pPr>
        <w:pStyle w:val="NoSpacing"/>
        <w:jc w:val="both"/>
        <w:rPr/>
      </w:pPr>
      <w:r>
        <w:rPr>
          <w:rFonts w:cs="Times New Roman" w:ascii="Times New Roman" w:hAnsi="Times New Roman"/>
          <w:szCs w:val="24"/>
          <w:lang w:val="en-US"/>
        </w:rPr>
        <w:t>Authors’ reply: We are grateful to the reviewer for paying attention to this issue. Indeed, the claim that BF</w:t>
      </w:r>
      <w:r>
        <w:rPr>
          <w:rFonts w:cs="Times New Roman" w:ascii="Times New Roman" w:hAnsi="Times New Roman"/>
          <w:szCs w:val="24"/>
          <w:vertAlign w:val="subscript"/>
          <w:lang w:val="en-US"/>
        </w:rPr>
        <w:t>3</w:t>
      </w:r>
      <w:r>
        <w:rPr>
          <w:rFonts w:cs="Times New Roman" w:ascii="Times New Roman" w:hAnsi="Times New Roman"/>
          <w:szCs w:val="24"/>
          <w:lang w:val="en-US"/>
        </w:rPr>
        <w:t xml:space="preserve"> is generated at 33 </w:t>
      </w:r>
      <w:r>
        <w:rPr>
          <w:rFonts w:cs="Times New Roman" w:ascii="Times New Roman" w:hAnsi="Times New Roman"/>
          <w:szCs w:val="24"/>
          <w:vertAlign w:val="superscript"/>
        </w:rPr>
        <w:t>о</w:t>
      </w:r>
      <w:r>
        <w:rPr>
          <w:rFonts w:cs="Times New Roman" w:ascii="Times New Roman" w:hAnsi="Times New Roman"/>
          <w:szCs w:val="24"/>
        </w:rPr>
        <w:t>С</w:t>
      </w:r>
      <w:r>
        <w:rPr>
          <w:rFonts w:cs="Times New Roman" w:ascii="Times New Roman" w:hAnsi="Times New Roman"/>
          <w:szCs w:val="24"/>
          <w:lang w:val="en-US"/>
        </w:rPr>
        <w:t xml:space="preserve"> is clearly incorrect. In fact, the endothermic peak corresponding to the loss of BF</w:t>
      </w:r>
      <w:r>
        <w:rPr>
          <w:rFonts w:cs="Times New Roman" w:ascii="Times New Roman" w:hAnsi="Times New Roman"/>
          <w:szCs w:val="24"/>
          <w:vertAlign w:val="subscript"/>
          <w:lang w:val="en-US"/>
        </w:rPr>
        <w:t>3</w:t>
      </w:r>
      <w:r>
        <w:rPr>
          <w:rFonts w:cs="Times New Roman" w:ascii="Times New Roman" w:hAnsi="Times New Roman"/>
          <w:szCs w:val="24"/>
          <w:lang w:val="en-US"/>
        </w:rPr>
        <w:t xml:space="preserve"> is located at 58.7 </w:t>
      </w:r>
      <w:r>
        <w:rPr>
          <w:rFonts w:cs="Times New Roman" w:ascii="Times New Roman" w:hAnsi="Times New Roman"/>
          <w:szCs w:val="24"/>
          <w:vertAlign w:val="superscript"/>
        </w:rPr>
        <w:t>о</w:t>
      </w:r>
      <w:r>
        <w:rPr>
          <w:rFonts w:cs="Times New Roman" w:ascii="Times New Roman" w:hAnsi="Times New Roman"/>
          <w:szCs w:val="24"/>
        </w:rPr>
        <w:t>С</w:t>
      </w:r>
      <w:r>
        <w:rPr>
          <w:rFonts w:cs="Times New Roman" w:ascii="Times New Roman" w:hAnsi="Times New Roman"/>
          <w:szCs w:val="24"/>
          <w:lang w:val="en-US"/>
        </w:rPr>
        <w:t xml:space="preserve"> and we made the corresponding corrections in Fig. 6 and in the text. The purity of the diazonium salt </w:t>
      </w:r>
      <w:r>
        <w:rPr>
          <w:rFonts w:cs="Times New Roman" w:ascii="Times New Roman" w:hAnsi="Times New Roman"/>
          <w:b/>
          <w:bCs/>
          <w:szCs w:val="24"/>
          <w:lang w:val="en-US"/>
        </w:rPr>
        <w:t>3</w:t>
      </w:r>
      <w:r>
        <w:rPr>
          <w:rFonts w:cs="Times New Roman" w:ascii="Times New Roman" w:hAnsi="Times New Roman"/>
          <w:szCs w:val="24"/>
          <w:lang w:val="en-US"/>
        </w:rPr>
        <w:t xml:space="preserve"> is 98% (Aldrich). The reviewer's remarks stimulated us to analyze more carefully the literature on the thermal decomposition of tetrafluoroborates. The following paper </w:t>
      </w:r>
      <w:r>
        <w:rPr>
          <w:rFonts w:cs="Times New Roman" w:ascii="Times New Roman" w:hAnsi="Times New Roman"/>
          <w:szCs w:val="24"/>
          <w:highlight w:val="yellow"/>
          <w:lang w:val="en-US"/>
        </w:rPr>
        <w:t>[</w:t>
      </w:r>
      <w:r>
        <w:rPr>
          <w:rFonts w:cs="Times New Roman" w:ascii="Times New Roman" w:hAnsi="Times New Roman"/>
          <w:szCs w:val="24"/>
          <w:highlight w:val="yellow"/>
          <w:lang w:val="en-US"/>
        </w:rPr>
        <w:t>Koval’chuk, E. P.; Reshetnyak, O. V.; Kozlovs’ka, Z. Y.; Błażejowski, J.; Gladyshevs’kyj, R. Y.; Obushak, M. D. Mechanism of the Benzenediazonium Tetrafluoroborate Thermolysis in the Solid State. Thermochimica Acta 2006, 444 (1), 1–5. https://doi.org/10.1016/j.tca.2006.02.002</w:t>
      </w:r>
      <w:r>
        <w:rPr>
          <w:rFonts w:cs="Times New Roman" w:ascii="Times New Roman" w:hAnsi="Times New Roman"/>
          <w:szCs w:val="24"/>
          <w:highlight w:val="yellow"/>
          <w:lang w:val="en-US"/>
        </w:rPr>
        <w:t>]</w:t>
      </w:r>
      <w:r>
        <w:rPr>
          <w:rFonts w:cs="Times New Roman" w:ascii="Times New Roman" w:hAnsi="Times New Roman"/>
          <w:szCs w:val="24"/>
          <w:lang w:val="en-US"/>
        </w:rPr>
        <w:t xml:space="preserve"> (referenced in the revised manuscript as [12]) made us to reconsider the conclusions regarding the nature of the endothermic peak at 58.7 </w:t>
      </w:r>
      <w:r>
        <w:rPr>
          <w:rFonts w:cs="Times New Roman" w:ascii="Times New Roman" w:hAnsi="Times New Roman"/>
          <w:szCs w:val="24"/>
          <w:vertAlign w:val="superscript"/>
        </w:rPr>
        <w:t>о</w:t>
      </w:r>
      <w:r>
        <w:rPr>
          <w:rFonts w:cs="Times New Roman" w:ascii="Times New Roman" w:hAnsi="Times New Roman"/>
          <w:szCs w:val="24"/>
        </w:rPr>
        <w:t>С</w:t>
      </w:r>
      <w:r>
        <w:rPr>
          <w:rFonts w:cs="Times New Roman" w:ascii="Times New Roman" w:hAnsi="Times New Roman"/>
          <w:szCs w:val="24"/>
          <w:lang w:val="en-US"/>
        </w:rPr>
        <w:t xml:space="preserve">. We modified the passage describing the decomposition of 4-nitrobenzene diazonium tetrafluoroborate </w:t>
      </w:r>
      <w:r>
        <w:rPr>
          <w:rFonts w:cs="Times New Roman" w:ascii="Times New Roman" w:hAnsi="Times New Roman"/>
          <w:b/>
          <w:bCs/>
          <w:szCs w:val="24"/>
          <w:lang w:val="en-US"/>
        </w:rPr>
        <w:t>3</w:t>
      </w:r>
      <w:r>
        <w:rPr>
          <w:rFonts w:cs="Times New Roman" w:ascii="Times New Roman" w:hAnsi="Times New Roman"/>
          <w:szCs w:val="24"/>
          <w:lang w:val="en-US"/>
        </w:rPr>
        <w:t xml:space="preserve"> as follows:</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«It might seem that the loss of BF</w:t>
      </w:r>
      <w:r>
        <w:rPr>
          <w:rFonts w:cs="Times New Roman" w:ascii="Times New Roman" w:hAnsi="Times New Roman"/>
          <w:szCs w:val="24"/>
          <w:vertAlign w:val="subscript"/>
          <w:lang w:val="en-US"/>
        </w:rPr>
        <w:t>3</w:t>
      </w:r>
      <w:r>
        <w:rPr>
          <w:rFonts w:cs="Times New Roman" w:ascii="Times New Roman" w:hAnsi="Times New Roman"/>
          <w:szCs w:val="24"/>
          <w:lang w:val="en-US"/>
        </w:rPr>
        <w:t xml:space="preserve"> at 58.7 ° C indicates that intermediate </w:t>
      </w:r>
      <w:r>
        <w:rPr>
          <w:rFonts w:cs="Times New Roman" w:ascii="Times New Roman" w:hAnsi="Times New Roman"/>
          <w:b/>
          <w:bCs/>
          <w:szCs w:val="24"/>
          <w:lang w:val="en-US"/>
        </w:rPr>
        <w:t>3a</w:t>
      </w:r>
      <w:r>
        <w:rPr>
          <w:rFonts w:cs="Times New Roman" w:ascii="Times New Roman" w:hAnsi="Times New Roman"/>
          <w:szCs w:val="24"/>
          <w:lang w:val="en-US"/>
        </w:rPr>
        <w:t xml:space="preserve"> undergoes decomposition at 146.5 </w:t>
      </w:r>
      <w:r>
        <w:rPr>
          <w:rFonts w:cs="Times New Roman" w:ascii="Times New Roman" w:hAnsi="Times New Roman"/>
          <w:szCs w:val="24"/>
          <w:vertAlign w:val="superscript"/>
        </w:rPr>
        <w:t>о</w:t>
      </w:r>
      <w:r>
        <w:rPr>
          <w:rFonts w:cs="Times New Roman" w:ascii="Times New Roman" w:hAnsi="Times New Roman"/>
          <w:szCs w:val="24"/>
        </w:rPr>
        <w:t>С</w:t>
      </w:r>
      <w:r>
        <w:rPr>
          <w:rFonts w:cs="Times New Roman" w:ascii="Times New Roman" w:hAnsi="Times New Roman"/>
          <w:szCs w:val="24"/>
          <w:lang w:val="en-US"/>
        </w:rPr>
        <w:t xml:space="preserve"> (</w:t>
      </w:r>
      <w:commentRangeStart w:id="0"/>
      <w:r>
        <w:rPr>
          <w:rFonts w:cs="Times New Roman" w:ascii="Times New Roman" w:hAnsi="Times New Roman"/>
          <w:szCs w:val="24"/>
          <w:highlight w:val="yellow"/>
          <w:lang w:val="en-US"/>
        </w:rPr>
        <w:t>equation 1</w:t>
      </w:r>
      <w:r>
        <w:rPr>
          <w:rFonts w:cs="Times New Roman" w:ascii="Times New Roman" w:hAnsi="Times New Roman"/>
          <w:szCs w:val="24"/>
          <w:highlight w:val="yellow"/>
          <w:lang w:val="en-US"/>
        </w:rPr>
      </w:r>
      <w:commentRangeEnd w:id="0"/>
      <w:r>
        <w:commentReference w:id="0"/>
      </w:r>
      <w:r>
        <w:rPr>
          <w:rFonts w:cs="Times New Roman" w:ascii="Times New Roman" w:hAnsi="Times New Roman"/>
          <w:szCs w:val="24"/>
          <w:lang w:val="en-US"/>
        </w:rPr>
        <w:t>). However, upon thermal decomposition of PhN</w:t>
      </w:r>
      <w:r>
        <w:rPr>
          <w:rFonts w:cs="Times New Roman" w:ascii="Times New Roman" w:hAnsi="Times New Roman"/>
          <w:szCs w:val="24"/>
          <w:vertAlign w:val="subscript"/>
          <w:lang w:val="en-US"/>
        </w:rPr>
        <w:t>2</w:t>
      </w:r>
      <w:r>
        <w:rPr>
          <w:rFonts w:cs="Times New Roman" w:ascii="Times New Roman" w:hAnsi="Times New Roman"/>
          <w:szCs w:val="24"/>
          <w:vertAlign w:val="superscript"/>
          <w:lang w:val="en-US"/>
        </w:rPr>
        <w:t>+</w:t>
      </w:r>
      <w:r>
        <w:rPr>
          <w:rFonts w:cs="Times New Roman" w:ascii="Times New Roman" w:hAnsi="Times New Roman"/>
          <w:szCs w:val="24"/>
          <w:lang w:val="en-US"/>
        </w:rPr>
        <w:t>BF</w:t>
      </w:r>
      <w:r>
        <w:rPr>
          <w:rFonts w:cs="Times New Roman" w:ascii="Times New Roman" w:hAnsi="Times New Roman"/>
          <w:szCs w:val="24"/>
          <w:vertAlign w:val="subscript"/>
          <w:lang w:val="en-US"/>
        </w:rPr>
        <w:t>4</w:t>
      </w:r>
      <w:r>
        <w:rPr>
          <w:rFonts w:cs="Times New Roman" w:ascii="Times New Roman" w:hAnsi="Times New Roman"/>
          <w:szCs w:val="24"/>
          <w:vertAlign w:val="superscript"/>
          <w:lang w:val="en-US"/>
        </w:rPr>
        <w:t>-</w:t>
      </w:r>
      <w:r>
        <w:rPr>
          <w:rFonts w:cs="Times New Roman" w:ascii="Times New Roman" w:hAnsi="Times New Roman"/>
          <w:szCs w:val="24"/>
          <w:lang w:val="en-US"/>
        </w:rPr>
        <w:t xml:space="preserve">, a small endothermic peak at 63 ° C was also observed on the DSC/TGA curves. The appearance of this peak was explained by the removal of water bound to DS via hydrogen bonds. </w:t>
      </w:r>
      <w:r>
        <w:rPr>
          <w:rFonts w:cs="Times New Roman" w:ascii="Times New Roman" w:hAnsi="Times New Roman"/>
          <w:szCs w:val="24"/>
          <w:vertAlign w:val="superscript"/>
          <w:lang w:val="en-US"/>
        </w:rPr>
        <w:t>12</w:t>
      </w:r>
      <w:r>
        <w:rPr>
          <w:rFonts w:cs="Times New Roman" w:ascii="Times New Roman" w:hAnsi="Times New Roman"/>
          <w:szCs w:val="24"/>
          <w:lang w:val="en-US"/>
        </w:rPr>
        <w:t xml:space="preserve"> It cannot be applied to DS </w:t>
      </w:r>
      <w:r>
        <w:rPr>
          <w:rFonts w:cs="Times New Roman" w:ascii="Times New Roman" w:hAnsi="Times New Roman"/>
          <w:b/>
          <w:bCs/>
          <w:szCs w:val="24"/>
          <w:lang w:val="en-US"/>
        </w:rPr>
        <w:t>3</w:t>
      </w:r>
      <w:r>
        <w:rPr>
          <w:rFonts w:cs="Times New Roman" w:ascii="Times New Roman" w:hAnsi="Times New Roman"/>
          <w:szCs w:val="24"/>
          <w:lang w:val="en-US"/>
        </w:rPr>
        <w:t xml:space="preserve"> thought, as the weight loss of DS 3 at 58.7 °C corresponds to 5.2 mol of water per 1 mol of DS </w:t>
      </w:r>
      <w:r>
        <w:rPr>
          <w:rFonts w:cs="Times New Roman" w:ascii="Times New Roman" w:hAnsi="Times New Roman"/>
          <w:b/>
          <w:bCs/>
          <w:szCs w:val="24"/>
          <w:lang w:val="en-US"/>
        </w:rPr>
        <w:t>3</w:t>
      </w:r>
      <w:r>
        <w:rPr>
          <w:rFonts w:cs="Times New Roman" w:ascii="Times New Roman" w:hAnsi="Times New Roman"/>
          <w:szCs w:val="24"/>
          <w:lang w:val="en-US"/>
        </w:rPr>
        <w:t xml:space="preserve">. Should it be such a large amount of water, DS </w:t>
      </w:r>
      <w:r>
        <w:rPr>
          <w:rFonts w:cs="Times New Roman" w:ascii="Times New Roman" w:hAnsi="Times New Roman"/>
          <w:b/>
          <w:bCs/>
          <w:szCs w:val="24"/>
          <w:lang w:val="en-US"/>
        </w:rPr>
        <w:t>3</w:t>
      </w:r>
      <w:r>
        <w:rPr>
          <w:rFonts w:cs="Times New Roman" w:ascii="Times New Roman" w:hAnsi="Times New Roman"/>
          <w:szCs w:val="24"/>
          <w:lang w:val="en-US"/>
        </w:rPr>
        <w:t xml:space="preserve"> would have to be partially dissolved, but not crystalline. However, there are contradictions in explaining the cause of the endothermic peak appearance during the heating of DS </w:t>
      </w:r>
      <w:r>
        <w:rPr>
          <w:rFonts w:cs="Times New Roman" w:ascii="Times New Roman" w:hAnsi="Times New Roman"/>
          <w:b/>
          <w:bCs/>
          <w:szCs w:val="24"/>
          <w:lang w:val="en-US"/>
        </w:rPr>
        <w:t>3</w:t>
      </w:r>
      <w:r>
        <w:rPr>
          <w:rFonts w:cs="Times New Roman" w:ascii="Times New Roman" w:hAnsi="Times New Roman"/>
          <w:szCs w:val="24"/>
          <w:lang w:val="en-US"/>
        </w:rPr>
        <w:t xml:space="preserve"> and PhN</w:t>
      </w:r>
      <w:r>
        <w:rPr>
          <w:rFonts w:cs="Times New Roman" w:ascii="Times New Roman" w:hAnsi="Times New Roman"/>
          <w:szCs w:val="24"/>
          <w:vertAlign w:val="subscript"/>
          <w:lang w:val="en-US"/>
        </w:rPr>
        <w:t>2</w:t>
      </w:r>
      <w:r>
        <w:rPr>
          <w:rFonts w:cs="Times New Roman" w:ascii="Times New Roman" w:hAnsi="Times New Roman"/>
          <w:szCs w:val="24"/>
          <w:vertAlign w:val="superscript"/>
          <w:lang w:val="en-US"/>
        </w:rPr>
        <w:t>+</w:t>
      </w:r>
      <w:r>
        <w:rPr>
          <w:rFonts w:cs="Times New Roman" w:ascii="Times New Roman" w:hAnsi="Times New Roman"/>
          <w:szCs w:val="24"/>
          <w:lang w:val="en-US"/>
        </w:rPr>
        <w:t>BF</w:t>
      </w:r>
      <w:r>
        <w:rPr>
          <w:rFonts w:cs="Times New Roman" w:ascii="Times New Roman" w:hAnsi="Times New Roman"/>
          <w:szCs w:val="24"/>
          <w:vertAlign w:val="subscript"/>
          <w:lang w:val="en-US"/>
        </w:rPr>
        <w:t>4</w:t>
      </w:r>
      <w:r>
        <w:rPr>
          <w:rFonts w:cs="Times New Roman" w:ascii="Times New Roman" w:hAnsi="Times New Roman"/>
          <w:szCs w:val="24"/>
          <w:vertAlign w:val="superscript"/>
          <w:lang w:val="en-US"/>
        </w:rPr>
        <w:t>-</w:t>
      </w:r>
      <w:r>
        <w:rPr>
          <w:rFonts w:cs="Times New Roman" w:ascii="Times New Roman" w:hAnsi="Times New Roman"/>
          <w:szCs w:val="24"/>
          <w:lang w:val="en-US"/>
        </w:rPr>
        <w:t xml:space="preserve">. Obviously, this issue requires further special studies. Therefore, at present, we can propose </w:t>
      </w:r>
      <w:r>
        <w:rPr>
          <w:rFonts w:cs="Times New Roman" w:ascii="Times New Roman" w:hAnsi="Times New Roman"/>
          <w:szCs w:val="24"/>
          <w:highlight w:val="yellow"/>
          <w:lang w:val="en-US"/>
        </w:rPr>
        <w:t>Equation 1</w:t>
      </w:r>
      <w:r>
        <w:rPr>
          <w:rFonts w:cs="Times New Roman" w:ascii="Times New Roman" w:hAnsi="Times New Roman"/>
          <w:szCs w:val="24"/>
          <w:lang w:val="en-US"/>
        </w:rPr>
        <w:t xml:space="preserve"> only as a hypothesis, partially consistent with the results of quantum-chemical modeling of DS decomposition reactions (</w:t>
      </w:r>
      <w:r>
        <w:rPr>
          <w:rFonts w:cs="Times New Roman" w:ascii="Times New Roman" w:hAnsi="Times New Roman"/>
          <w:i/>
          <w:iCs/>
          <w:szCs w:val="24"/>
          <w:lang w:val="en-US"/>
        </w:rPr>
        <w:t>vide infra</w:t>
      </w:r>
      <w:r>
        <w:rPr>
          <w:rFonts w:cs="Times New Roman" w:ascii="Times New Roman" w:hAnsi="Times New Roman"/>
          <w:szCs w:val="24"/>
          <w:lang w:val="en-US"/>
        </w:rPr>
        <w:t>). »</w:t>
      </w:r>
    </w:p>
    <w:p>
      <w:pPr>
        <w:pStyle w:val="NoSpacing"/>
        <w:jc w:val="both"/>
        <w:rPr>
          <w:rFonts w:ascii="Times New Roman" w:hAnsi="Times New Roman" w:cs="Times New Roman"/>
          <w:szCs w:val="24"/>
          <w:highlight w:val="lightGray"/>
          <w:lang w:val="en-US"/>
        </w:rPr>
      </w:pPr>
      <w:r>
        <w:rPr>
          <w:rFonts w:cs="Times New Roman" w:ascii="Times New Roman" w:hAnsi="Times New Roman"/>
          <w:szCs w:val="24"/>
          <w:highlight w:val="lightGray"/>
          <w:lang w:val="en-US"/>
        </w:rPr>
      </w:r>
    </w:p>
    <w:p>
      <w:pPr>
        <w:pStyle w:val="NoSpacing"/>
        <w:jc w:val="both"/>
        <w:rPr>
          <w:rFonts w:ascii="Times New Roman" w:hAnsi="Times New Roman" w:cs="Times New Roman"/>
          <w:szCs w:val="24"/>
          <w:highlight w:val="lightGray"/>
          <w:lang w:val="en-US"/>
        </w:rPr>
      </w:pPr>
      <w:r>
        <w:rPr>
          <w:rFonts w:cs="Times New Roman" w:ascii="Times New Roman" w:hAnsi="Times New Roman"/>
          <w:szCs w:val="24"/>
          <w:highlight w:val="lightGray"/>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8 line 33, and figure 5: the small exothermic around 69C can be caused by the baseline issue, or crystallization from amorphous phase. It may not be a decomposition. need to double check this conclusion</w:t>
      </w:r>
      <w:r>
        <w:rPr>
          <w:rFonts w:cs="Times New Roman" w:ascii="Times New Roman" w:hAnsi="Times New Roman"/>
          <w:szCs w:val="24"/>
          <w:lang w:val="en-US"/>
        </w:rPr>
        <w:t xml:space="preserve">. </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Authors’ reply: We did not interpret the exothermic peak around 69 °C in the manuscript. Due to the reviewer’s comment, we now better understand the possible reasons for the appearance of this peak. We added the explanation suggested by the reviewer (underlined) to the following passage: «The first one at 69.37 ° C is characterized by a small amount of heat released (24.47 J/g) and </w:t>
      </w:r>
      <w:r>
        <w:rPr>
          <w:rFonts w:cs="Times New Roman" w:ascii="Times New Roman" w:hAnsi="Times New Roman"/>
          <w:szCs w:val="24"/>
          <w:u w:val="single"/>
          <w:lang w:val="en-US"/>
        </w:rPr>
        <w:t>can be caused by the baseline issue, or crystallization from amorphous phase.</w:t>
      </w:r>
      <w:r>
        <w:rPr>
          <w:rFonts w:cs="Times New Roman" w:ascii="Times New Roman" w:hAnsi="Times New Roman"/>
          <w:szCs w:val="24"/>
          <w:lang w:val="en-US"/>
        </w:rPr>
        <w:t xml:space="preserve"> While for the second one, located at 146.6 ° C, the heat release of 323.0 J/g is observed». In addition, the reviewer's comment prompted us to correct the sentence on page 8, line 40, as follows: «In the case of DSs </w:t>
      </w:r>
      <w:r>
        <w:rPr>
          <w:rFonts w:cs="Times New Roman" w:ascii="Times New Roman" w:hAnsi="Times New Roman"/>
          <w:b/>
          <w:szCs w:val="24"/>
          <w:lang w:val="en-US"/>
        </w:rPr>
        <w:t>1a, 1b, 1d</w:t>
      </w:r>
      <w:r>
        <w:rPr>
          <w:rFonts w:cs="Times New Roman" w:ascii="Times New Roman" w:hAnsi="Times New Roman"/>
          <w:szCs w:val="24"/>
          <w:lang w:val="en-US"/>
        </w:rPr>
        <w:t xml:space="preserve"> the endothermic peaks are not accompanied by a weight loss and are probably associated with the rearrangement of the crystal lattice ». We also added the melting points of the diazonium salts tested to Table 1 for a better understanding of the discussed thermal effects.</w:t>
      </w:r>
    </w:p>
    <w:p>
      <w:pPr>
        <w:pStyle w:val="NoSpacing"/>
        <w:jc w:val="both"/>
        <w:rPr>
          <w:rFonts w:ascii="Times New Roman" w:hAnsi="Times New Roman" w:cs="Times New Roman"/>
          <w:szCs w:val="24"/>
          <w:highlight w:val="lightGray"/>
          <w:lang w:val="en-US"/>
        </w:rPr>
      </w:pPr>
      <w:r>
        <w:rPr>
          <w:rFonts w:cs="Times New Roman" w:ascii="Times New Roman" w:hAnsi="Times New Roman"/>
          <w:szCs w:val="24"/>
          <w:highlight w:val="lightGray"/>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Fig 1 to 6, make different line styles (such as dash vs. solid) and add legends for them. It is difficult to tell which one is which on the current graph</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Authors’ reply: Figures 1-6 have been changed according to the reviewer’s suggestion.</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Table 2, 4 and 5: unit of k (g/mol/c). What is “c”. based on equation 2, the unit of k should be reciprocal of unit of A0 and divided by unit of time. I don’t see the unit of time anywhere in the right side of equation 2 with this k unit.</w:t>
      </w:r>
      <w:r>
        <w:rPr>
          <w:rFonts w:cs="Times New Roman" w:ascii="Times New Roman" w:hAnsi="Times New Roman"/>
          <w:szCs w:val="24"/>
          <w:lang w:val="en-US"/>
        </w:rPr>
        <w:t xml:space="preserve"> </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Authors’ reply: Unfortunately, we made a typo translating the article.</w:t>
      </w:r>
      <w:r>
        <w:rPr>
          <w:rFonts w:cs="Times New Roman" w:ascii="Times New Roman" w:hAnsi="Times New Roman"/>
          <w:i/>
          <w:szCs w:val="24"/>
          <w:lang w:val="en-US"/>
        </w:rPr>
        <w:t xml:space="preserve"> </w:t>
      </w:r>
      <w:r>
        <w:rPr>
          <w:rFonts w:cs="Times New Roman" w:ascii="Times New Roman" w:hAnsi="Times New Roman"/>
          <w:szCs w:val="24"/>
          <w:lang w:val="en-US"/>
        </w:rPr>
        <w:t xml:space="preserve">The reaction rate constants given in Tables 2, 4, and 5 are in g/mol/s units, where s stands for second. To clarify the issue, we expressed the kinetic equation (2) in terms of </w:t>
      </w:r>
      <w:r>
        <w:rPr>
          <w:rFonts w:cs="Times New Roman" w:ascii="Times New Roman" w:hAnsi="Times New Roman"/>
          <w:szCs w:val="24"/>
        </w:rPr>
        <w:t>α</w:t>
      </w:r>
      <w:r>
        <w:rPr>
          <w:rFonts w:cs="Times New Roman" w:ascii="Times New Roman" w:hAnsi="Times New Roman"/>
          <w:szCs w:val="24"/>
          <w:lang w:val="en-US"/>
        </w:rPr>
        <w:t xml:space="preserve"> conversion and the constant in </w:t>
      </w:r>
      <w:r>
        <w:rPr>
          <w:rFonts w:cs="Times New Roman" w:ascii="Times New Roman" w:hAnsi="Times New Roman"/>
          <w:i/>
          <w:iCs/>
          <w:szCs w:val="24"/>
          <w:lang w:val="en-US"/>
        </w:rPr>
        <w:t>s</w:t>
      </w:r>
      <w:r>
        <w:rPr>
          <w:rFonts w:cs="Times New Roman" w:ascii="Times New Roman" w:hAnsi="Times New Roman"/>
          <w:i/>
          <w:iCs/>
          <w:szCs w:val="24"/>
          <w:vertAlign w:val="superscript"/>
          <w:lang w:val="en-US"/>
        </w:rPr>
        <w:t>-1</w:t>
      </w:r>
      <w:r>
        <w:rPr>
          <w:rFonts w:cs="Times New Roman" w:ascii="Times New Roman" w:hAnsi="Times New Roman"/>
          <w:szCs w:val="24"/>
          <w:lang w:val="en-US"/>
        </w:rPr>
        <w:t xml:space="preserve"> units. We made corresponding adjustments in the revised manuscript.  </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Table 2, 3 and 8: ΔH, In this study, the initial purity of the tested samples (reactants) is unknown, and also the conversion of the decomposition reaction is unknown. The measured heat release from the tests (J/g) can’t be converted into kJ/mol unless those information is well defined</w:t>
      </w:r>
      <w:r>
        <w:rPr>
          <w:rFonts w:cs="Times New Roman" w:ascii="Times New Roman" w:hAnsi="Times New Roman"/>
          <w:szCs w:val="24"/>
          <w:lang w:val="en-US"/>
        </w:rPr>
        <w:t xml:space="preserve">. </w:t>
      </w:r>
    </w:p>
    <w:p>
      <w:pPr>
        <w:pStyle w:val="NoSpacing"/>
        <w:jc w:val="both"/>
        <w:rPr/>
      </w:pPr>
      <w:r>
        <w:rPr>
          <w:rFonts w:cs="Times New Roman" w:ascii="Times New Roman" w:hAnsi="Times New Roman"/>
          <w:szCs w:val="24"/>
          <w:lang w:val="en-US"/>
        </w:rPr>
        <w:t>Authors’ reply: The purity degree of the tested samples is given in our previous papers referenced in the manuscript [Organic Lett. 20</w:t>
      </w:r>
      <w:r>
        <w:rPr>
          <w:rFonts w:cs="Times New Roman" w:ascii="Times New Roman" w:hAnsi="Times New Roman"/>
          <w:szCs w:val="24"/>
          <w:lang w:val="en-US"/>
        </w:rPr>
        <w:t>08</w:t>
      </w:r>
      <w:r>
        <w:rPr>
          <w:rFonts w:cs="Times New Roman" w:ascii="Times New Roman" w:hAnsi="Times New Roman"/>
          <w:szCs w:val="24"/>
          <w:lang w:val="en-US"/>
        </w:rPr>
        <w:t xml:space="preserve">, 10, 3961; Eur.J.Org.Chem. </w:t>
      </w:r>
      <w:r>
        <w:rPr>
          <w:rFonts w:cs="Times New Roman" w:ascii="Times New Roman" w:hAnsi="Times New Roman"/>
          <w:szCs w:val="24"/>
          <w:highlight w:val="yellow"/>
          <w:lang w:val="en-US"/>
        </w:rPr>
        <w:t xml:space="preserve">2019, </w:t>
      </w:r>
      <w:r>
        <w:rPr>
          <w:rFonts w:cs="Times New Roman" w:ascii="Times New Roman" w:hAnsi="Times New Roman"/>
          <w:szCs w:val="24"/>
          <w:highlight w:val="yellow"/>
          <w:lang w:val="en-US"/>
        </w:rPr>
        <w:t>665-674</w:t>
      </w:r>
      <w:r>
        <w:rPr>
          <w:rFonts w:cs="Times New Roman" w:ascii="Times New Roman" w:hAnsi="Times New Roman"/>
          <w:szCs w:val="24"/>
          <w:lang w:val="en-US"/>
        </w:rPr>
        <w:t xml:space="preserve">]. The value of ΔH is calculated by integrating a curve approximating the experimental heat flux according to equations (2) and (4), </w:t>
      </w:r>
      <w:r>
        <w:rPr>
          <w:rFonts w:cs="Times New Roman" w:ascii="Times New Roman" w:hAnsi="Times New Roman"/>
          <w:szCs w:val="24"/>
          <w:lang w:val="en-GB"/>
        </w:rPr>
        <w:t>in</w:t>
      </w:r>
      <w:r>
        <w:rPr>
          <w:rFonts w:cs="Times New Roman" w:ascii="Times New Roman" w:hAnsi="Times New Roman"/>
          <w:szCs w:val="24"/>
          <w:lang w:val="en-US"/>
        </w:rPr>
        <w:t xml:space="preserve"> the time interval (0, </w:t>
      </w:r>
      <w:r>
        <w:rPr>
          <w:rFonts w:eastAsia="Liberation Serif" w:cs="Liberation Serif" w:ascii="Liberation Serif" w:hAnsi="Liberation Serif"/>
          <w:szCs w:val="24"/>
          <w:lang w:val="en-US"/>
        </w:rPr>
        <w:t>∞</w:t>
      </w:r>
      <w:r>
        <w:rPr>
          <w:rFonts w:cs="Times New Roman" w:ascii="Times New Roman" w:hAnsi="Times New Roman"/>
          <w:szCs w:val="24"/>
          <w:lang w:val="en-US"/>
        </w:rPr>
        <w:t>).</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15 line 38: table 3, instead of table 1???</w:t>
      </w:r>
      <w:r>
        <w:rPr>
          <w:rFonts w:cs="Times New Roman" w:ascii="Times New Roman" w:hAnsi="Times New Roman"/>
          <w:szCs w:val="24"/>
          <w:lang w:val="en-US"/>
        </w:rPr>
        <w:t xml:space="preserve">  </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Authors’ reply: We agree with the reviewer’s comments. The necessary adjustments were made in the revised manuscript.</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15 line 50 and table 3, for compound 1a and 1d, DSC results show the decomposition reaction happens after melting (liquid phase reaction). The temperatures for Isothermal tests are not high enough to melt the samples. this may explain the low Pmax in isothermal tests. However, I don’t know how the authors get the full integrated ΔH from the isothermal test since there is not much reactivity observed in days. how long time is these isothermal tests?</w:t>
      </w:r>
    </w:p>
    <w:p>
      <w:pPr>
        <w:pStyle w:val="NoSpacing"/>
        <w:jc w:val="both"/>
        <w:rPr/>
      </w:pPr>
      <w:r>
        <w:rPr>
          <w:rFonts w:cs="Times New Roman" w:ascii="Times New Roman" w:hAnsi="Times New Roman"/>
          <w:szCs w:val="24"/>
          <w:lang w:val="en-US"/>
        </w:rPr>
        <w:t xml:space="preserve">Authors’ reply: </w:t>
      </w:r>
      <w:r>
        <w:rPr>
          <w:rFonts w:cs="Times New Roman" w:ascii="Times New Roman" w:hAnsi="Times New Roman"/>
          <w:szCs w:val="24"/>
          <w:highlight w:val="yellow"/>
          <w:lang w:val="en-US"/>
        </w:rPr>
        <w:t xml:space="preserve">We conducted all flow calorimetry experiments at temperatures significantly lower than the melting points in order to adequately approximate kinetic curves to normal conditions. To clarify the issue, we added the melting points to the Table 1 in the revised manuscript. </w:t>
      </w:r>
    </w:p>
    <w:p>
      <w:pPr>
        <w:pStyle w:val="Normal"/>
        <w:rPr>
          <w:highlight w:val="yellow"/>
        </w:rPr>
      </w:pPr>
      <w:r>
        <w:rPr>
          <w:rFonts w:cs="Times New Roman"/>
          <w:highlight w:val="yellow"/>
          <w:lang w:val="en-US"/>
        </w:rPr>
        <w:t xml:space="preserve">The isothermal test was carried out until the heat flux decreased below 2 μW. This value is less than 1% of the maximum heat flux and corresponds to the conversion degree </w:t>
      </w:r>
      <w:r>
        <w:rPr>
          <w:rFonts w:cs="Times New Roman"/>
          <w:highlight w:val="yellow"/>
        </w:rPr>
        <w:t>α</w:t>
      </w:r>
      <w:r>
        <w:rPr>
          <w:rFonts w:cs="Times New Roman"/>
          <w:highlight w:val="yellow"/>
          <w:lang w:val="en-US"/>
        </w:rPr>
        <w:t xml:space="preserve">&gt; 0.99. Time was varied from several hours to 50 days depending on sample and temperature. </w:t>
      </w:r>
    </w:p>
    <w:p>
      <w:pPr>
        <w:pStyle w:val="NoSpacing"/>
        <w:jc w:val="both"/>
        <w:rPr>
          <w:highlight w:val="yellow"/>
        </w:rPr>
      </w:pPr>
      <w:r>
        <w:rPr>
          <w:rFonts w:cs="Times New Roman" w:ascii="Times New Roman" w:hAnsi="Times New Roman"/>
          <w:szCs w:val="24"/>
          <w:highlight w:val="yellow"/>
          <w:lang w:val="en-US"/>
        </w:rPr>
        <w:t xml:space="preserve">The reaction enthalpy was calculated by integrating a curve approximating the experimental heat flux (equation 6), in the time interval (0, </w:t>
      </w:r>
      <w:r>
        <w:rPr>
          <w:rFonts w:eastAsia="Liberation Serif" w:cs="Liberation Serif" w:ascii="Times New Roman" w:hAnsi="Times New Roman"/>
          <w:szCs w:val="24"/>
          <w:highlight w:val="yellow"/>
          <w:lang w:val="en-US"/>
        </w:rPr>
        <w:t>∞</w:t>
      </w:r>
      <w:r>
        <w:rPr>
          <w:rFonts w:cs="Times New Roman" w:ascii="Times New Roman" w:hAnsi="Times New Roman"/>
          <w:szCs w:val="24"/>
          <w:highlight w:val="yellow"/>
          <w:lang w:val="en-US"/>
        </w:rPr>
        <w:t>). We added the calculation algorithm to the description of equations (2) and (4) in the revised manuscript.</w:t>
      </w:r>
    </w:p>
    <w:p>
      <w:pPr>
        <w:pStyle w:val="NoSpacing"/>
        <w:jc w:val="both"/>
        <w:rPr>
          <w:rFonts w:ascii="Times New Roman" w:hAnsi="Times New Roman" w:cs="Times New Roman"/>
          <w:szCs w:val="24"/>
          <w:highlight w:val="green"/>
          <w:lang w:val="en-US"/>
        </w:rPr>
      </w:pPr>
      <w:r>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16 line 39 and Page 17 line 3, the right side of equation 2 can be simplified to k*[A]*[C0]. To me, this is not autocatalytic equation since the rate is not dependent on [C]. Need more explanation or reference on this.</w:t>
      </w:r>
      <w:r>
        <w:rPr>
          <w:rFonts w:cs="Times New Roman" w:ascii="Times New Roman" w:hAnsi="Times New Roman"/>
          <w:szCs w:val="24"/>
          <w:lang w:val="en-US"/>
        </w:rPr>
        <w:t xml:space="preserve"> </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Authors’ reply: We are grateful to the reviewer for raising this issue. We corrected the equation</w:t>
      </w:r>
    </w:p>
    <w:p>
      <w:pPr>
        <w:pStyle w:val="NoSpacing"/>
        <w:jc w:val="both"/>
        <w:rPr/>
      </w:pPr>
      <w:r>
        <w:rPr>
          <w:rFonts w:cs="Times New Roman" w:ascii="Times New Roman" w:hAnsi="Times New Roman"/>
          <w:szCs w:val="24"/>
          <w:lang w:val="en-US"/>
        </w:rPr>
        <w:t xml:space="preserve"> </w:t>
      </w:r>
      <w:r>
        <w:rPr>
          <w:rFonts w:cs="Times New Roman" w:ascii="Times New Roman" w:hAnsi="Times New Roman"/>
          <w:szCs w:val="24"/>
          <w:lang w:val="en-US"/>
        </w:rPr>
        <w:t xml:space="preserve">(2) by changing </w:t>
      </w:r>
      <w:r>
        <w:rPr>
          <w:rFonts w:cs="Times New Roman" w:ascii="Times New Roman" w:hAnsi="Times New Roman"/>
          <w:szCs w:val="24"/>
        </w:rPr>
        <w:t>С</w:t>
      </w:r>
      <w:r>
        <w:rPr>
          <w:rFonts w:cs="Times New Roman" w:ascii="Times New Roman" w:hAnsi="Times New Roman"/>
          <w:szCs w:val="24"/>
          <w:vertAlign w:val="subscript"/>
          <w:lang w:val="en-US"/>
        </w:rPr>
        <w:t>0</w:t>
      </w:r>
      <w:r>
        <w:rPr>
          <w:rFonts w:cs="Times New Roman" w:ascii="Times New Roman" w:hAnsi="Times New Roman"/>
          <w:szCs w:val="24"/>
          <w:lang w:val="en-US"/>
        </w:rPr>
        <w:t xml:space="preserve"> to C. To make it clear, we expressed the kinetic equation (2) in terms of </w:t>
      </w:r>
      <w:r>
        <w:rPr>
          <w:rFonts w:cs="Times New Roman" w:ascii="Times New Roman" w:hAnsi="Times New Roman"/>
          <w:szCs w:val="24"/>
        </w:rPr>
        <w:t>α</w:t>
      </w:r>
      <w:r>
        <w:rPr>
          <w:rFonts w:cs="Times New Roman" w:ascii="Times New Roman" w:hAnsi="Times New Roman"/>
          <w:szCs w:val="24"/>
          <w:lang w:val="en-US"/>
        </w:rPr>
        <w:t xml:space="preserve"> conversion and gave more detailed explanation with the reference to a paper on modeling the kinetics of solid-phase reactions </w:t>
      </w:r>
      <w:r>
        <w:rPr>
          <w:rFonts w:cs="Times New Roman" w:ascii="Times New Roman" w:hAnsi="Times New Roman"/>
          <w:szCs w:val="24"/>
          <w:highlight w:val="yellow"/>
          <w:lang w:val="en-US"/>
        </w:rPr>
        <w:t>[</w:t>
      </w:r>
      <w:r>
        <w:rPr>
          <w:rFonts w:cs="Times New Roman" w:ascii="Times New Roman" w:hAnsi="Times New Roman"/>
          <w:szCs w:val="24"/>
          <w:highlight w:val="yellow"/>
          <w:lang w:val="en-US"/>
        </w:rPr>
        <w:t xml:space="preserve">Cai, J.; Liu, R. Kinetic Analysis of Solid-State Reactions: A General Empirical Kinetic Model. Industrial &amp; Engineering Chemistry Research 2009, 48 (6), 3249–3253. </w:t>
      </w:r>
      <w:hyperlink r:id="rId2">
        <w:r>
          <w:rPr>
            <w:rStyle w:val="Style14"/>
            <w:rFonts w:cs="Times New Roman" w:ascii="Times New Roman" w:hAnsi="Times New Roman"/>
            <w:szCs w:val="24"/>
            <w:highlight w:val="yellow"/>
            <w:lang w:val="en-US"/>
          </w:rPr>
          <w:t>https://doi.org/10.1021/ie8018615</w:t>
        </w:r>
      </w:hyperlink>
      <w:r>
        <w:rPr>
          <w:rFonts w:cs="Times New Roman" w:ascii="Times New Roman" w:hAnsi="Times New Roman"/>
          <w:szCs w:val="24"/>
          <w:highlight w:val="yellow"/>
          <w:lang w:val="en-US"/>
        </w:rPr>
        <w:t>] (referenced in the revised manuscript as [13])</w:t>
      </w:r>
      <w:r>
        <w:rPr>
          <w:rFonts w:cs="Times New Roman" w:ascii="Times New Roman" w:hAnsi="Times New Roman"/>
          <w:szCs w:val="24"/>
          <w:lang w:val="en-US"/>
        </w:rPr>
        <w:t>.</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lang w:val="en-US"/>
        </w:rPr>
      </w:pPr>
      <w:r>
        <w:rPr>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17 line 16, need better define the half-life. To me, the authors took the peak time as half-life. However, most of the times, peaks don’t follow symmetric shape</w:t>
      </w:r>
      <w:r>
        <w:rPr>
          <w:rFonts w:cs="Times New Roman" w:ascii="Times New Roman" w:hAnsi="Times New Roman"/>
          <w:szCs w:val="24"/>
          <w:lang w:val="en-US"/>
        </w:rPr>
        <w:t xml:space="preserve">. </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Authors’ reply: The half-life corresponds to the conversion degree </w:t>
      </w:r>
      <w:r>
        <w:rPr>
          <w:rFonts w:cs="Times New Roman" w:ascii="MathJax Math" w:hAnsi="MathJax Math"/>
          <w:iCs/>
          <w:szCs w:val="24"/>
          <w:lang w:val="en-US"/>
        </w:rPr>
        <w:t xml:space="preserve">of </w:t>
      </w:r>
      <w:r>
        <w:rPr>
          <w:rFonts w:cs="Times New Roman" w:ascii="Times New Roman" w:hAnsi="Times New Roman"/>
          <w:szCs w:val="24"/>
          <w:lang w:val="en-US"/>
        </w:rPr>
        <w:t xml:space="preserve">0.5. We gave the corresponding definition in the description of the equations (2)-(4): « The half-life corresponds to the conversion degree </w:t>
      </w:r>
      <w:r>
        <w:rPr>
          <w:rFonts w:cs="Times New Roman" w:ascii="MathJax Math" w:hAnsi="MathJax Math"/>
          <w:iCs/>
          <w:szCs w:val="24"/>
          <w:lang w:val="en-US"/>
        </w:rPr>
        <w:t xml:space="preserve">of </w:t>
      </w:r>
      <w:r>
        <w:rPr>
          <w:rFonts w:cs="Times New Roman" w:ascii="Times New Roman" w:hAnsi="Times New Roman"/>
          <w:szCs w:val="24"/>
          <w:lang w:val="en-US"/>
        </w:rPr>
        <w:t>0.5. Due to the symmetry of the approximating kinetic curve 4, the half-life coincides with the maximum heat flux (in the case of more complex kinetics, this rule is not fulfilled).»</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Table 4, Pmax unit: mW/g?</w:t>
      </w:r>
      <w:r>
        <w:rPr>
          <w:rFonts w:cs="Times New Roman" w:ascii="Times New Roman" w:hAnsi="Times New Roman"/>
          <w:szCs w:val="24"/>
          <w:lang w:val="en-US"/>
        </w:rPr>
        <w:t xml:space="preserve">   </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Authors’ reply: Table 4 showed the unnormalized values of the initial heat flux (P</w:t>
      </w:r>
      <w:r>
        <w:rPr>
          <w:rFonts w:cs="Times New Roman" w:ascii="Times New Roman" w:hAnsi="Times New Roman"/>
          <w:szCs w:val="24"/>
          <w:vertAlign w:val="subscript"/>
          <w:lang w:val="en-US"/>
        </w:rPr>
        <w:t>0</w:t>
      </w:r>
      <w:r>
        <w:rPr>
          <w:rFonts w:cs="Times New Roman" w:ascii="Times New Roman" w:hAnsi="Times New Roman"/>
          <w:szCs w:val="24"/>
          <w:lang w:val="en-US"/>
        </w:rPr>
        <w:t>) in μW. We reprocessed the data and presented the values in mW/g units as was suggested by the reviewer.</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Figure 8, Pmax of 1c is around 120mW/g but Line 10 mentions 101.5 mW/g</w:t>
      </w:r>
      <w:r>
        <w:rPr>
          <w:rFonts w:cs="Times New Roman" w:ascii="Times New Roman" w:hAnsi="Times New Roman"/>
          <w:szCs w:val="24"/>
          <w:lang w:val="en-US"/>
        </w:rPr>
        <w:t xml:space="preserve"> </w:t>
      </w:r>
    </w:p>
    <w:p>
      <w:pPr>
        <w:pStyle w:val="NoSpacing"/>
        <w:jc w:val="both"/>
        <w:rPr>
          <w:lang w:val="en-US"/>
        </w:rPr>
      </w:pPr>
      <w:r>
        <w:rPr>
          <w:rFonts w:cs="Times New Roman" w:ascii="Times New Roman" w:hAnsi="Times New Roman"/>
          <w:szCs w:val="24"/>
          <w:lang w:val="en-US"/>
        </w:rPr>
        <w:t>Authors’ reply: Indeed, the experimental P</w:t>
      </w:r>
      <w:r>
        <w:rPr>
          <w:rFonts w:cs="Times New Roman" w:ascii="Times New Roman" w:hAnsi="Times New Roman"/>
          <w:szCs w:val="24"/>
          <w:vertAlign w:val="subscript"/>
          <w:lang w:val="en-US"/>
        </w:rPr>
        <w:t>max</w:t>
      </w:r>
      <w:r>
        <w:rPr>
          <w:rFonts w:cs="Times New Roman" w:ascii="Times New Roman" w:hAnsi="Times New Roman"/>
          <w:szCs w:val="24"/>
          <w:lang w:val="en-US"/>
        </w:rPr>
        <w:t xml:space="preserve"> value for diazonium salt </w:t>
      </w:r>
      <w:r>
        <w:rPr>
          <w:rFonts w:cs="Times New Roman" w:ascii="Times New Roman" w:hAnsi="Times New Roman"/>
          <w:b/>
          <w:bCs/>
          <w:szCs w:val="24"/>
          <w:lang w:val="en-US"/>
        </w:rPr>
        <w:t>1</w:t>
      </w:r>
      <w:r>
        <w:rPr>
          <w:rFonts w:cs="Times New Roman" w:ascii="Times New Roman" w:hAnsi="Times New Roman"/>
          <w:b/>
          <w:bCs/>
          <w:szCs w:val="24"/>
        </w:rPr>
        <w:t>с</w:t>
      </w:r>
      <w:r>
        <w:rPr>
          <w:rFonts w:cs="Times New Roman" w:ascii="Times New Roman" w:hAnsi="Times New Roman"/>
          <w:szCs w:val="24"/>
          <w:lang w:val="en-US"/>
        </w:rPr>
        <w:t xml:space="preserve"> is 119.5 mW/g. We corrected the misprint and carefully checked all the data in Tables 2, 3, 4, and 5.</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19 line53 5h vs. page 19 line5 4hr???</w:t>
      </w:r>
      <w:r>
        <w:rPr>
          <w:rFonts w:cs="Times New Roman" w:ascii="Times New Roman" w:hAnsi="Times New Roman"/>
          <w:szCs w:val="24"/>
          <w:lang w:val="en-US"/>
        </w:rPr>
        <w:t xml:space="preserve"> </w:t>
      </w:r>
    </w:p>
    <w:p>
      <w:pPr>
        <w:pStyle w:val="NoSpacing"/>
        <w:jc w:val="both"/>
        <w:rPr>
          <w:lang w:val="en-US"/>
        </w:rPr>
      </w:pPr>
      <w:r>
        <w:rPr>
          <w:rFonts w:cs="Times New Roman" w:ascii="Times New Roman" w:hAnsi="Times New Roman"/>
          <w:szCs w:val="24"/>
          <w:lang w:val="en-US"/>
        </w:rPr>
        <w:t xml:space="preserve">Authors’ reply: The experimental value is 4 h. We corrected the misprint and carefully checked the text of the manuscript. </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iCs/>
          <w:szCs w:val="24"/>
          <w:lang w:val="en-US"/>
        </w:rPr>
        <w:t>Page 20 line 43: define Arrhenius equation or add a reference for it</w:t>
      </w:r>
      <w:r>
        <w:rPr>
          <w:rFonts w:cs="Times New Roman" w:ascii="Times New Roman" w:hAnsi="Times New Roman"/>
          <w:szCs w:val="24"/>
          <w:lang w:val="en-US"/>
        </w:rPr>
        <w:t xml:space="preserve"> </w:t>
      </w:r>
    </w:p>
    <w:p>
      <w:pPr>
        <w:pStyle w:val="NoSpacing"/>
        <w:jc w:val="both"/>
        <w:rPr>
          <w:rFonts w:ascii="Times New Roman" w:hAnsi="Times New Roman" w:cs="Times New Roman"/>
          <w:szCs w:val="24"/>
          <w:lang w:val="en-US"/>
        </w:rPr>
      </w:pPr>
      <w:bookmarkStart w:id="3" w:name="__DdeLink__3500_1809275712"/>
      <w:r>
        <w:rPr>
          <w:rFonts w:cs="Times New Roman" w:ascii="Times New Roman" w:hAnsi="Times New Roman"/>
          <w:szCs w:val="24"/>
          <w:lang w:val="en-US"/>
        </w:rPr>
        <w:t xml:space="preserve">Authors’ reply: </w:t>
      </w:r>
      <w:bookmarkEnd w:id="3"/>
      <w:r>
        <w:rPr>
          <w:rFonts w:cs="Times New Roman" w:ascii="Times New Roman" w:hAnsi="Times New Roman"/>
          <w:szCs w:val="24"/>
          <w:lang w:val="en-US"/>
        </w:rPr>
        <w:t>We added the Arrhenius equation (5) to the revised manuscript and showed how it is related to the kinetic equation (2).</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pPr>
      <w:commentRangeStart w:id="1"/>
      <w:r>
        <w:rPr>
          <w:rFonts w:cs="Times New Roman" w:ascii="Times New Roman" w:hAnsi="Times New Roman"/>
          <w:szCs w:val="24"/>
          <w:highlight w:val="yellow"/>
          <w:lang w:val="en-US"/>
        </w:rPr>
        <w:t>Reviewer 4 raised the following issue: Page 30 line 49: DFT result is more for gas phase reactions, while the measurement result is for solid phase. Any reference for such comparison used in this paper or address such difference?</w:t>
      </w:r>
      <w:r>
        <w:rPr>
          <w:rFonts w:cs="Times New Roman" w:ascii="Times New Roman" w:hAnsi="Times New Roman"/>
          <w:szCs w:val="24"/>
          <w:lang w:val="en-US"/>
        </w:rPr>
        <w:t xml:space="preserve">     </w:t>
      </w:r>
    </w:p>
    <w:p>
      <w:pPr>
        <w:pStyle w:val="NoSpacing"/>
        <w:jc w:val="both"/>
        <w:rPr/>
      </w:pPr>
      <w:r>
        <w:rPr>
          <w:rFonts w:cs="Times New Roman" w:ascii="Times New Roman" w:hAnsi="Times New Roman"/>
          <w:szCs w:val="24"/>
          <w:highlight w:val="yellow"/>
          <w:lang w:val="en-US"/>
        </w:rPr>
        <w:t>Authors’ reply: We share the reviewer's concern and are grateful for raising this important issue. To address this, we added the following passage to the Quantum chemical calculations section (highlighted in green within the manuscript):</w:t>
      </w:r>
    </w:p>
    <w:p>
      <w:pPr>
        <w:pStyle w:val="NoSpacing"/>
        <w:jc w:val="both"/>
        <w:rPr>
          <w:rFonts w:ascii="Times New Roman" w:hAnsi="Times New Roman" w:cs="Times New Roman"/>
          <w:szCs w:val="24"/>
          <w:lang w:val="en-US"/>
        </w:rPr>
      </w:pPr>
      <w:r>
        <w:rPr>
          <w:rFonts w:cs="Times New Roman" w:ascii="Times New Roman" w:hAnsi="Times New Roman"/>
          <w:szCs w:val="24"/>
          <w:highlight w:val="yellow"/>
          <w:lang w:val="en-US"/>
        </w:rPr>
        <w:t>«Importantly, the DFT calculations were carried out assuming reagents and products are isolated molecules, therefore, the electric field of crystal was neglected. However, the very fact that the predicted energies are in good agreement with the experimental values measured by flow calorimetry for the decomposition reactions of five diazonium salts with different counterions and ring substituents 1b-d, 2 and 3 (Table 8) indicates that the major contribution to the reaction thermodynamics is made by the chemical transformations, whereas the effects of changing the crystal lattices are minor. Possibly, it is due to the fact that both reagents and products remain solid (except N2), thus, there is a compensation for the thermal effects of the transformation of the crystal lattices of the starting material and products. From an application prospective, it is also important that the proposed quantum-chemical approach to assessing the thermodynamics of decomposition reactions of DSs is relatively easy to implement. While calculations that take into account unknown transformations of crystal lattice are much more laborious, sophisticated and cannot yet be widely used to predict the thermal effects of chemical reactions, despite the known progress in calculating the crystalline state of benzenediazonium chloride and tetrafluoroborate. 2c,d»</w:t>
      </w:r>
      <w:commentRangeEnd w:id="1"/>
      <w:r>
        <w:commentReference w:id="1"/>
      </w: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Ксения Станкевич" w:date="2019-08-28T18:24:00Z" w:initials="КС">
    <w:p>
      <w:r>
        <w:rPr>
          <w:rFonts w:ascii="Liberation Serif" w:hAnsi="Liberation Serif" w:eastAsia="DejaVu Sans" w:cs="DejaVu Sans"/>
          <w:lang w:val="en-US" w:eastAsia="en-US" w:bidi="en-US"/>
        </w:rPr>
        <w:t xml:space="preserve">Нужно посмотреть, есть ли для </w:t>
      </w:r>
      <w:r>
        <w:rPr>
          <w:rFonts w:ascii="Liberation Serif" w:hAnsi="Liberation Serif" w:eastAsia="DejaVu Sans" w:cs="DejaVu Sans"/>
          <w:lang w:eastAsia="en-US" w:bidi="en-US" w:val="en-US"/>
        </w:rPr>
        <w:t>equation</w:t>
      </w:r>
      <w:r>
        <w:rPr>
          <w:rFonts w:ascii="Liberation Serif" w:hAnsi="Liberation Serif" w:eastAsia="DejaVu Sans" w:cs="DejaVu Sans"/>
          <w:lang w:val="en-US" w:eastAsia="en-US" w:bidi="en-US"/>
        </w:rPr>
        <w:t xml:space="preserve"> сокращение в статье</w:t>
      </w:r>
    </w:p>
  </w:comment>
  <w:comment w:id="1" w:author="Ксения Станкевич" w:date="2019-08-28T18:25:00Z" w:initials="КС">
    <w:p>
      <w:r>
        <w:rPr>
          <w:rFonts w:ascii="Liberation Serif" w:hAnsi="Liberation Serif" w:eastAsia="DejaVu Sans" w:cs="DejaVu Sans"/>
          <w:lang w:val="en-US" w:eastAsia="en-US" w:bidi="en-US"/>
        </w:rPr>
        <w:t>Остался вопрос без ответа. Вы хотите на него ответить также как одному из предыдущих рецензентов?</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MathJax Math">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573c6"/>
    <w:pPr>
      <w:widowControl/>
      <w:bidi w:val="0"/>
      <w:jc w:val="left"/>
    </w:pPr>
    <w:rPr>
      <w:rFonts w:ascii="Times New Roman" w:hAnsi="Times New Roman" w:eastAsia="Times New Roman" w:cs="Times New Roman"/>
      <w:color w:val="auto"/>
      <w:kern w:val="0"/>
      <w:sz w:val="24"/>
      <w:szCs w:val="24"/>
      <w:lang w:eastAsia="ru-RU" w:val="ru-RU" w:bidi="ar-SA"/>
    </w:rPr>
  </w:style>
  <w:style w:type="character" w:styleId="DefaultParagraphFont" w:default="1">
    <w:name w:val="Default Paragraph Font"/>
    <w:uiPriority w:val="1"/>
    <w:semiHidden/>
    <w:unhideWhenUsed/>
    <w:qFormat/>
    <w:rPr/>
  </w:style>
  <w:style w:type="character" w:styleId="Style14" w:customStyle="1">
    <w:name w:val="Интернет-ссылка"/>
    <w:rPr>
      <w:color w:val="000080"/>
      <w:u w:val="single"/>
    </w:rPr>
  </w:style>
  <w:style w:type="character" w:styleId="ListLabel49" w:customStyle="1">
    <w:name w:val="ListLabel 49"/>
    <w:qFormat/>
    <w:rPr>
      <w:b w:val="false"/>
      <w:bCs w:val="false"/>
      <w:color w:val="auto"/>
      <w:highlight w:val="yellow"/>
    </w:rPr>
  </w:style>
  <w:style w:type="character" w:styleId="ListLabel50" w:customStyle="1">
    <w:name w:val="ListLabel 50"/>
    <w:qFormat/>
    <w:rPr>
      <w:rFonts w:ascii="Times New Roman" w:hAnsi="Times New Roman" w:cs="Times New Roman"/>
      <w:b w:val="false"/>
      <w:bCs w:val="false"/>
      <w:color w:val="auto"/>
      <w:sz w:val="24"/>
      <w:szCs w:val="24"/>
    </w:rPr>
  </w:style>
  <w:style w:type="character" w:styleId="Annotationreference">
    <w:name w:val="annotation reference"/>
    <w:basedOn w:val="DefaultParagraphFont"/>
    <w:uiPriority w:val="99"/>
    <w:semiHidden/>
    <w:unhideWhenUsed/>
    <w:qFormat/>
    <w:rsid w:val="00e76a35"/>
    <w:rPr>
      <w:sz w:val="16"/>
      <w:szCs w:val="16"/>
    </w:rPr>
  </w:style>
  <w:style w:type="character" w:styleId="Style15" w:customStyle="1">
    <w:name w:val="Текст примечания Знак"/>
    <w:basedOn w:val="DefaultParagraphFont"/>
    <w:uiPriority w:val="99"/>
    <w:semiHidden/>
    <w:qFormat/>
    <w:rsid w:val="00e76a35"/>
    <w:rPr>
      <w:rFonts w:ascii="Times New Roman" w:hAnsi="Times New Roman" w:eastAsia="Times New Roman" w:cs="Times New Roman"/>
      <w:szCs w:val="20"/>
      <w:lang w:eastAsia="ru-RU"/>
    </w:rPr>
  </w:style>
  <w:style w:type="character" w:styleId="Style16" w:customStyle="1">
    <w:name w:val="Тема примечания Знак"/>
    <w:basedOn w:val="Style15"/>
    <w:uiPriority w:val="99"/>
    <w:semiHidden/>
    <w:qFormat/>
    <w:rsid w:val="00e76a35"/>
    <w:rPr>
      <w:rFonts w:ascii="Times New Roman" w:hAnsi="Times New Roman" w:eastAsia="Times New Roman" w:cs="Times New Roman"/>
      <w:b/>
      <w:bCs/>
      <w:szCs w:val="20"/>
      <w:lang w:eastAsia="ru-RU"/>
    </w:rPr>
  </w:style>
  <w:style w:type="character" w:styleId="Style17" w:customStyle="1">
    <w:name w:val="Текст выноски Знак"/>
    <w:basedOn w:val="DefaultParagraphFont"/>
    <w:uiPriority w:val="99"/>
    <w:semiHidden/>
    <w:qFormat/>
    <w:rsid w:val="00e76a35"/>
    <w:rPr>
      <w:rFonts w:ascii="Segoe UI" w:hAnsi="Segoe UI" w:eastAsia="Times New Roman" w:cs="Segoe UI"/>
      <w:sz w:val="18"/>
      <w:szCs w:val="18"/>
      <w:lang w:eastAsia="ru-RU"/>
    </w:rPr>
  </w:style>
  <w:style w:type="character" w:styleId="ListLabel51" w:customStyle="1">
    <w:name w:val="ListLabel 51"/>
    <w:qFormat/>
    <w:rPr>
      <w:rFonts w:ascii="Times New Roman" w:hAnsi="Times New Roman" w:cs="Times New Roman"/>
      <w:color w:val="auto"/>
      <w:szCs w:val="24"/>
      <w:highlight w:val="yellow"/>
      <w:lang w:val="en-US"/>
    </w:rPr>
  </w:style>
  <w:style w:type="character" w:styleId="ListLabel52" w:customStyle="1">
    <w:name w:val="ListLabel 52"/>
    <w:qFormat/>
    <w:rPr>
      <w:rFonts w:ascii="Times New Roman" w:hAnsi="Times New Roman" w:cs="Times New Roman"/>
      <w:color w:val="auto"/>
      <w:szCs w:val="24"/>
      <w:highlight w:val="yellow"/>
      <w:lang w:val="en-US"/>
    </w:rPr>
  </w:style>
  <w:style w:type="paragraph" w:styleId="Style18" w:customStyle="1">
    <w:name w:val="Заголовок"/>
    <w:basedOn w:val="Normal"/>
    <w:next w:val="Style19"/>
    <w:qFormat/>
    <w:pPr>
      <w:keepNext w:val="true"/>
      <w:spacing w:before="240" w:after="120"/>
    </w:pPr>
    <w:rPr>
      <w:rFonts w:ascii="Liberation Sans" w:hAnsi="Liberation Sans" w:eastAsia="Noto Sans CJK SC Regular" w:cs="FreeSans"/>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FreeSans"/>
    </w:rPr>
  </w:style>
  <w:style w:type="paragraph" w:styleId="Style21">
    <w:name w:val="Caption"/>
    <w:basedOn w:val="Normal"/>
    <w:qFormat/>
    <w:pPr>
      <w:suppressLineNumbers/>
      <w:spacing w:before="120" w:after="120"/>
    </w:pPr>
    <w:rPr>
      <w:rFonts w:cs="FreeSans"/>
      <w:i/>
      <w:iCs/>
      <w:sz w:val="24"/>
      <w:szCs w:val="24"/>
    </w:rPr>
  </w:style>
  <w:style w:type="paragraph" w:styleId="Style22">
    <w:name w:val="Указатель"/>
    <w:basedOn w:val="Normal"/>
    <w:qFormat/>
    <w:pPr>
      <w:suppressLineNumbers/>
    </w:pPr>
    <w:rPr>
      <w:rFonts w:cs="FreeSans"/>
    </w:rPr>
  </w:style>
  <w:style w:type="paragraph" w:styleId="Caption">
    <w:name w:val="caption"/>
    <w:basedOn w:val="Normal"/>
    <w:qFormat/>
    <w:pPr>
      <w:suppressLineNumbers/>
      <w:spacing w:before="120" w:after="120"/>
    </w:pPr>
    <w:rPr>
      <w:rFonts w:cs="FreeSans"/>
      <w:i/>
      <w:iCs/>
    </w:rPr>
  </w:style>
  <w:style w:type="paragraph" w:styleId="Indexheading">
    <w:name w:val="index heading"/>
    <w:basedOn w:val="Normal"/>
    <w:qFormat/>
    <w:pPr>
      <w:suppressLineNumbers/>
    </w:pPr>
    <w:rPr>
      <w:rFonts w:cs="FreeSans"/>
    </w:rPr>
  </w:style>
  <w:style w:type="paragraph" w:styleId="Style23">
    <w:name w:val="Title"/>
    <w:basedOn w:val="Normal"/>
    <w:next w:val="Style19"/>
    <w:qFormat/>
    <w:pPr>
      <w:keepNext w:val="true"/>
      <w:spacing w:before="240" w:after="120"/>
    </w:pPr>
    <w:rPr>
      <w:rFonts w:ascii="Liberation Sans" w:hAnsi="Liberation Sans" w:eastAsia="Noto Sans CJK SC Regular" w:cs="FreeSans"/>
      <w:sz w:val="28"/>
      <w:szCs w:val="28"/>
    </w:rPr>
  </w:style>
  <w:style w:type="paragraph" w:styleId="NoSpacing">
    <w:name w:val="No Spacing"/>
    <w:uiPriority w:val="1"/>
    <w:qFormat/>
    <w:rsid w:val="00ff61ef"/>
    <w:pPr>
      <w:widowControl/>
      <w:bidi w:val="0"/>
      <w:jc w:val="left"/>
    </w:pPr>
    <w:rPr>
      <w:rFonts w:ascii="Calibri" w:hAnsi="Calibri" w:eastAsia="Calibri" w:cs="" w:asciiTheme="minorHAnsi" w:cstheme="minorBidi" w:eastAsiaTheme="minorHAnsi" w:hAnsiTheme="minorHAnsi"/>
      <w:color w:val="auto"/>
      <w:kern w:val="0"/>
      <w:sz w:val="24"/>
      <w:szCs w:val="22"/>
      <w:lang w:val="ru-RU" w:eastAsia="en-US" w:bidi="ar-SA"/>
    </w:rPr>
  </w:style>
  <w:style w:type="paragraph" w:styleId="Annotationtext">
    <w:name w:val="annotation text"/>
    <w:basedOn w:val="Normal"/>
    <w:uiPriority w:val="99"/>
    <w:semiHidden/>
    <w:unhideWhenUsed/>
    <w:qFormat/>
    <w:rsid w:val="00e76a35"/>
    <w:pPr/>
    <w:rPr>
      <w:sz w:val="20"/>
      <w:szCs w:val="20"/>
    </w:rPr>
  </w:style>
  <w:style w:type="paragraph" w:styleId="Annotationsubject">
    <w:name w:val="annotation subject"/>
    <w:basedOn w:val="Annotationtext"/>
    <w:next w:val="Annotationtext"/>
    <w:uiPriority w:val="99"/>
    <w:semiHidden/>
    <w:unhideWhenUsed/>
    <w:qFormat/>
    <w:rsid w:val="00e76a35"/>
    <w:pPr/>
    <w:rPr>
      <w:b/>
      <w:bCs/>
    </w:rPr>
  </w:style>
  <w:style w:type="paragraph" w:styleId="BalloonText">
    <w:name w:val="Balloon Text"/>
    <w:basedOn w:val="Normal"/>
    <w:uiPriority w:val="99"/>
    <w:semiHidden/>
    <w:unhideWhenUsed/>
    <w:qFormat/>
    <w:rsid w:val="00e76a35"/>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21/ie8018615" TargetMode="Externa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06DC0-EB61-4A32-8C6D-52A95C9CA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Application>LibreOffice/6.1.5.2$Linux_X86_64 LibreOffice_project/10$Build-2</Application>
  <Pages>7</Pages>
  <Words>3029</Words>
  <Characters>15823</Characters>
  <CharactersWithSpaces>18822</CharactersWithSpaces>
  <Paragraphs>64</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2019-08-22T04:27:00Z</dcterms:created>
  <dc:creator>Viktor D. Filimonov</dc:creator>
  <dc:description/>
  <dc:language>ru-RU</dc:language>
  <cp:lastModifiedBy/>
  <dcterms:modified xsi:type="dcterms:W3CDTF">2019-08-31T09:58:17Z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