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29.png" ContentType="image/png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30.wmf" ContentType="image/x-wmf"/>
  <Override PartName="/word/media/image11.png" ContentType="image/png"/>
  <Override PartName="/word/media/image31.wmf" ContentType="image/x-wmf"/>
  <Override PartName="/word/media/image12.png" ContentType="image/png"/>
  <Override PartName="/word/media/image32.wmf" ContentType="image/x-wmf"/>
  <Override PartName="/word/media/image13.png" ContentType="image/png"/>
  <Override PartName="/word/media/image33.wmf" ContentType="image/x-wmf"/>
  <Override PartName="/word/media/image14.png" ContentType="image/png"/>
  <Override PartName="/word/media/image34.wmf" ContentType="image/x-wmf"/>
  <Override PartName="/word/media/image15.png" ContentType="image/png"/>
  <Override PartName="/word/media/image16.png" ContentType="image/png"/>
  <Override PartName="/word/media/image17.png" ContentType="image/png"/>
  <Override PartName="/word/media/image37.wmf" ContentType="image/x-wmf"/>
  <Override PartName="/word/media/image18.png" ContentType="image/png"/>
  <Override PartName="/word/media/image38.wmf" ContentType="image/x-wmf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2"/>
        <w:numPr>
          <w:ilvl w:val="1"/>
          <w:numId w:val="2"/>
        </w:numPr>
        <w:spacing w:before="200" w:after="120"/>
        <w:ind w:left="0" w:right="0" w:hanging="0"/>
        <w:jc w:val="center"/>
        <w:rPr>
          <w:lang w:val="en-US"/>
        </w:rPr>
      </w:pPr>
      <w:r>
        <w:rPr>
          <w:lang w:val="en-US"/>
        </w:rPr>
        <w:t>Comparative analysis of the thermal stability of the arenediazonium triflates, tosylates and tetrafluoroborates by calorimetric methods</w:t>
      </w:r>
    </w:p>
    <w:p>
      <w:pPr>
        <w:pStyle w:val="Normal"/>
        <w:rPr>
          <w:highlight w:val="yellow"/>
        </w:rPr>
      </w:pPr>
      <w:r>
        <w:rPr>
          <w:highlight w:val="yellow"/>
          <w:lang w:val="en-US"/>
        </w:rPr>
        <w:t>Alexander A. Bondarev,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Evgeny V. Naumov,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Assiya Zh. Kassanova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, Elena A. Krasnokutskaya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>, Victor D. Filimonov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vertAlign w:val="superscript"/>
          <w:lang w:val="en-US"/>
        </w:rPr>
        <w:t>1 </w:t>
      </w:r>
      <w:r>
        <w:rPr>
          <w:lang w:val="en-US"/>
        </w:rPr>
        <w:t xml:space="preserve">Department of Biomedicine, Altai State University, Barnaul, Russia, </w:t>
      </w:r>
      <w:hyperlink r:id="rId2">
        <w:r>
          <w:rPr>
            <w:rStyle w:val="Style13"/>
          </w:rPr>
          <w:t>alex_root@mail.ru</w:t>
        </w:r>
      </w:hyperlink>
    </w:p>
    <w:p>
      <w:pPr>
        <w:pStyle w:val="Normal"/>
        <w:rPr/>
      </w:pPr>
      <w:r>
        <w:rPr>
          <w:vertAlign w:val="superscript"/>
          <w:lang w:val="en-US"/>
        </w:rPr>
        <w:softHyphen/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vertAlign w:val="superscript"/>
          <w:lang w:val="en-US"/>
        </w:rPr>
        <w:t> </w:t>
      </w:r>
      <w:r>
        <w:rPr>
          <w:highlight w:val="yellow"/>
          <w:lang w:val="en-US"/>
        </w:rPr>
        <w:t>S. Toraighyrov Pavlodar State University, Pavlodar, Kazakhstan</w:t>
      </w:r>
    </w:p>
    <w:p>
      <w:pPr>
        <w:pStyle w:val="Normal"/>
        <w:rPr/>
      </w:pPr>
      <w:r>
        <w:rPr>
          <w:vertAlign w:val="superscript"/>
          <w:lang w:val="en-US"/>
        </w:rPr>
        <w:t>3</w:t>
      </w:r>
      <w:r>
        <w:rPr>
          <w:vertAlign w:val="superscript"/>
          <w:lang w:val="en-US"/>
        </w:rPr>
        <w:t> </w:t>
      </w:r>
      <w:r>
        <w:rPr>
          <w:lang w:val="en-US"/>
        </w:rPr>
        <w:t xml:space="preserve">Department of Biotechnology and Organic Chemistry, National Research Tomsk Polytechnic University, 634050 Tomsk, Russia  </w:t>
      </w:r>
    </w:p>
    <w:p>
      <w:pPr>
        <w:pStyle w:val="3"/>
        <w:numPr>
          <w:ilvl w:val="2"/>
          <w:numId w:val="2"/>
        </w:numPr>
        <w:ind w:left="0" w:right="0" w:firstLine="567"/>
        <w:rPr>
          <w:highlight w:val="yellow"/>
        </w:rPr>
      </w:pPr>
      <w:r>
        <w:rPr>
          <w:highlight w:val="yellow"/>
        </w:rPr>
        <w:t>Abstract</w:t>
      </w:r>
    </w:p>
    <w:p>
      <w:pPr>
        <w:pStyle w:val="Normal"/>
        <w:widowControl/>
        <w:numPr>
          <w:ilvl w:val="2"/>
          <w:numId w:val="2"/>
        </w:numPr>
        <w:suppressAutoHyphens w:val="true"/>
        <w:bidi w:val="0"/>
        <w:spacing w:lineRule="auto" w:line="312"/>
        <w:ind w:left="0" w:right="0" w:firstLine="567"/>
        <w:jc w:val="both"/>
        <w:rPr>
          <w:highlight w:val="yellow"/>
        </w:rPr>
      </w:pPr>
      <w:r>
        <w:rPr>
          <w:highlight w:val="yellow"/>
        </w:rPr>
        <w:t>Впервые методом потоковой калориметрии и DSC изучены трифлатные, тозилатные и тетрафторборатные соли диазония. Проведена аппроксимация кинетических кривых разложения на нормальные условия, определены энергии активации и времена полураспада изученных диазониевых солей. Продукты разложения исследованы методами GC-MS и LC-MS. Рассчитаны методами квантовой химии термодинамические параметры предполагаемых процессов протекающих при разложении диазониевых солей. Показана повышенная стабильность и устойчивость при хранении трифлатных солей диазония.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Введение</w:t>
      </w:r>
    </w:p>
    <w:p>
      <w:pPr>
        <w:pStyle w:val="ListParagraph"/>
        <w:numPr>
          <w:ilvl w:val="3"/>
          <w:numId w:val="2"/>
        </w:numPr>
        <w:rPr/>
      </w:pPr>
      <w:r>
        <w:rPr>
          <w:rFonts w:cs="Times New Roman" w:ascii="Times New Roman" w:hAnsi="Times New Roman"/>
        </w:rPr>
        <w:t>Ароматические диазониевые соли (</w:t>
      </w:r>
      <w:r>
        <w:rPr>
          <w:rFonts w:cs="Times New Roman" w:ascii="Times New Roman" w:hAnsi="Times New Roman"/>
          <w:lang w:val="en-US"/>
        </w:rPr>
        <w:t>DS</w:t>
      </w:r>
      <w:r>
        <w:rPr>
          <w:rFonts w:cs="Times New Roman" w:ascii="Times New Roman" w:hAnsi="Times New Roman"/>
        </w:rPr>
        <w:t xml:space="preserve">) являются одними из важнейших строительных блоков классического органического синтеза и индустрии [1]. Кроме того,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наноразмерных композитных органических материалов [2]. </w:t>
      </w:r>
    </w:p>
    <w:p>
      <w:pPr>
        <w:pStyle w:val="Normal"/>
        <w:rPr/>
      </w:pPr>
      <w:r>
        <w:rPr/>
        <w:t xml:space="preserve">Вместе с тем, для многих </w:t>
      </w:r>
      <w:r>
        <w:rPr>
          <w:lang w:val="en-US"/>
        </w:rPr>
        <w:t>DS</w:t>
      </w:r>
      <w:r>
        <w:rPr/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фотоооблучении и механических воздействиях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что затрудняет их получение и использование особенно в промышленном масштабе.</w:t>
      </w:r>
    </w:p>
    <w:p>
      <w:pPr>
        <w:pStyle w:val="Normal"/>
        <w:rPr/>
      </w:pPr>
      <w:r>
        <w:rPr>
          <w:rFonts w:cs="Times New Roman" w:ascii="Times New Roman" w:hAnsi="Times New Roman"/>
        </w:rPr>
        <w:t>Давно известно, что солянокислые растворы арендиазоний хлоридов могут быть «стабилизированы» добавками нафталинсульфокислоты. Предполагалось, хотя и без доказательств, что эта стабилизация происходит за счет ионного обмена и образования в растворах арендиазоний нафтилсульфонатов [1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]. Ранее нам впервые удалось получить в индивидуальном состоянии арендиазоний тозилаты ArN</w:t>
      </w:r>
      <w:r>
        <w:rPr>
          <w:rFonts w:cs="Times New Roman" w:ascii="Times New Roman" w:hAnsi="Times New Roman"/>
          <w:vertAlign w:val="subscript"/>
        </w:rPr>
        <w:t>2</w:t>
      </w:r>
      <w:r>
        <w:rPr>
          <w:rFonts w:cs="Times New Roman" w:ascii="Times New Roman" w:hAnsi="Times New Roman"/>
          <w:vertAlign w:val="superscript"/>
        </w:rPr>
        <w:t xml:space="preserve">+ </w:t>
      </w:r>
      <w:r>
        <w:rPr>
          <w:rFonts w:cs="Times New Roman" w:ascii="Times New Roman" w:hAnsi="Times New Roman"/>
        </w:rPr>
        <w:t>TsO</w:t>
      </w:r>
      <w:r>
        <w:rPr>
          <w:rFonts w:cs="Times New Roman" w:ascii="Times New Roman" w:hAnsi="Times New Roman"/>
          <w:vertAlign w:val="superscript"/>
        </w:rPr>
        <w:t>-</w:t>
      </w:r>
      <w:r>
        <w:rPr>
          <w:rFonts w:cs="Times New Roman" w:ascii="Times New Roman" w:hAnsi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легко получаются из доступного сырья, обладают высокой «диазониевой» активностью и с успехом используются для галоид-дедиазонирования [3,4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-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 xml:space="preserve">] и введение в арены изотопа </w:t>
      </w:r>
      <w:r>
        <w:rPr>
          <w:rFonts w:cs="Times New Roman" w:ascii="Times New Roman" w:hAnsi="Times New Roman"/>
          <w:vertAlign w:val="superscript"/>
        </w:rPr>
        <w:t>18</w:t>
      </w:r>
      <w:r>
        <w:rPr>
          <w:rFonts w:cs="Times New Roman" w:ascii="Times New Roman" w:hAnsi="Times New Roman"/>
        </w:rPr>
        <w:t>F [4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], для получения ароматических азидов [4</w:t>
      </w:r>
      <w:r>
        <w:rPr>
          <w:rFonts w:cs="Times New Roman" w:ascii="Times New Roman" w:hAnsi="Times New Roman"/>
          <w:lang w:val="en-US"/>
        </w:rPr>
        <w:t>g</w:t>
      </w:r>
      <w:r>
        <w:rPr>
          <w:rFonts w:cs="Times New Roman" w:ascii="Times New Roman" w:hAnsi="Times New Roman"/>
        </w:rPr>
        <w:t xml:space="preserve">], проведения azo-coupling с этил </w:t>
      </w:r>
      <w:r>
        <w:rPr>
          <w:rFonts w:cs="Times New Roman" w:ascii="Symbol" w:hAnsi="Symbol"/>
        </w:rPr>
        <w:t></w:t>
      </w:r>
      <w:r>
        <w:rPr>
          <w:rFonts w:cs="Times New Roman" w:ascii="Times New Roman" w:hAnsi="Times New Roman"/>
        </w:rPr>
        <w:t>-метилацетоацетатом [5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], замещении диазониевой группы на триэтоксисилильную [5</w:t>
      </w:r>
      <w:r>
        <w:rPr>
          <w:rFonts w:cs="Times New Roman" w:ascii="Times New Roman" w:hAnsi="Times New Roman"/>
          <w:lang w:val="en-US"/>
        </w:rPr>
        <w:t>b</w:t>
      </w:r>
      <w:r>
        <w:rPr>
          <w:rFonts w:cs="Times New Roman" w:ascii="Times New Roman" w:hAnsi="Times New Roman"/>
        </w:rPr>
        <w:t>], Cu- и Pd-catalyzed арилирования 5</w:t>
      </w:r>
      <w:r>
        <w:rPr>
          <w:rFonts w:cs="Times New Roman" w:ascii="Times New Roman" w:hAnsi="Times New Roman"/>
          <w:lang w:val="en-US"/>
        </w:rPr>
        <w:t>c</w:t>
      </w:r>
      <w:r>
        <w:rPr>
          <w:rFonts w:cs="Times New Roman" w:ascii="Times New Roman" w:hAnsi="Times New Roman"/>
        </w:rPr>
        <w:t>,</w:t>
      </w:r>
      <w:r>
        <w:rPr>
          <w:rFonts w:cs="Times New Roman" w:ascii="Times New Roman" w:hAnsi="Times New Roman"/>
          <w:lang w:val="en-US"/>
        </w:rPr>
        <w:t>d</w:t>
      </w:r>
      <w:r>
        <w:rPr>
          <w:rFonts w:cs="Times New Roman" w:ascii="Times New Roman" w:hAnsi="Times New Roman"/>
        </w:rPr>
        <w:t>].</w:t>
      </w:r>
      <w:r>
        <w:rPr>
          <w:rFonts w:cs="Times New Roman" w:ascii="Times New Roman" w:hAnsi="Times New Roman"/>
          <w:vertAlign w:val="superscript"/>
        </w:rPr>
        <w:t xml:space="preserve"> </w:t>
      </w:r>
      <w:r>
        <w:rPr>
          <w:rFonts w:cs="Times New Roman" w:ascii="Times New Roman" w:hAnsi="Times New Roman"/>
        </w:rPr>
        <w:t>Кроме того, арендиазоний тозилаты оказались удобными агентами ковалентной прививки ароматических групп к поверхностям карбонизированных наночастиц металлов [5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>] и графену [5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].</w:t>
      </w:r>
      <w:r>
        <w:rPr/>
        <w:t xml:space="preserve"> </w:t>
      </w:r>
    </w:p>
    <w:p>
      <w:pPr>
        <w:pStyle w:val="Normal"/>
        <w:rPr/>
      </w:pPr>
      <w:r>
        <w:rPr/>
        <w:t xml:space="preserve">В данной работе мы получили и охарактеризовали арендиазоний трифлаты  </w:t>
      </w:r>
      <w:r>
        <w:rPr>
          <w:lang w:val="en-US"/>
        </w:rPr>
        <w:t>ArN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/>
        <w:t xml:space="preserve"> </w:t>
      </w:r>
      <w:r>
        <w:rPr>
          <w:lang w:val="en-US"/>
        </w:rPr>
        <w:t>TfO</w:t>
      </w:r>
      <w:r>
        <w:rPr>
          <w:vertAlign w:val="superscript"/>
        </w:rPr>
        <w:t>-</w:t>
      </w:r>
      <w:r>
        <w:rPr/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), содержащие нитро- и метоксигруппы в ароматическом кольце, путем диазотирования соответствующих анилинов в присутствии трифторметилсульфокислоты. Выбор последнего типа DS обусловлен тем, что трифторметансульфокислота является сильнейшей сульфокислотой и ADTF должны представлять крайний член ряда арендиазоний сульфонатов.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, подобно </w:t>
      </w:r>
      <w:r>
        <w:rPr>
          <w:rFonts w:cs="Times New Roman" w:ascii="Times New Roman" w:hAnsi="Times New Roman"/>
        </w:rPr>
        <w:t>арендиазоний тозилатам,</w:t>
      </w:r>
      <w:r>
        <w:rPr/>
        <w:t xml:space="preserve"> также оказались стабильными при хранении в сухом состоянии.  </w:t>
      </w:r>
    </w:p>
    <w:p>
      <w:pPr>
        <w:pStyle w:val="Normal"/>
        <w:rPr/>
      </w:pPr>
      <w:r>
        <w:rPr/>
        <w:t>Для лучшей оценки возможностей безопасного применения ADTF не только в лабораторной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>
      <w:pPr>
        <w:pStyle w:val="Normal"/>
        <w:rPr/>
      </w:pPr>
      <w:r>
        <w:rPr/>
        <w:t xml:space="preserve">Целью нашей работы являлось первое изучение кинетики и термодинамики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в сравнении с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tosilate</w:t>
      </w:r>
      <w:r>
        <w:rPr/>
        <w:t xml:space="preserve"> </w:t>
      </w:r>
      <w:r>
        <w:rPr>
          <w:b/>
        </w:rPr>
        <w:t>2</w:t>
      </w:r>
      <w:r>
        <w:rPr/>
        <w:t xml:space="preserve"> и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tetrafluoroborate</w:t>
      </w:r>
      <w:r>
        <w:rPr/>
        <w:t xml:space="preserve"> </w:t>
      </w:r>
      <w:r>
        <w:rPr>
          <w:b/>
        </w:rPr>
        <w:t xml:space="preserve">3 </w:t>
      </w:r>
      <w:r>
        <w:rPr/>
        <w:t>методами DSC/TGA и потоковой калориметрии и выработка критериев оценки стабильности ряда диазониевых солей с различными анионами и заместителями. В качестве заместителей в ароматическом ядре диазоний-катионов выбраны электроноакцепторная нитро-группа и электронодонорная метокси-группа по следующим соображениям. Во-первых, по некоторым данным диазониевые соли с NO</w:t>
      </w:r>
      <w:r>
        <w:rPr>
          <w:vertAlign w:val="subscript"/>
        </w:rPr>
        <w:t>2</w:t>
      </w:r>
      <w:r>
        <w:rPr/>
        <w:t xml:space="preserve"> группами в ароматическом ядре являются наиболее взрывоопасными и представляют, таким образом, наивысший порог этих свойств. Во-вторых, диазониевые соли с NO</w:t>
      </w:r>
      <w:r>
        <w:rPr>
          <w:vertAlign w:val="subscript"/>
        </w:rPr>
        <w:t>2</w:t>
      </w:r>
      <w:r>
        <w:rPr/>
        <w:t xml:space="preserve"> и MeO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т.е. должны охватывать наиболее широкий диапазон изучаемых свойств.</w:t>
      </w:r>
    </w:p>
    <w:p>
      <w:pPr>
        <w:pStyle w:val="Normal"/>
        <w:rPr/>
      </w:pPr>
      <w:r>
        <w:rPr/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rPr/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rPr/>
        <w:t xml:space="preserve"> методы для этих целей ранее не использовались. </w:t>
      </w:r>
    </w:p>
    <w:p>
      <w:pPr>
        <w:pStyle w:val="Normal"/>
        <w:rPr/>
      </w:pPr>
      <w:r>
        <w:rPr/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диазониевых солей и повысит уровень безопасности их использования.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Литературные данные</w:t>
      </w:r>
    </w:p>
    <w:p>
      <w:pPr>
        <w:pStyle w:val="Normal"/>
        <w:rPr/>
      </w:pPr>
      <w:r>
        <w:rPr/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>
      <w:pPr>
        <w:pStyle w:val="Normal"/>
        <w:rPr/>
      </w:pPr>
      <w:r>
        <w:rPr/>
        <w:t>Стабильность же и безопасность диазониевых солей в чистом сухом виде при хранении изучены относительно мало. В работах [8] приводили сравнительный анализ и оценку устойчивости диазониевых солей к детонации и воздействию пламени без определения продуктов разложения. В статье [8</w:t>
      </w:r>
      <w:r>
        <w:rPr>
          <w:lang w:val="en-US"/>
        </w:rPr>
        <w:t>b</w:t>
      </w:r>
      <w:r>
        <w:rPr/>
        <w:t xml:space="preserve">] был исследован изотопный эффект </w:t>
      </w:r>
      <w:r>
        <w:rPr>
          <w:vertAlign w:val="superscript"/>
        </w:rPr>
        <w:t>15</w:t>
      </w:r>
      <w:r>
        <w:rPr/>
        <w:t xml:space="preserve">N для реакций разложения фенилдиазоний хлоридов и тетрафторборатов. Выявлено, что изотопный эффект не чувствителен к природе и положению заместителей в ароматическом кольце и природе противоиона. Разница в энергии активации для разложения </w:t>
      </w:r>
      <w:r>
        <w:rPr>
          <w:vertAlign w:val="superscript"/>
        </w:rPr>
        <w:t>14</w:t>
      </w:r>
      <w:r>
        <w:rPr/>
        <w:t xml:space="preserve">N и </w:t>
      </w:r>
      <w:r>
        <w:rPr>
          <w:vertAlign w:val="superscript"/>
        </w:rPr>
        <w:t>15</w:t>
      </w:r>
      <w:r>
        <w:rPr/>
        <w:t>N изотопно-меченых диазониевых солей составляет 32 кал/моль. В работе [8</w:t>
      </w:r>
      <w:r>
        <w:rPr>
          <w:lang w:val="en-US"/>
        </w:rPr>
        <w:t>a</w:t>
      </w:r>
      <w:r>
        <w:rPr/>
        <w:t>] проведен сравнительный анализ энергий термического разложения и детонационной чувствительности арендиазоний хлоридов, замечено, что в ряду орто-,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порядке.</w:t>
      </w:r>
    </w:p>
    <w:p>
      <w:pPr>
        <w:pStyle w:val="Normal"/>
        <w:rPr/>
      </w:pPr>
      <w:r>
        <w:rPr/>
        <w:t>В работах [3, 4</w:t>
      </w:r>
      <w:r>
        <w:rPr>
          <w:lang w:val="en-US"/>
        </w:rPr>
        <w:t>b</w:t>
      </w:r>
      <w:r>
        <w:rPr/>
        <w:t xml:space="preserve">] определены энергии термического разложения некоторых </w:t>
      </w:r>
      <w:r>
        <w:rPr>
          <w:rFonts w:cs="Times New Roman" w:ascii="Times New Roman" w:hAnsi="Times New Roman"/>
        </w:rPr>
        <w:t xml:space="preserve">арендиазоний тозилатов </w:t>
      </w:r>
      <w:r>
        <w:rPr/>
        <w:t xml:space="preserve">методом </w:t>
      </w:r>
      <w:r>
        <w:rPr>
          <w:lang w:val="en-US"/>
        </w:rPr>
        <w:t>DSC</w:t>
      </w:r>
      <w:r>
        <w:rPr/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rPr/>
        <w:t>\</w:t>
      </w:r>
      <w:r>
        <w:rPr>
          <w:lang w:val="en-US"/>
        </w:rPr>
        <w:t>g</w:t>
      </w:r>
      <w:r>
        <w:rPr/>
        <w:t>. Однако продукты термического разложения ADTS не исследовались и остаются до сих пор неизвестными.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Материалы и методы</w:t>
      </w:r>
    </w:p>
    <w:p>
      <w:pPr>
        <w:pStyle w:val="Normal"/>
        <w:rPr/>
      </w:pPr>
      <w:r>
        <w:rPr>
          <w:rFonts w:eastAsia="Times New Roman" w:cs="Times New Roman"/>
          <w:b/>
          <w:lang w:val="en-US"/>
        </w:rPr>
        <w:t>General synthesis of arenediazonium trflates (1a-d)</w:t>
      </w:r>
      <w:r>
        <w:rPr>
          <w:b/>
          <w:lang w:val="en-US"/>
        </w:rPr>
        <w:t xml:space="preserve"> 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highlight w:val="yellow"/>
        </w:rPr>
      </w:pPr>
      <w:r>
        <w:rPr>
          <w:rFonts w:cs="Times New Roman" w:ascii="Times New Roman" w:hAnsi="Times New Roman"/>
          <w:color w:val="auto"/>
          <w:highlight w:val="yellow"/>
        </w:rPr>
        <w:t xml:space="preserve">Для исследований мы синтезировали ряд </w:t>
      </w:r>
      <w:r>
        <w:rPr>
          <w:rFonts w:cs="Times New Roman" w:ascii="Times New Roman" w:hAnsi="Times New Roman"/>
          <w:color w:val="auto"/>
          <w:highlight w:val="yellow"/>
        </w:rPr>
        <w:t>ДС</w:t>
      </w:r>
      <w:r>
        <w:rPr>
          <w:rFonts w:cs="Times New Roman" w:ascii="Times New Roman" w:hAnsi="Times New Roman"/>
          <w:color w:val="auto"/>
          <w:highlight w:val="yellow"/>
        </w:rPr>
        <w:t xml:space="preserve"> </w:t>
      </w:r>
      <w:r>
        <w:rPr>
          <w:rFonts w:cs="Times New Roman" w:ascii="Times New Roman" w:hAnsi="Times New Roman"/>
          <w:color w:val="auto"/>
          <w:highlight w:val="yellow"/>
        </w:rPr>
        <w:t xml:space="preserve">(1a)-(1d), (2), (3) </w:t>
      </w:r>
      <w:r>
        <w:rPr>
          <w:rFonts w:cs="Times New Roman" w:ascii="Times New Roman" w:hAnsi="Times New Roman"/>
          <w:color w:val="auto"/>
          <w:highlight w:val="yellow"/>
        </w:rPr>
        <w:t>с вариацией заместителей различной природы (метокси, нитро</w:t>
      </w:r>
      <w:r>
        <w:rPr>
          <w:rFonts w:cs="Times New Roman" w:ascii="Times New Roman" w:hAnsi="Times New Roman"/>
          <w:color w:val="auto"/>
          <w:highlight w:val="yellow"/>
        </w:rPr>
        <w:t>)</w:t>
      </w:r>
      <w:r>
        <w:rPr>
          <w:rFonts w:cs="Times New Roman" w:ascii="Times New Roman" w:hAnsi="Times New Roman"/>
          <w:color w:val="auto"/>
          <w:highlight w:val="yellow"/>
        </w:rPr>
        <w:t xml:space="preserve">  и их положения в кольце. </w:t>
      </w:r>
      <w:r>
        <w:rPr>
          <w:rFonts w:cs="Times New Roman" w:ascii="Times New Roman" w:hAnsi="Times New Roman"/>
          <w:color w:val="auto"/>
          <w:highlight w:val="yellow"/>
        </w:rPr>
        <w:t xml:space="preserve">Трифлаты были синтезированы в соответствии с ранее опубликованной методикой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[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1s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]</w:t>
      </w:r>
      <w:r>
        <w:rPr>
          <w:rFonts w:cs="Times New Roman" w:ascii="Times New Roman" w:hAnsi="Times New Roman"/>
          <w:color w:val="auto"/>
          <w:highlight w:val="yellow"/>
        </w:rPr>
        <w:t>. Характеристики полученных солей приведены в приложении ???.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sz w:val="12"/>
          <w:szCs w:val="12"/>
          <w:highlight w:val="yellow"/>
        </w:rPr>
      </w:pPr>
      <w:r>
        <w:rPr>
          <w:rFonts w:cs="Times New Roman" w:ascii="Times New Roman" w:hAnsi="Times New Roman"/>
          <w:color w:val="auto"/>
          <w:sz w:val="12"/>
          <w:szCs w:val="12"/>
          <w:highlight w:val="yellow"/>
        </w:rPr>
      </w:r>
    </w:p>
    <w:tbl>
      <w:tblPr>
        <w:tblW w:w="9128" w:type="dxa"/>
        <w:jc w:val="center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400"/>
        <w:gridCol w:w="739"/>
        <w:gridCol w:w="4201"/>
        <w:gridCol w:w="788"/>
      </w:tblGrid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122045" cy="669925"/>
                  <wp:effectExtent l="0" t="0" r="0" b="0"/>
                  <wp:docPr id="1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1a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2755" cy="653415"/>
                  <wp:effectExtent l="0" t="0" r="0" b="0"/>
                  <wp:docPr id="2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d)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54810" cy="577850"/>
                  <wp:effectExtent l="0" t="0" r="0" b="0"/>
                  <wp:docPr id="3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b)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5295" cy="696595"/>
                  <wp:effectExtent l="0" t="0" r="0" b="0"/>
                  <wp:docPr id="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2</w:t>
            </w:r>
            <w:r>
              <w:rPr>
                <w:highlight w:val="yellow"/>
              </w:rPr>
              <w:t>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29410" cy="657225"/>
                  <wp:effectExtent l="0" t="0" r="0" b="0"/>
                  <wp:docPr id="5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1c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07185" cy="640080"/>
                  <wp:effectExtent l="0" t="0" r="0" b="0"/>
                  <wp:docPr id="6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3</w:t>
            </w:r>
            <w:r>
              <w:rPr>
                <w:highlight w:val="yellow"/>
              </w:rPr>
              <w:t>)</w:t>
            </w:r>
          </w:p>
        </w:tc>
      </w:tr>
    </w:tbl>
    <w:p>
      <w:pPr>
        <w:pStyle w:val="Normal"/>
        <w:numPr>
          <w:ilvl w:val="2"/>
          <w:numId w:val="2"/>
        </w:numPr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/>
      </w:pPr>
      <w:r>
        <w:rPr/>
        <w:t>Исследования ТГ/ДСК проводили на приборе Q600 SDT фирмы TA Instruments в открытых кюветах в атмосфере аргона. Измерение теплового потока в изотермических условиях выполняли на микрокалориметре TAM III фирмы TA Instruments в атмосфере азота. 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>
      <w:pPr>
        <w:pStyle w:val="Normal"/>
        <w:rPr/>
      </w:pPr>
      <w:r>
        <w:rPr/>
        <w:t xml:space="preserve">ЯМР спектры снимали на приборе </w:t>
      </w:r>
      <w:r>
        <w:rPr>
          <w:lang w:val="en-US"/>
        </w:rPr>
        <w:t>Bruker</w:t>
      </w:r>
      <w:r>
        <w:rPr/>
        <w:t xml:space="preserve"> </w:t>
      </w:r>
      <w:r>
        <w:rPr>
          <w:lang w:val="en-US"/>
        </w:rPr>
        <w:t>AC</w:t>
      </w:r>
      <w:r>
        <w:rPr/>
        <w:t xml:space="preserve"> 300 в растворе </w:t>
      </w:r>
      <w:r>
        <w:rPr>
          <w:lang w:val="en-US"/>
        </w:rPr>
        <w:t>DMSO</w:t>
      </w:r>
      <w:r>
        <w:rPr/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>.</w:t>
      </w:r>
    </w:p>
    <w:p>
      <w:pPr>
        <w:pStyle w:val="Normal"/>
        <w:rPr/>
      </w:pPr>
      <w:r>
        <w:rPr/>
        <w:t xml:space="preserve">Изучение продуктов разложения проводили методом </w:t>
      </w:r>
      <w:r>
        <w:rPr>
          <w:lang w:val="en-US"/>
        </w:rPr>
        <w:t>GC</w:t>
      </w:r>
      <w:r>
        <w:rPr/>
        <w:t>-</w:t>
      </w:r>
      <w:r>
        <w:rPr>
          <w:lang w:val="en-US"/>
        </w:rPr>
        <w:t>MS</w:t>
      </w:r>
      <w:r>
        <w:rPr/>
        <w:t xml:space="preserve"> на приборе </w:t>
      </w:r>
      <w:r>
        <w:rPr>
          <w:lang w:val="en-US"/>
        </w:rPr>
        <w:t>Agilent</w:t>
      </w:r>
      <w:r>
        <w:rPr/>
        <w:t xml:space="preserve"> 7890</w:t>
      </w:r>
      <w:r>
        <w:rPr>
          <w:lang w:val="en-US"/>
        </w:rPr>
        <w:t>A</w:t>
      </w:r>
      <w:r>
        <w:rPr/>
        <w:t>\5975</w:t>
      </w:r>
      <w:r>
        <w:rPr>
          <w:lang w:val="en-US"/>
        </w:rPr>
        <w:t>C</w:t>
      </w:r>
      <w:r>
        <w:rPr/>
        <w:t>. Образцы солей массой 50 мг нагревались в термостате при 85 </w:t>
      </w:r>
      <w:r>
        <w:rPr>
          <w:vertAlign w:val="superscript"/>
        </w:rPr>
        <w:t>о</w:t>
      </w:r>
      <w:r>
        <w:rPr/>
        <w:t>С в течение 14 дней.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арилиодиды, продукты были экстрагированы этилацетатом и профильтрованы через слой силикагеля.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Спектры были получены на </w:t>
      </w:r>
      <w:r>
        <w:rPr>
          <w:color w:val="auto"/>
        </w:rPr>
        <w:t xml:space="preserve">время-пролетном масс-спектрометре высокого разрешения  </w:t>
      </w:r>
      <w:r>
        <w:rPr>
          <w:color w:val="auto"/>
        </w:rPr>
        <w:t xml:space="preserve">Agilent LC-1260 MS QTOF 6530 c использованием </w:t>
      </w:r>
      <w:r>
        <w:rPr>
          <w:color w:val="auto"/>
        </w:rPr>
        <w:t xml:space="preserve">двух </w:t>
      </w:r>
      <w:r>
        <w:rPr>
          <w:color w:val="auto"/>
        </w:rPr>
        <w:t xml:space="preserve">источников ионизации электроспреем (ESI) и химической ионизации при атмосферном давлении (APCI). </w:t>
      </w:r>
      <w:r>
        <w:rPr>
          <w:color w:val="auto"/>
        </w:rPr>
        <w:t>Для элюирования использовали градиентный режим ацетонитрил:вода 0:100 - 40 минут с последующим изократическим 100% ACN - 20 минут. Колонка Zorbax Eclipse Plus C18 2.1x50mm 1.8 micron. Поток 0.25 мл/мин. Потенциал на фрагменторе 150 В. Напряжение на капилляре 3500 В. Энергия столкновений MSMS - 20 эВ. Для исследования готовили 1мг/мл растворы диазониевых солей в смеси вода:ацетонитрил 50:50. Инжекция 5 мкл.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Для </w:t>
      </w:r>
      <w:r>
        <w:rPr>
          <w:color w:val="auto"/>
        </w:rPr>
        <w:t xml:space="preserve">обработки и интегрирования </w:t>
      </w:r>
      <w:r>
        <w:rPr>
          <w:color w:val="auto"/>
          <w:u w:val="none"/>
        </w:rPr>
        <w:t>масс</w:t>
      </w:r>
      <w:r>
        <w:rPr>
          <w:color w:val="auto"/>
          <w:u w:val="none"/>
        </w:rPr>
        <w:t>-</w:t>
      </w:r>
      <w:r>
        <w:rPr>
          <w:color w:val="auto"/>
          <w:u w:val="none"/>
        </w:rPr>
        <w:t>спектро</w:t>
      </w:r>
      <w:r>
        <w:rPr>
          <w:color w:val="auto"/>
          <w:u w:val="none"/>
        </w:rPr>
        <w:t>в</w:t>
      </w:r>
      <w:r>
        <w:rPr>
          <w:color w:val="auto"/>
          <w:u w:val="none"/>
        </w:rPr>
        <w:t xml:space="preserve"> и</w:t>
      </w:r>
      <w:r>
        <w:rPr>
          <w:color w:val="auto"/>
        </w:rPr>
        <w:t>спользован программный комплекс OpenMS 2.0 [5f, 6f]. Отдельно производилось интегрирование спектров первого и второго уровня по каждому прекурсору. Для анализа спектров использовалась база данных фрагментов масс-спектров METLIN [2f, 3f].</w:t>
      </w:r>
    </w:p>
    <w:p>
      <w:pPr>
        <w:pStyle w:val="Normal"/>
        <w:rPr/>
      </w:pPr>
      <w:r>
        <w:rPr/>
        <w:t xml:space="preserve">Квантовохимические расчеты предполагаемых реакций разложения диазониевых солей проводили методом R-B3LYP в базисе aug-cc-pVDZ с помощью програмного комплекса Gaussian 09 </w:t>
      </w:r>
      <w:r>
        <w:rPr>
          <w:rFonts w:cs="Times New Roman" w:ascii="Times New Roman" w:hAnsi="Times New Roman"/>
          <w:sz w:val="24"/>
          <w:szCs w:val="24"/>
          <w:highlight w:val="yellow"/>
          <w:lang w:val="en-US"/>
        </w:rPr>
        <w:t>(Revision-D.01-SMP)</w:t>
      </w:r>
      <w:r>
        <w:rPr/>
        <w:t xml:space="preserve">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r>
        <w:rPr>
          <w:vertAlign w:val="superscript"/>
        </w:rPr>
        <w:t>о</w:t>
      </w:r>
      <w:r>
        <w:rPr/>
        <w:t>С, а также при нормальных условиях 25</w:t>
      </w:r>
      <w:r>
        <w:rPr>
          <w:vertAlign w:val="superscript"/>
        </w:rPr>
        <w:t>о</w:t>
      </w:r>
      <w:r>
        <w:rPr/>
        <w:t>С и 1 атм. Полученные термодинамические параметры использовали для расчета теоретической термодинамики предполагаемых процессов.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Результаты и обсуждения</w:t>
      </w:r>
    </w:p>
    <w:p>
      <w:pPr>
        <w:pStyle w:val="Style18"/>
        <w:rPr/>
      </w:pPr>
      <w:r>
        <w:rPr/>
        <w:t xml:space="preserve">Известно, что на устойчивость </w:t>
      </w:r>
      <w:r>
        <w:rPr>
          <w:lang w:val="en-US"/>
        </w:rPr>
        <w:t>DS</w:t>
      </w:r>
      <w:r>
        <w:rPr/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rPr/>
        <w:t>, 8</w:t>
      </w:r>
      <w:r>
        <w:rPr>
          <w:lang w:val="en-US"/>
        </w:rPr>
        <w:t>a</w:t>
      </w:r>
      <w:r>
        <w:rPr/>
        <w:t xml:space="preserve">]. </w:t>
      </w:r>
      <w:r>
        <w:rPr/>
        <w:t>Н</w:t>
      </w:r>
      <w:r>
        <w:rPr/>
        <w:t xml:space="preserve">а примере </w:t>
      </w:r>
      <w:r>
        <w:rPr>
          <w:rFonts w:cs="Times New Roman" w:ascii="Times New Roman" w:hAnsi="Times New Roman"/>
          <w:lang w:val="en-US"/>
        </w:rPr>
        <w:t>ADT</w:t>
      </w:r>
      <w:r>
        <w:rPr>
          <w:rFonts w:cs="Times New Roman" w:ascii="Times New Roman" w:hAnsi="Times New Roman"/>
        </w:rPr>
        <w:t>S</w:t>
      </w:r>
      <w:r>
        <w:rPr/>
        <w:t xml:space="preserve"> </w:t>
      </w:r>
      <w:r>
        <w:rPr>
          <w:b/>
        </w:rPr>
        <w:t>2</w:t>
      </w:r>
      <w:r>
        <w:rPr/>
        <w:t xml:space="preserve"> мы определили параметры изотермического разложения образцов четырех синтетических партий, полученных в идентичных условиях (</w:t>
      </w:r>
      <w:r>
        <w:rPr>
          <w:lang w:val="en-US"/>
        </w:rPr>
        <w:t>sources</w:t>
      </w:r>
      <w:r>
        <w:rPr/>
        <w:t xml:space="preserve"> </w:t>
      </w:r>
      <w:r>
        <w:rPr>
          <w:lang w:val="en-US"/>
        </w:rPr>
        <w:t>v</w:t>
      </w:r>
      <w:r>
        <w:rPr/>
        <w:t>1-</w:t>
      </w:r>
      <w:r>
        <w:rPr>
          <w:lang w:val="en-US"/>
        </w:rPr>
        <w:t>v</w:t>
      </w:r>
      <w:r>
        <w:rPr/>
        <w:t>4), а также образцов, очищенных однократным  и двукратным (</w:t>
      </w:r>
      <w:r>
        <w:rPr>
          <w:lang w:val="en-US"/>
        </w:rPr>
        <w:t>repricipitation</w:t>
      </w:r>
      <w:r>
        <w:rPr/>
        <w:t xml:space="preserve"> 1 </w:t>
      </w:r>
      <w:r>
        <w:rPr>
          <w:lang w:val="en-US"/>
        </w:rPr>
        <w:t>and</w:t>
      </w:r>
      <w:r>
        <w:rPr/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максимального и начального теплового потока в зависимости от числа переосаждений. </w:t>
      </w:r>
      <w:r>
        <w:rPr>
          <w:color w:val="auto"/>
        </w:rPr>
        <w:t>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Среднестатистическое отклонение (RMD) для величин констант скорости и энтальпии составляет 5%.</w:t>
      </w:r>
    </w:p>
    <w:p>
      <w:pPr>
        <w:pStyle w:val="Normal"/>
        <w:jc w:val="right"/>
        <w:rPr/>
      </w:pPr>
      <w:r>
        <w:rPr/>
        <w:t xml:space="preserve">Таблица </w:t>
      </w:r>
      <w:r>
        <w:rPr/>
        <w:t xml:space="preserve">1. </w:t>
      </w:r>
    </w:p>
    <w:p>
      <w:pPr>
        <w:pStyle w:val="Normal"/>
        <w:jc w:val="center"/>
        <w:rPr/>
      </w:pPr>
      <w:r>
        <w:rPr>
          <w:color w:val="000000"/>
        </w:rPr>
        <w:t xml:space="preserve">Воспроизводимость </w:t>
      </w:r>
      <w:r>
        <w:rPr/>
        <w:t xml:space="preserve">результатов изотермического разложения соли </w:t>
      </w:r>
      <w:r>
        <w:rPr>
          <w:b/>
        </w:rPr>
        <w:t>2</w:t>
      </w:r>
      <w:r>
        <w:rPr/>
        <w:t xml:space="preserve"> в зависимости от полученной партии и числа </w:t>
      </w:r>
      <w:r>
        <w:rPr/>
        <w:t>переосаждений</w:t>
      </w:r>
      <w:r>
        <w:rPr/>
        <w:t xml:space="preserve"> </w:t>
      </w:r>
      <w:r>
        <w:rPr/>
        <w:t xml:space="preserve">(где k - константа скорости, </w:t>
      </w:r>
      <w:r>
        <w:rPr>
          <w:rFonts w:ascii="Standard Symbols L" w:hAnsi="Standard Symbols L"/>
          <w:sz w:val="16"/>
          <w:szCs w:val="16"/>
        </w:rPr>
        <w:t>D</w:t>
      </w:r>
      <w:r>
        <w:rPr/>
        <w:t>H - энтальпия)</w:t>
      </w:r>
      <w:r>
        <w:rPr/>
        <w:t xml:space="preserve"> </w:t>
      </w:r>
    </w:p>
    <w:tbl>
      <w:tblPr>
        <w:tblW w:w="3500" w:type="pct"/>
        <w:jc w:val="center"/>
        <w:tblInd w:w="0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207"/>
        <w:gridCol w:w="2032"/>
        <w:gridCol w:w="2507"/>
      </w:tblGrid>
      <w:tr>
        <w:trPr/>
        <w:tc>
          <w:tcPr>
            <w:tcW w:w="22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Группа</w:t>
            </w:r>
          </w:p>
        </w:tc>
        <w:tc>
          <w:tcPr>
            <w:tcW w:w="203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k, g·mol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·с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25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Standard Symbols L" w:hAnsi="Standard Symbols L"/>
                <w:b/>
                <w:sz w:val="16"/>
                <w:szCs w:val="16"/>
              </w:rPr>
              <w:t>D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H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, kJ·mol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1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0.0818 ± 0.0091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231.0 ± 12.4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2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0.0825 ± 0.0120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243.6 ± 20.7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воздух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0.0849 ± 0.0042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237.5 ± 13.3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аргон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0.1002 ± 0.0113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242.3 ± 8.0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Исходный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0.0842 ± 0.0074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234.9 ± 8.2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1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0.0862 ± 0.0088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239.3 ± 25.1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2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0.0882 ± 0.0045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237.7 ± 4.6</w:t>
            </w:r>
          </w:p>
        </w:tc>
      </w:tr>
    </w:tbl>
    <w:p>
      <w:pPr>
        <w:pStyle w:val="Normal"/>
        <w:jc w:val="center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>
      <w:pPr>
        <w:pStyle w:val="Normal"/>
        <w:rPr/>
      </w:pPr>
      <w:r>
        <w:rPr/>
        <w:t xml:space="preserve">Кривые термического разложения солей </w:t>
      </w:r>
      <w:r>
        <w:rPr>
          <w:b/>
        </w:rPr>
        <w:t>1-3</w:t>
      </w:r>
      <w:r>
        <w:rPr/>
        <w:t xml:space="preserve"> показаны на рис. </w:t>
      </w:r>
      <w:r>
        <w:rPr>
          <w:highlight w:val="yellow"/>
        </w:rPr>
        <w:t>1</w:t>
      </w:r>
      <w:r>
        <w:rPr>
          <w:highlight w:val="yellow"/>
        </w:rPr>
        <w:t>-</w:t>
      </w:r>
      <w:r>
        <w:rPr>
          <w:highlight w:val="yellow"/>
        </w:rPr>
        <w:t>6</w:t>
      </w:r>
      <w:r>
        <w:rPr/>
        <w:t>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>
      <w:pPr>
        <w:pStyle w:val="Normal"/>
        <w:rPr/>
      </w:pPr>
      <w:r>
        <w:rPr/>
        <w:t xml:space="preserve">   </w:t>
      </w:r>
      <w:r>
        <w:rPr/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rPr/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rPr/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rPr/>
        <w:t xml:space="preserve"> наблюдаются два экзотермических пика, один низкотемпературный при 69.37 </w:t>
      </w:r>
      <w:r>
        <w:rPr>
          <w:vertAlign w:val="superscript"/>
        </w:rPr>
        <w:t>о</w:t>
      </w:r>
      <w:r>
        <w:rPr/>
        <w:t xml:space="preserve">С с малым тепловыделением 24.47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и основной пик при 146.6 </w:t>
      </w:r>
      <w:r>
        <w:rPr>
          <w:vertAlign w:val="superscript"/>
        </w:rPr>
        <w:t>о</w:t>
      </w:r>
      <w:r>
        <w:rPr/>
        <w:t xml:space="preserve">С с выделением 323.0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тепла.</w:t>
      </w:r>
    </w:p>
    <w:p>
      <w:pPr>
        <w:pStyle w:val="Normal"/>
        <w:rPr/>
      </w:pPr>
      <w:r>
        <w:rPr/>
        <w:t xml:space="preserve">Потеря массы при нагреве соли </w:t>
      </w:r>
      <w:r>
        <w:rPr>
          <w:b/>
        </w:rPr>
        <w:t>3</w:t>
      </w:r>
      <w:r>
        <w:rPr/>
        <w:t xml:space="preserve"> в эндотермическом процессе, начиная с 33.7 </w:t>
      </w:r>
      <w:r>
        <w:rPr>
          <w:vertAlign w:val="superscript"/>
        </w:rPr>
        <w:t>о</w:t>
      </w:r>
      <w:r>
        <w:rPr/>
        <w:t xml:space="preserve">С,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(28.6%) по реакции (1)</w:t>
      </w:r>
    </w:p>
    <w:p>
      <w:pPr>
        <w:pStyle w:val="Normal"/>
        <w:ind w:left="0" w:right="0" w:hanging="0"/>
        <w:jc w:val="center"/>
        <w:rPr/>
      </w:pPr>
      <w:r>
        <w:rPr/>
        <w:t xml:space="preserve"> </w:t>
      </w:r>
      <w:r>
        <w:rPr>
          <w:rFonts w:cs="Times New Roman" w:ascii="Times New Roman" w:hAnsi="Times New Roman"/>
        </w:rPr>
        <w:drawing>
          <wp:inline distT="0" distB="0" distL="0" distR="0">
            <wp:extent cx="4091940" cy="35306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rPr/>
      </w:pPr>
      <w:r>
        <w:rPr>
          <w:rFonts w:cs="Times New Roman" w:ascii="Times New Roman" w:hAnsi="Times New Roman"/>
        </w:rPr>
        <w:t xml:space="preserve">Это указывает на то, что последующему разложению при 146.5 </w:t>
      </w:r>
      <w:r>
        <w:rPr>
          <w:rFonts w:cs="Times New Roman" w:ascii="Times New Roman" w:hAnsi="Times New Roman"/>
          <w:vertAlign w:val="superscript"/>
        </w:rPr>
        <w:t>о</w:t>
      </w:r>
      <w:r>
        <w:rPr>
          <w:rFonts w:cs="Times New Roman" w:ascii="Times New Roman" w:hAnsi="Times New Roman"/>
        </w:rPr>
        <w:t>С должен подвергаться 4-нитробензолдиазоний фторид (</w:t>
      </w:r>
      <w:r>
        <w:rPr>
          <w:rFonts w:cs="Times New Roman" w:ascii="Times New Roman" w:hAnsi="Times New Roman"/>
          <w:b/>
        </w:rPr>
        <w:t>3</w:t>
      </w:r>
      <w:r>
        <w:rPr>
          <w:rFonts w:cs="Times New Roman" w:ascii="Times New Roman" w:hAnsi="Times New Roman"/>
          <w:b/>
          <w:lang w:val="en-US"/>
        </w:rPr>
        <w:t>a</w:t>
      </w:r>
      <w:r>
        <w:rPr>
          <w:rFonts w:cs="Times New Roman" w:ascii="Times New Roman" w:hAnsi="Times New Roman"/>
        </w:rPr>
        <w:t xml:space="preserve">).    </w:t>
      </w:r>
    </w:p>
    <w:p>
      <w:pPr>
        <w:pStyle w:val="Normal"/>
        <w:ind w:left="0" w:right="0" w:hanging="0"/>
        <w:rPr/>
      </w:pPr>
      <w:r>
        <w:rPr/>
        <w:tab/>
        <w:t xml:space="preserve">Основная потеря массы при нагреве диазониевых солей </w:t>
      </w:r>
      <w:r>
        <w:rPr>
          <w:b/>
        </w:rPr>
        <w:t>1-3</w:t>
      </w:r>
      <w:r>
        <w:rPr/>
        <w:t xml:space="preserve"> происходит в экзотермических процессах, что с очевидностью связано с образованием летучих продуктов разложения. </w:t>
        <w:tab/>
      </w:r>
    </w:p>
    <w:p>
      <w:pPr>
        <w:pStyle w:val="Normal"/>
        <w:ind w:left="0" w:right="0" w:hanging="0"/>
        <w:jc w:val="right"/>
        <w:rPr/>
      </w:pPr>
      <w:r>
        <w:rPr/>
        <w:t xml:space="preserve">Таблица 2. </w:t>
      </w:r>
    </w:p>
    <w:p>
      <w:pPr>
        <w:pStyle w:val="Normal"/>
        <w:ind w:left="0" w:right="0" w:hanging="0"/>
        <w:jc w:val="center"/>
        <w:rPr/>
      </w:pPr>
      <w:r>
        <w:rPr/>
        <w:t xml:space="preserve">Температуры и энергии разложения диазониевых солей </w:t>
      </w:r>
      <w:r>
        <w:rPr>
          <w:b/>
        </w:rPr>
        <w:t>1-3</w:t>
      </w:r>
      <w:r>
        <w:rPr/>
        <w:t xml:space="preserve"> в </w:t>
      </w:r>
      <w:r>
        <w:rPr>
          <w:lang w:val="en-US"/>
        </w:rPr>
        <w:t>DSC</w:t>
      </w:r>
      <w:r>
        <w:rPr/>
        <w:t>\</w:t>
      </w:r>
      <w:r>
        <w:rPr>
          <w:lang w:val="en-US"/>
        </w:rPr>
        <w:t>TGF</w:t>
      </w:r>
      <w:r>
        <w:rPr/>
        <w:t xml:space="preserve"> экспериментах </w:t>
      </w:r>
    </w:p>
    <w:tbl>
      <w:tblPr>
        <w:tblW w:w="5000" w:type="pct"/>
        <w:jc w:val="lef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5"/>
        <w:gridCol w:w="1313"/>
        <w:gridCol w:w="2219"/>
        <w:gridCol w:w="1118"/>
        <w:gridCol w:w="2213"/>
      </w:tblGrid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Cs w:val="28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Диазониевая соль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Н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Н 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1a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104.1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73.49 </w:t>
            </w:r>
            <w:r>
              <w:rPr>
                <w:rFonts w:ascii="Liberation Serif" w:hAnsi="Liberation Serif"/>
                <w:color w:val="000000"/>
                <w:szCs w:val="28"/>
              </w:rPr>
              <w:t>(21.98)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143.3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-753.4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225</w:t>
            </w:r>
            <w:r>
              <w:rPr>
                <w:rFonts w:ascii="Liberation Serif" w:hAnsi="Liberation Serif"/>
                <w:color w:val="000000"/>
                <w:szCs w:val="28"/>
              </w:rPr>
              <w:t>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1b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102.5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43.6 </w:t>
            </w:r>
            <w:r>
              <w:rPr>
                <w:rFonts w:ascii="Liberation Serif" w:hAnsi="Liberation Serif"/>
                <w:color w:val="000000"/>
                <w:szCs w:val="28"/>
              </w:rPr>
              <w:t>(10.04)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111.2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-840.4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(-251.3)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1c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116.4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-219.9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(-65.7)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4-MeO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1d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88.4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102.2 </w:t>
            </w:r>
            <w:r>
              <w:rPr>
                <w:rFonts w:ascii="Liberation Serif" w:hAnsi="Liberation Serif"/>
                <w:color w:val="000000"/>
                <w:szCs w:val="28"/>
              </w:rPr>
              <w:t>(29.05)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136.6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-328.9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93.5)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TsO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69.37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-24.47 (-7.8)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-323.0 (-103.7)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BF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3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33.7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617.3 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(146.3)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146.5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-229.2 (-54.3)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1270">
            <wp:extent cx="5542280" cy="336486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1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2-NO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(1a)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526405" cy="36150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2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3-NO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(1b)</w:t>
      </w:r>
      <w:r>
        <w:rPr>
          <w:b w:val="false"/>
          <w:bCs w:val="false"/>
        </w:rPr>
        <w:t xml:space="preserve"> </w:t>
      </w:r>
      <w:r>
        <w:rPr/>
        <w:t xml:space="preserve">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475605" cy="360172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3</w:t>
      </w:r>
      <w:r>
        <w:rPr/>
        <w:t xml:space="preserve">. Исследование разложения соли </w:t>
      </w:r>
      <w:r>
        <w:rPr>
          <w:b w:val="false"/>
          <w:bCs w:val="false"/>
          <w:highlight w:val="yellow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c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895340" cy="361061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4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4-MeOС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(1d)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  <w:drawing>
          <wp:inline distT="0" distB="0" distL="19050" distR="5715">
            <wp:extent cx="5366385" cy="4039235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5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TsO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(2)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9525" distL="0" distR="9525">
            <wp:extent cx="5934075" cy="4217035"/>
            <wp:effectExtent l="0" t="0" r="0" b="0"/>
            <wp:docPr id="1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6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BF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(3)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/>
      </w:pPr>
      <w:r>
        <w:rPr/>
        <w:t xml:space="preserve">С позиций оценки безопасности наиболее практически важны экзотермические эффекты термического разложения диазониевых солей </w:t>
      </w:r>
      <w:r>
        <w:rPr>
          <w:b/>
        </w:rPr>
        <w:t>1-3</w:t>
      </w:r>
      <w:r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бензольном ядре и отчасти от природы противоионов.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с трифлатным противоионом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. Влияние природы противоионов на экзотермичность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и </w:t>
      </w:r>
      <w:r>
        <w:rPr>
          <w:b/>
        </w:rPr>
        <w:t>3</w:t>
      </w:r>
      <w:r>
        <w:rPr/>
        <w:t xml:space="preserve"> с различными противоионами и одинаковым 4-нитробензолдиазоний катионом падает в ряду </w:t>
      </w:r>
      <w:r>
        <w:rPr>
          <w:b/>
        </w:rPr>
        <w:t>2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</w:t>
      </w:r>
      <w:r>
        <w:rPr>
          <w:rFonts w:cs="Times New Roman" w:ascii="Times New Roman" w:hAnsi="Times New Roman"/>
        </w:rPr>
        <w:t>≈</w:t>
      </w:r>
      <w:r>
        <w:rPr/>
        <w:t xml:space="preserve"> </w:t>
      </w:r>
      <w:r>
        <w:rPr>
          <w:b/>
        </w:rPr>
        <w:t>3</w:t>
      </w:r>
      <w:r>
        <w:rPr/>
        <w:t xml:space="preserve">,  т.е. наибольшее тепловыделение имеет место в случае </w:t>
      </w:r>
      <w:r>
        <w:rPr>
          <w:lang w:val="en-US"/>
        </w:rPr>
        <w:t>TsO</w:t>
      </w:r>
      <w:r>
        <w:rPr>
          <w:vertAlign w:val="superscript"/>
        </w:rPr>
        <w:t>-</w:t>
      </w:r>
      <w:r>
        <w:rPr/>
        <w:t xml:space="preserve"> противоиона, хотя изменение природы противоионов влияет на изменения экзотермического разложения существенно меньше, чем положение и тип заместителей в бензольном ядре.  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  <w:t>Потоковая калориметрия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Результаты изотермического разложения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75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80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90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представлены в таблице 3 и  рисунках </w:t>
      </w:r>
      <w:r>
        <w:rPr>
          <w:highlight w:val="yellow"/>
        </w:rPr>
        <w:t>7</w:t>
      </w:r>
      <w:r>
        <w:rPr>
          <w:highlight w:val="yellow"/>
        </w:rPr>
        <w:t>-1</w:t>
      </w:r>
      <w:r>
        <w:rPr>
          <w:highlight w:val="yellow"/>
        </w:rPr>
        <w:t>0</w:t>
      </w:r>
      <w:r>
        <w:rPr>
          <w:highlight w:val="yellow"/>
        </w:rPr>
        <w:t xml:space="preserve">. По результатам экспериментов значения максимального теплового потока для 4-нитробензолдиазониевых солей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</w:rPr>
        <w:t>, 2, 3</w:t>
      </w:r>
      <w:r>
        <w:rPr>
          <w:highlight w:val="yellow"/>
        </w:rPr>
        <w:t xml:space="preserve">  практически не зависят от аниона. Трифлат 4-метоксибензолдиазония </w:t>
      </w:r>
      <w:r>
        <w:rPr>
          <w:rFonts w:ascii="Times New Roman" w:hAnsi="Times New Roman"/>
          <w:b/>
          <w:szCs w:val="28"/>
          <w:highlight w:val="yellow"/>
        </w:rPr>
        <w:t>1</w:t>
      </w:r>
      <w:r>
        <w:rPr>
          <w:rFonts w:ascii="Times New Roman" w:hAnsi="Times New Roman"/>
          <w:b/>
          <w:szCs w:val="28"/>
          <w:highlight w:val="yellow"/>
          <w:lang w:val="en-US"/>
        </w:rPr>
        <w:t>d</w:t>
      </w:r>
      <w:r>
        <w:rPr>
          <w:highlight w:val="yellow"/>
        </w:rPr>
        <w:t xml:space="preserve"> имеет значительно меньшие показатели максимального теплового потока. В ряду трифлатов 4- </w:t>
      </w:r>
      <w:r>
        <w:rPr>
          <w:b/>
          <w:highlight w:val="yellow"/>
        </w:rPr>
        <w:t>1с</w:t>
      </w:r>
      <w:r>
        <w:rPr>
          <w:highlight w:val="yellow"/>
        </w:rPr>
        <w:t xml:space="preserve">, 3-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b</w:t>
      </w:r>
      <w:r>
        <w:rPr>
          <w:highlight w:val="yellow"/>
        </w:rPr>
        <w:t xml:space="preserve"> и 2-нитробензолдиазония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 наблюдается уменьшение величины максимального теплового потока. </w:t>
      </w:r>
      <w:r>
        <w:rPr>
          <w:highlight w:val="yellow"/>
        </w:rPr>
        <w:t>Величины максимальных тепловых потоков важны с практической точки зрения, для моделирования и подбора условий хранения солей.</w:t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Таблица 3</w:t>
      </w:r>
    </w:p>
    <w:p>
      <w:pPr>
        <w:pStyle w:val="Normal"/>
        <w:jc w:val="center"/>
        <w:rPr/>
      </w:pPr>
      <w:r>
        <w:rPr/>
        <w:t xml:space="preserve">Интегральная энтальпия и величина максимального теплового потока </w:t>
      </w:r>
    </w:p>
    <w:p>
      <w:pPr>
        <w:pStyle w:val="Normal"/>
        <w:jc w:val="center"/>
        <w:rPr/>
      </w:pPr>
      <w:r>
        <w:rPr/>
        <w:t xml:space="preserve">при разложении диазониевых солей </w:t>
      </w:r>
      <w:r>
        <w:rPr>
          <w:b/>
        </w:rPr>
        <w:t>1-3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>
        <w:trPr>
          <w:tblHeader w:val="true"/>
          <w:cantSplit w:val="true"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/>
            </w:pPr>
            <w:r>
              <w:rPr>
                <w:rFonts w:eastAsia="Symbol" w:cs="Symbol" w:ascii="Symbol" w:hAnsi="Symbol"/>
                <w:b w:val="false"/>
                <w:bCs w:val="false"/>
              </w:rPr>
              <w:t></w:t>
            </w:r>
            <w:r>
              <w:rPr>
                <w:rFonts w:cs="Times New Roman" w:ascii="Times New Roman" w:hAnsi="Times New Roman"/>
                <w:b w:val="false"/>
                <w:bCs w:val="false"/>
              </w:rPr>
              <w:t>H, kJ/mol</w:t>
            </w:r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 max, mW/g</w:t>
            </w:r>
          </w:p>
        </w:tc>
      </w:tr>
      <w:tr>
        <w:trPr>
          <w:cantSplit w:val="true"/>
        </w:trPr>
        <w:tc>
          <w:tcPr>
            <w:tcW w:w="2813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2.33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28.8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101.5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5.37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64.60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66.87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рисунке </w:t>
      </w:r>
      <w:r>
        <w:rPr/>
        <w:t>7</w:t>
      </w:r>
      <w:r>
        <w:rPr/>
        <w:t xml:space="preserve">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b/>
        </w:rPr>
        <w:t xml:space="preserve">3 </w:t>
      </w:r>
      <w:r>
        <w:rPr/>
        <w:t xml:space="preserve">при 85 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Время полураспада солей зависит от вида аниона и составляет для  </w:t>
      </w:r>
      <w:r>
        <w:rPr>
          <w:color w:val="000000"/>
        </w:rPr>
        <w:t>тетрафторбората (</w:t>
      </w:r>
      <w:r>
        <w:rPr>
          <w:b/>
          <w:bCs/>
          <w:color w:val="000000"/>
        </w:rPr>
        <w:t>3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- 2.1 часа, </w:t>
      </w:r>
      <w:r>
        <w:rPr>
          <w:color w:val="000000"/>
        </w:rPr>
        <w:t>трифлата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1с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- 4.5 ч. и для </w:t>
      </w:r>
      <w:r>
        <w:rPr>
          <w:color w:val="000000"/>
        </w:rPr>
        <w:t>тозилата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2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- 6 часов. </w:t>
      </w:r>
    </w:p>
    <w:p>
      <w:pPr>
        <w:pStyle w:val="Normal"/>
        <w:rPr/>
      </w:pPr>
      <w:r>
        <w:rPr/>
        <w:t xml:space="preserve"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реакций:  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a A </w:t>
      </w:r>
      <w:r>
        <w:rPr>
          <w:rFonts w:eastAsia="Liberation Serif" w:cs="Liberation Serif"/>
          <w:b/>
          <w:bCs/>
          <w:i/>
          <w:iCs/>
        </w:rPr>
        <w:t>→ </w:t>
      </w:r>
      <w:r>
        <w:rPr>
          <w:b/>
          <w:bCs/>
          <w:i/>
          <w:iCs/>
        </w:rPr>
        <w:t xml:space="preserve">c C 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2743200" cy="457200"/>
            <wp:effectExtent l="0" t="0" r="0" b="0"/>
            <wp:docPr id="1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 xml:space="preserve">                </w:t>
      </w:r>
      <w:r>
        <w:rPr>
          <w:rFonts w:eastAsia="Liberation Serif" w:cs="Liberation Serif"/>
        </w:rPr>
        <w:t>(2)</w:t>
      </w:r>
    </w:p>
    <w:p>
      <w:pPr>
        <w:pStyle w:val="Normal"/>
        <w:rPr>
          <w:highlight w:val="yellow"/>
        </w:rPr>
      </w:pPr>
      <w:r>
        <w:rPr>
          <w:rFonts w:eastAsia="Liberation Serif" w:cs="Liberation Serif"/>
          <w:highlight w:val="yellow"/>
        </w:rPr>
        <w:t xml:space="preserve"> </w:t>
      </w:r>
      <w:r>
        <w:rPr>
          <w:highlight w:val="yellow"/>
        </w:rPr>
        <w:t xml:space="preserve">Кинетические параметры </w:t>
      </w:r>
      <w:r>
        <w:rPr>
          <w:highlight w:val="yellow"/>
        </w:rPr>
        <w:t xml:space="preserve">в соответствии с уравнением 2 для солей (1a-1d, 2) </w:t>
      </w:r>
      <w:r>
        <w:rPr>
          <w:highlight w:val="yellow"/>
        </w:rPr>
        <w:t xml:space="preserve">представлены в таблице 4. </w:t>
      </w:r>
    </w:p>
    <w:p>
      <w:pPr>
        <w:pStyle w:val="Normal"/>
        <w:tabs>
          <w:tab w:val="center" w:pos="218" w:leader="none"/>
        </w:tabs>
        <w:spacing w:before="0" w:after="113"/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3175">
            <wp:extent cx="4645025" cy="3483610"/>
            <wp:effectExtent l="0" t="0" r="0" b="0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7</w:t>
      </w:r>
      <w:r>
        <w:rPr>
          <w:highlight w:val="yellow"/>
        </w:rPr>
        <w:t xml:space="preserve">. Значения теплового потока </w:t>
      </w:r>
      <w:r>
        <w:rPr>
          <w:highlight w:val="yellow"/>
        </w:rPr>
        <w:t xml:space="preserve">(P) </w:t>
      </w:r>
      <w:r>
        <w:rPr>
          <w:highlight w:val="yellow"/>
        </w:rPr>
        <w:t>изотермического разложения при температуре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</w:t>
      </w:r>
      <w:r>
        <w:rPr>
          <w:highlight w:val="yellow"/>
        </w:rPr>
        <w:t>для</w:t>
      </w:r>
      <w:r>
        <w:rPr>
          <w:highlight w:val="yellow"/>
        </w:rPr>
        <w:t xml:space="preserve"> тетрафторбората </w:t>
      </w:r>
      <w:r>
        <w:rPr>
          <w:highlight w:val="yellow"/>
        </w:rPr>
        <w:t>(</w:t>
      </w:r>
      <w:r>
        <w:rPr>
          <w:b/>
          <w:highlight w:val="yellow"/>
        </w:rPr>
        <w:t>3</w:t>
      </w:r>
      <w:r>
        <w:rPr>
          <w:b/>
          <w:highlight w:val="yellow"/>
        </w:rPr>
        <w:t>)</w:t>
      </w:r>
      <w:r>
        <w:rPr>
          <w:highlight w:val="yellow"/>
        </w:rPr>
        <w:t xml:space="preserve">, тозилата </w:t>
      </w:r>
      <w:r>
        <w:rPr>
          <w:highlight w:val="yellow"/>
        </w:rPr>
        <w:t>(</w:t>
      </w:r>
      <w:r>
        <w:rPr>
          <w:b/>
          <w:highlight w:val="yellow"/>
        </w:rPr>
        <w:t>2</w:t>
      </w:r>
      <w:r>
        <w:rPr>
          <w:b/>
          <w:highlight w:val="yellow"/>
        </w:rPr>
        <w:t>)</w:t>
      </w:r>
      <w:r>
        <w:rPr>
          <w:highlight w:val="yellow"/>
        </w:rPr>
        <w:t xml:space="preserve"> и трифлата 4-нитрофенилдиазония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  <w:lang w:val="en-US"/>
        </w:rPr>
        <w:t>)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Исключением является  трифлат </w:t>
      </w:r>
      <w:r>
        <w:rPr/>
        <w:t>2</w:t>
      </w:r>
      <w:r>
        <w:rPr/>
        <w:t xml:space="preserve">-нитрофенилдиазония,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деконволюции и выделения первичных процессов. </w:t>
      </w:r>
      <w:r>
        <w:rPr>
          <w:color w:val="000000"/>
        </w:rPr>
        <w:t xml:space="preserve">Деконволюцию проводили путем компьютерного моделирования комбинаций </w:t>
      </w:r>
      <w:r>
        <w:rPr>
          <w:color w:val="000000"/>
        </w:rPr>
        <w:t xml:space="preserve">двух </w:t>
      </w:r>
      <w:r>
        <w:rPr>
          <w:color w:val="000000"/>
        </w:rPr>
        <w:t xml:space="preserve">автокаталитических реакций </w:t>
      </w:r>
      <w:r>
        <w:rPr>
          <w:color w:val="000000"/>
        </w:rPr>
        <w:t>при варьировании величин</w:t>
      </w:r>
      <w:r>
        <w:rPr>
          <w:color w:val="000000"/>
        </w:rPr>
        <w:t xml:space="preserve"> тепловы</w:t>
      </w:r>
      <w:r>
        <w:rPr>
          <w:color w:val="000000"/>
        </w:rPr>
        <w:t>х</w:t>
      </w:r>
      <w:r>
        <w:rPr>
          <w:color w:val="000000"/>
        </w:rPr>
        <w:t xml:space="preserve"> эффект</w:t>
      </w:r>
      <w:r>
        <w:rPr>
          <w:color w:val="000000"/>
        </w:rPr>
        <w:t>ов</w:t>
      </w:r>
      <w:r>
        <w:rPr>
          <w:color w:val="000000"/>
        </w:rPr>
        <w:t xml:space="preserve"> и кинетическими</w:t>
      </w:r>
      <w:r>
        <w:rPr>
          <w:color w:val="000000"/>
        </w:rPr>
        <w:t>х</w:t>
      </w:r>
      <w:r>
        <w:rPr>
          <w:color w:val="000000"/>
        </w:rPr>
        <w:t xml:space="preserve"> параметр</w:t>
      </w:r>
      <w:r>
        <w:rPr>
          <w:color w:val="000000"/>
        </w:rPr>
        <w:t>ов с минимизацией среднеквадратичного отклонения от экспериментальной кривой</w:t>
      </w:r>
      <w:r>
        <w:rPr>
          <w:color w:val="000000"/>
        </w:rPr>
        <w:t xml:space="preserve">. </w:t>
      </w:r>
      <w:r>
        <w:rPr>
          <w:color w:val="000000"/>
        </w:rPr>
        <w:t xml:space="preserve">Исходные значения для первого приближения были взяты из данных ДСК-ТГА, для эндотермической реакции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Times New Roman" w:ascii="Times New Roman" w:hAnsi="Times New Roman"/>
          <w:color w:val="000000"/>
        </w:rPr>
        <w:t>+</w:t>
      </w:r>
      <w:r>
        <w:rPr>
          <w:rFonts w:cs="Times New Roman" w:ascii="Times New Roman" w:hAnsi="Times New Roman"/>
          <w:color w:val="000000"/>
        </w:rPr>
        <w:t>74 кДж/моль</w:t>
      </w:r>
      <w:r>
        <w:rPr>
          <w:color w:val="000000"/>
        </w:rPr>
        <w:t xml:space="preserve"> и для экзотермического процесса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H=-753 кДж/моль</w:t>
      </w:r>
      <w:r>
        <w:rPr>
          <w:color w:val="000000"/>
        </w:rPr>
        <w:t>.</w:t>
      </w:r>
      <w:r>
        <w:rPr/>
        <w:t xml:space="preserve"> На рисунке </w:t>
      </w:r>
      <w:r>
        <w:rPr>
          <w:highlight w:val="yellow"/>
        </w:rPr>
        <w:t>8</w:t>
      </w:r>
      <w:r>
        <w:rPr/>
        <w:t xml:space="preserve"> приведены результаты деконволюции.  Полученная экспериментальная кривая теплового потока </w:t>
      </w:r>
      <w:r>
        <w:rPr>
          <w:highlight w:val="yellow"/>
        </w:rPr>
        <w:t>(Hf-exp)</w:t>
      </w:r>
      <w:r>
        <w:rPr/>
        <w:t xml:space="preserve">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H=46 кДж/моль</w:t>
      </w:r>
      <w:r>
        <w:rPr/>
        <w:t xml:space="preserve"> </w:t>
      </w:r>
      <w:r>
        <w:rPr>
          <w:highlight w:val="yellow"/>
        </w:rPr>
        <w:t>(Hf1)</w:t>
      </w:r>
      <w:r>
        <w:rPr/>
        <w:t xml:space="preserve"> c кинетическими параметрами k</w:t>
      </w:r>
      <w:r>
        <w:rPr>
          <w:vertAlign w:val="subscript"/>
        </w:rPr>
        <w:t>1</w:t>
      </w:r>
      <w:r>
        <w:rPr/>
        <w:t>=1.3, C</w:t>
      </w:r>
      <w:r>
        <w:rPr>
          <w:vertAlign w:val="subscript"/>
        </w:rPr>
        <w:t>01</w:t>
      </w:r>
      <w:r>
        <w:rPr/>
        <w:t xml:space="preserve">=0.0007 и основным экзотермическим автокаталитическим процессом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 xml:space="preserve">H=-430 кДж/моль </w:t>
      </w:r>
      <w:r>
        <w:rPr>
          <w:rFonts w:cs="Times New Roman" w:ascii="Times New Roman" w:hAnsi="Times New Roman"/>
          <w:highlight w:val="yellow"/>
        </w:rPr>
        <w:t>(Hf2)</w:t>
      </w:r>
      <w:r>
        <w:rPr/>
        <w:t>, k</w:t>
      </w:r>
      <w:r>
        <w:rPr>
          <w:vertAlign w:val="subscript"/>
        </w:rPr>
        <w:t>2</w:t>
      </w:r>
      <w:r>
        <w:rPr/>
        <w:t>=0,08, C</w:t>
      </w:r>
      <w:r>
        <w:rPr>
          <w:vertAlign w:val="subscript"/>
        </w:rPr>
        <w:t>02</w:t>
      </w:r>
      <w:r>
        <w:rPr/>
        <w:t>=0,0020 при 85 </w:t>
      </w:r>
      <w:r>
        <w:rPr>
          <w:vertAlign w:val="superscript"/>
        </w:rPr>
        <w:t>о</w:t>
      </w:r>
      <w:r>
        <w:rPr/>
        <w:t>С.</w:t>
      </w:r>
    </w:p>
    <w:p>
      <w:pPr>
        <w:pStyle w:val="Normal"/>
        <w:ind w:left="0" w:right="0" w:hanging="0"/>
        <w:jc w:val="center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4935220" cy="3733800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8</w:t>
      </w:r>
      <w:r>
        <w:rPr/>
        <w:t xml:space="preserve">. Экспериментальная кривая и результат деконволюции теплового потока изотермического разложения 2-нитробензолдиазоний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0000"/>
        </w:rPr>
        <w:t>(Hf1, Hf2 - тепловые потоки составляющих процессов, Hf - суммарный тепловой поток, Hf</w:t>
        <w:noBreakHyphen/>
        <w:t>exp - экспериментальная кривая теплового потока)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Таблица 4.</w:t>
      </w:r>
    </w:p>
    <w:p>
      <w:pPr>
        <w:pStyle w:val="Normal"/>
        <w:jc w:val="center"/>
        <w:rPr/>
      </w:pPr>
      <w:r>
        <w:rPr/>
        <w:t xml:space="preserve">Кинетические параметры реакций разложения диазониевых солей </w:t>
      </w:r>
      <w:r>
        <w:rPr>
          <w:b/>
        </w:rPr>
        <w:t>1-3</w:t>
      </w:r>
      <w:r>
        <w:rPr/>
        <w:t xml:space="preserve"> </w:t>
      </w:r>
    </w:p>
    <w:p>
      <w:pPr>
        <w:pStyle w:val="Normal"/>
        <w:jc w:val="center"/>
        <w:rPr/>
      </w:pPr>
      <w:r>
        <w:rPr>
          <w:highlight w:val="yellow"/>
        </w:rPr>
        <w:t>(P</w:t>
      </w:r>
      <w:r>
        <w:rPr>
          <w:highlight w:val="yellow"/>
          <w:vertAlign w:val="subscript"/>
        </w:rPr>
        <w:t>0</w:t>
      </w:r>
      <w:r>
        <w:rPr>
          <w:highlight w:val="yellow"/>
        </w:rPr>
        <w:t xml:space="preserve"> - начальное значение теплового потока, k - константа скорости)</w:t>
      </w:r>
    </w:p>
    <w:tbl>
      <w:tblPr>
        <w:tblW w:w="9641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>
        <w:trPr>
          <w:tblHeader w:val="true"/>
          <w:cantSplit w:val="true"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P</w:t>
            </w:r>
            <w:r>
              <w:rPr>
                <w:vertAlign w:val="subscript"/>
              </w:rPr>
              <w:t>0</w:t>
            </w:r>
            <w:r>
              <w:rPr/>
              <w:t>, mW</w:t>
            </w:r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k,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</w:tr>
      <w:tr>
        <w:trPr>
          <w:cantSplit w:val="true"/>
        </w:trPr>
        <w:tc>
          <w:tcPr>
            <w:tcW w:w="257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0.00073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0.0429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0.1680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0.0128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0.1030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0.0721</w:t>
            </w:r>
          </w:p>
        </w:tc>
      </w:tr>
    </w:tbl>
    <w:p>
      <w:pPr>
        <w:pStyle w:val="Normal"/>
        <w:tabs>
          <w:tab w:val="center" w:pos="218" w:leader="none"/>
        </w:tabs>
        <w:spacing w:before="227" w:after="227"/>
        <w:rPr/>
      </w:pPr>
      <w:r>
        <w:rPr>
          <w:color w:val="000000"/>
        </w:rPr>
        <w:t xml:space="preserve">Время </w:t>
      </w:r>
      <w:r>
        <w:rPr>
          <w:color w:val="000000"/>
        </w:rPr>
        <w:t>полураспада</w:t>
      </w:r>
      <w:r>
        <w:rPr>
          <w:color w:val="000000"/>
        </w:rPr>
        <w:t xml:space="preserve"> трифлата 4-нитрофенилдиазония </w:t>
      </w:r>
      <w:r>
        <w:rPr>
          <w:color w:val="000000"/>
        </w:rPr>
        <w:t>(</w:t>
      </w:r>
      <w:r>
        <w:rPr>
          <w:b/>
          <w:color w:val="000000"/>
        </w:rPr>
        <w:t>1</w:t>
      </w:r>
      <w:r>
        <w:rPr>
          <w:b/>
          <w:color w:val="000000"/>
          <w:lang w:val="en-US"/>
        </w:rPr>
        <w:t>c</w:t>
      </w:r>
      <w:r>
        <w:rPr>
          <w:b w:val="false"/>
          <w:bCs w:val="false"/>
          <w:color w:val="000000"/>
          <w:lang w:val="en-US"/>
        </w:rPr>
        <w:t>)</w:t>
      </w:r>
      <w:r>
        <w:rPr>
          <w:b w:val="false"/>
          <w:bCs w:val="false"/>
          <w:color w:val="000000"/>
          <w:lang w:val="en-US"/>
        </w:rPr>
        <w:t xml:space="preserve"> – </w:t>
      </w:r>
      <w:r>
        <w:rPr>
          <w:b w:val="false"/>
          <w:bCs w:val="false"/>
          <w:color w:val="000000"/>
          <w:lang w:val="en-US"/>
        </w:rPr>
        <w:t>4 ч.</w:t>
      </w:r>
      <w:r>
        <w:rPr>
          <w:color w:val="000000"/>
        </w:rPr>
        <w:t xml:space="preserve"> значительно меньше, чем метокси производного </w:t>
      </w:r>
      <w:r>
        <w:rPr>
          <w:b w:val="false"/>
          <w:bCs w:val="false"/>
          <w:color w:val="000000"/>
        </w:rPr>
        <w:t>(</w:t>
      </w:r>
      <w:r>
        <w:rPr>
          <w:b/>
          <w:color w:val="000000"/>
        </w:rPr>
        <w:t>1d</w:t>
      </w:r>
      <w:r>
        <w:rPr>
          <w:b w:val="false"/>
          <w:bCs w:val="false"/>
          <w:color w:val="000000"/>
        </w:rPr>
        <w:t>)</w:t>
      </w:r>
      <w:r>
        <w:rPr>
          <w:color w:val="000000"/>
        </w:rPr>
        <w:t xml:space="preserve"> - </w:t>
      </w:r>
      <w:r>
        <w:rPr>
          <w:color w:val="000000"/>
        </w:rPr>
        <w:t xml:space="preserve">10 ч. </w:t>
      </w:r>
      <w:r>
        <w:rPr>
          <w:color w:val="000000"/>
          <w:highlight w:val="yellow"/>
        </w:rPr>
        <w:t>Тепловой поток при разложении трифлата 4</w:t>
        <w:noBreakHyphen/>
        <w:t>нитрофенилдиазония (</w:t>
      </w:r>
      <w:r>
        <w:rPr>
          <w:b/>
          <w:color w:val="000000"/>
          <w:highlight w:val="yellow"/>
        </w:rPr>
        <w:t>1</w:t>
      </w:r>
      <w:r>
        <w:rPr>
          <w:b/>
          <w:color w:val="000000"/>
          <w:highlight w:val="yellow"/>
          <w:lang w:val="en-US"/>
        </w:rPr>
        <w:t>c)</w:t>
      </w:r>
      <w:r>
        <w:rPr>
          <w:b w:val="false"/>
          <w:bCs w:val="false"/>
          <w:color w:val="000000"/>
          <w:highlight w:val="yellow"/>
          <w:lang w:val="en-US"/>
        </w:rPr>
        <w:t xml:space="preserve"> -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101.5 mW/g существенно выше чем для трифлата 4</w:t>
        <w:noBreakHyphen/>
        <w:t xml:space="preserve">метоксифенилдиазония </w:t>
      </w:r>
      <w:r>
        <w:rPr>
          <w:b w:val="false"/>
          <w:bCs w:val="false"/>
          <w:color w:val="000000"/>
          <w:highlight w:val="yellow"/>
        </w:rPr>
        <w:t>(</w:t>
      </w:r>
      <w:r>
        <w:rPr>
          <w:b/>
          <w:color w:val="000000"/>
          <w:highlight w:val="yellow"/>
        </w:rPr>
        <w:t>1d</w:t>
      </w:r>
      <w:r>
        <w:rPr>
          <w:b w:val="false"/>
          <w:bCs w:val="false"/>
          <w:color w:val="000000"/>
          <w:highlight w:val="yellow"/>
        </w:rPr>
        <w:t>)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- 5.37 </w:t>
      </w:r>
      <w:r>
        <w:rPr>
          <w:color w:val="000000"/>
          <w:highlight w:val="yellow"/>
        </w:rPr>
        <w:t>mW/g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(рисунок </w:t>
      </w:r>
      <w:r>
        <w:rPr>
          <w:color w:val="000000"/>
          <w:highlight w:val="yellow"/>
        </w:rPr>
        <w:t>9</w:t>
      </w:r>
      <w:r>
        <w:rPr>
          <w:color w:val="000000"/>
          <w:highlight w:val="yellow"/>
        </w:rPr>
        <w:t xml:space="preserve">). </w:t>
      </w:r>
    </w:p>
    <w:p>
      <w:pPr>
        <w:pStyle w:val="Normal"/>
        <w:jc w:val="center"/>
        <w:rPr/>
      </w:pPr>
      <w:r>
        <w:rPr/>
        <w:drawing>
          <wp:inline distT="0" distB="0" distL="19050" distR="635">
            <wp:extent cx="4647565" cy="3486150"/>
            <wp:effectExtent l="0" t="0" r="0" b="0"/>
            <wp:docPr id="1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9</w:t>
      </w:r>
      <w:r>
        <w:rPr/>
        <w:t xml:space="preserve">. </w:t>
      </w:r>
      <w:r>
        <w:rPr/>
        <w:t>Тепловой поток (P) при и</w:t>
      </w:r>
      <w:r>
        <w:rPr/>
        <w:t>зотермическо</w:t>
      </w:r>
      <w:r>
        <w:rPr/>
        <w:t>м</w:t>
      </w:r>
      <w:r>
        <w:rPr/>
        <w:t xml:space="preserve"> разложени</w:t>
      </w:r>
      <w:r>
        <w:rPr/>
        <w:t>и</w:t>
      </w:r>
      <w:r>
        <w:rPr/>
        <w:t xml:space="preserve"> трифлатов </w:t>
      </w:r>
    </w:p>
    <w:p>
      <w:pPr>
        <w:pStyle w:val="Normal"/>
        <w:jc w:val="center"/>
        <w:rPr/>
      </w:pPr>
      <w:r>
        <w:rPr/>
        <w:t xml:space="preserve">4-метоксибензолдиазония </w:t>
      </w:r>
      <w:r>
        <w:rPr/>
        <w:t>(</w:t>
      </w:r>
      <w:r>
        <w:rPr>
          <w:b/>
        </w:rPr>
        <w:t>2</w:t>
      </w:r>
      <w:r>
        <w:rPr>
          <w:b/>
        </w:rPr>
        <w:t>)</w:t>
      </w:r>
      <w:r>
        <w:rPr/>
        <w:t xml:space="preserve">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Значительное влияние на стабильность диазониевых солей оказывает положениe заместителя в бензольном кольце. Для трифлатов нитробензолдиазония наибольшее время </w:t>
      </w:r>
      <w:r>
        <w:rPr/>
        <w:t>полураспада</w:t>
      </w:r>
      <w:r>
        <w:rPr/>
        <w:t xml:space="preserve"> у орто-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4</w:t>
      </w:r>
      <w:r>
        <w:rPr>
          <w:b w:val="false"/>
          <w:bCs w:val="false"/>
          <w:lang w:val="en-US"/>
        </w:rPr>
        <w:t>5 ч.</w:t>
      </w:r>
      <w:r>
        <w:rPr/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11 ч.</w:t>
      </w:r>
      <w:r>
        <w:rPr/>
        <w:t xml:space="preserve"> и наименьшей стабильностью обладает трифлат пара-нитробензолдиазония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-  </w:t>
      </w:r>
      <w:r>
        <w:rPr/>
        <w:t>5 ч. при 85 </w:t>
      </w:r>
      <w:r>
        <w:rPr>
          <w:vertAlign w:val="superscript"/>
        </w:rPr>
        <w:t>о</w:t>
      </w:r>
      <w:r>
        <w:rPr/>
        <w:t>С</w:t>
      </w:r>
      <w:r>
        <w:rPr/>
        <w:t xml:space="preserve">.  </w:t>
      </w:r>
      <w:r>
        <w:rPr>
          <w:highlight w:val="yellow"/>
        </w:rPr>
        <w:t>Величины максимальных тепловых эффектов имеют обратный характер и убывают в ряду (</w:t>
      </w:r>
      <w:r>
        <w:rPr>
          <w:b/>
          <w:bCs/>
          <w:highlight w:val="yellow"/>
        </w:rPr>
        <w:t>1c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1b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1a</w:t>
      </w:r>
      <w:r>
        <w:rPr>
          <w:highlight w:val="yellow"/>
        </w:rPr>
        <w:t>)</w:t>
      </w:r>
      <w:r>
        <w:rPr>
          <w:highlight w:val="yellow"/>
        </w:rPr>
        <w:t>.</w:t>
      </w:r>
      <w:r>
        <w:rPr/>
        <w:t xml:space="preserve"> Результаты представлены в таблиц</w:t>
      </w:r>
      <w:r>
        <w:rPr/>
        <w:t>ах</w:t>
      </w:r>
      <w:r>
        <w:rPr/>
        <w:t xml:space="preserve"> </w:t>
      </w:r>
      <w:r>
        <w:rPr>
          <w:highlight w:val="yellow"/>
        </w:rPr>
        <w:t>3,</w:t>
      </w:r>
      <w:r>
        <w:rPr>
          <w:highlight w:val="yellow"/>
        </w:rPr>
        <w:t>4</w:t>
      </w:r>
      <w:r>
        <w:rPr/>
        <w:t xml:space="preserve"> и рисунке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19050" distR="0">
            <wp:extent cx="5189855" cy="3893185"/>
            <wp:effectExtent l="0" t="0" r="0" b="0"/>
            <wp:docPr id="1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 xml:space="preserve">. Тепловой поток </w:t>
      </w:r>
      <w:r>
        <w:rPr>
          <w:highlight w:val="yellow"/>
        </w:rPr>
        <w:t>(P)</w:t>
      </w:r>
      <w:r>
        <w:rPr/>
        <w:t xml:space="preserve"> </w:t>
      </w:r>
      <w:r>
        <w:rPr/>
        <w:t xml:space="preserve">при изотермическом разложении трифлатов </w:t>
      </w:r>
    </w:p>
    <w:p>
      <w:pPr>
        <w:pStyle w:val="Normal"/>
        <w:jc w:val="center"/>
        <w:rPr/>
      </w:pPr>
      <w:r>
        <w:rPr/>
        <w:t xml:space="preserve">2-, 3-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) </w:t>
      </w:r>
      <w:r>
        <w:rPr/>
        <w:t>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 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Результаты анализа представлены </w:t>
      </w:r>
      <w:r>
        <w:rPr>
          <w:color w:val="000000"/>
        </w:rPr>
        <w:t xml:space="preserve">в таблице 5 и </w:t>
      </w:r>
      <w:r>
        <w:rPr>
          <w:color w:val="000000"/>
        </w:rPr>
        <w:t xml:space="preserve">графически на рисунке </w:t>
      </w:r>
      <w:r>
        <w:rPr>
          <w:color w:val="000000"/>
          <w:highlight w:val="yellow"/>
        </w:rPr>
        <w:t>1</w:t>
      </w:r>
      <w:r>
        <w:rPr>
          <w:color w:val="000000"/>
          <w:highlight w:val="yellow"/>
        </w:rPr>
        <w:t>1</w:t>
      </w:r>
      <w:r>
        <w:rPr>
          <w:color w:val="000000"/>
        </w:rPr>
        <w:t xml:space="preserve">. </w:t>
      </w:r>
      <w:r>
        <w:rPr>
          <w:color w:val="000000"/>
        </w:rPr>
        <w:t>Сравнивая значения энергий активации следует отметить, что для трифлатных солей эта величина существенно выше</w:t>
      </w:r>
      <w:r>
        <w:rPr>
          <w:color w:val="000000"/>
        </w:rPr>
        <w:t>,</w:t>
      </w:r>
      <w:r>
        <w:rPr>
          <w:color w:val="000000"/>
        </w:rPr>
        <w:t xml:space="preserve"> чем для тозилатной и тетрафторборатной соли, аномальным является трифлат 2-нитрофенилдиазония с очень низким значением энергии активации. </w:t>
      </w:r>
      <w:r>
        <w:br w:type="page"/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tabs>
          <w:tab w:val="left" w:pos="0" w:leader="none"/>
        </w:tabs>
        <w:ind w:left="0" w:right="0" w:hanging="0"/>
        <w:jc w:val="right"/>
        <w:rPr/>
      </w:pPr>
      <w:r>
        <w:rPr/>
        <w:t xml:space="preserve">Таблица 5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Рассчитанные значения кинетических параметров реакций разложения диазониевых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солей </w:t>
      </w:r>
      <w:r>
        <w:rPr/>
        <w:t>(</w:t>
      </w:r>
      <w:r>
        <w:rPr>
          <w:b/>
        </w:rPr>
        <w:t>1-3</w:t>
      </w:r>
      <w:r>
        <w:rPr/>
        <w:t xml:space="preserve">) </w:t>
      </w:r>
      <w:r>
        <w:rPr/>
        <w:t>при 25 </w:t>
      </w:r>
      <w:r>
        <w:rPr>
          <w:vertAlign w:val="superscript"/>
        </w:rPr>
        <w:t>о</w:t>
      </w:r>
      <w:r>
        <w:rPr/>
        <w:t xml:space="preserve">С </w:t>
      </w:r>
      <w:r>
        <w:rPr>
          <w:highlight w:val="yellow"/>
        </w:rPr>
        <w:t>(k</w:t>
      </w:r>
      <w:r>
        <w:rPr>
          <w:highlight w:val="yellow"/>
          <w:vertAlign w:val="subscript"/>
        </w:rPr>
        <w:t>298</w:t>
      </w:r>
      <w:r>
        <w:rPr>
          <w:highlight w:val="yellow"/>
        </w:rPr>
        <w:t xml:space="preserve"> - константа скорости при 298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K, Ea — энергия активации)</w:t>
      </w:r>
      <w:r>
        <w:rPr/>
        <w:t>.</w:t>
      </w:r>
    </w:p>
    <w:tbl>
      <w:tblPr>
        <w:tblW w:w="7313" w:type="dxa"/>
        <w:jc w:val="left"/>
        <w:tblInd w:w="150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00"/>
        <w:gridCol w:w="2275"/>
        <w:gridCol w:w="2038"/>
      </w:tblGrid>
      <w:tr>
        <w:trPr>
          <w:tblHeader w:val="true"/>
        </w:trPr>
        <w:tc>
          <w:tcPr>
            <w:tcW w:w="30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k</w:t>
            </w:r>
            <w:r>
              <w:rPr>
                <w:vertAlign w:val="subscript"/>
              </w:rPr>
              <w:t>298</w:t>
            </w:r>
            <w:r>
              <w:rPr/>
              <w:t>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Ea, kJ/mol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111.4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159.7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173.0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187.1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131.7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Р</w:t>
      </w:r>
      <w:r>
        <w:rPr>
          <w:color w:val="000000"/>
        </w:rPr>
        <w:t xml:space="preserve">исунок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Анализ Аррениуса для реакций разложения диазониевых солей </w:t>
      </w:r>
      <w:r>
        <w:rPr>
          <w:b/>
          <w:color w:val="000000"/>
        </w:rPr>
        <w:t>1-3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трифлатных солей, наибольшим периодом полураспада при 25 </w:t>
      </w:r>
      <w:r>
        <w:rPr>
          <w:color w:val="000000"/>
          <w:vertAlign w:val="superscript"/>
        </w:rPr>
        <w:t>o</w:t>
      </w:r>
      <w:r>
        <w:rPr>
          <w:color w:val="000000"/>
        </w:rPr>
        <w:t xml:space="preserve">C обладает трифлат 3-нитрофенилдиазония - 90 лет, наименьшим трифлат 2-нитрофенилдиазония - 25 лет (рисунок </w:t>
      </w:r>
      <w:r>
        <w:rPr>
          <w:color w:val="000000"/>
          <w:highlight w:val="yellow"/>
        </w:rPr>
        <w:t>12</w:t>
      </w:r>
      <w:r>
        <w:rPr>
          <w:color w:val="000000"/>
        </w:rPr>
        <w:t xml:space="preserve">). Наибольшее влияние на стабильность оказывает природа противоиона (рисунок </w:t>
      </w:r>
      <w:r>
        <w:rPr>
          <w:color w:val="000000"/>
          <w:highlight w:val="yellow"/>
        </w:rPr>
        <w:t>13</w:t>
      </w:r>
      <w:r>
        <w:rPr>
          <w:color w:val="000000"/>
        </w:rPr>
        <w:t>), близкие значения периодов полураспада при нормальных условиях имеют тозилатная - 5 лет и тетрафторборатная - 4.5 года соли 4-нитрофенилдиазония. Существенно более стабильной является трифлатная соль 4-нитрофенилдиазония с периодом полураспада - 46 лет и значительно более низким значением максимального теплового потока.</w:t>
      </w:r>
      <w:r>
        <w:rPr>
          <w:color w:val="000000"/>
          <w:highlight w:val="yellow"/>
        </w:rPr>
        <w:t xml:space="preserve"> Следует заметить, что  влияние противоиона становится более заметным только при низких температурах, при повышеной температуре (в услових ДСК и потоковой калориметрии)  различия во временах разложения солей нивелируются. </w:t>
      </w:r>
      <w:r>
        <w:rPr>
          <w:color w:val="000000"/>
        </w:rPr>
        <w:t>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кристаллической решетки, на скорость и энергетику процесса, вероятно, влияет как природа диазониевого катиона Ar-N</w:t>
      </w:r>
      <w:r>
        <w:rPr>
          <w:color w:val="000000"/>
          <w:vertAlign w:val="subscript"/>
        </w:rPr>
        <w:t>2</w:t>
      </w:r>
      <w:r>
        <w:rPr>
          <w:color w:val="000000"/>
          <w:vertAlign w:val="superscript"/>
        </w:rPr>
        <w:t>+</w:t>
      </w:r>
      <w:r>
        <w:rPr>
          <w:color w:val="000000"/>
          <w:position w:val="0"/>
          <w:sz w:val="24"/>
          <w:vertAlign w:val="baseline"/>
        </w:rPr>
        <w:t xml:space="preserve">, </w:t>
      </w:r>
      <w:r>
        <w:rPr>
          <w:color w:val="000000"/>
          <w:position w:val="0"/>
          <w:sz w:val="24"/>
          <w:vertAlign w:val="baseline"/>
        </w:rPr>
        <w:t>так и наличие и природа нуклеофилов в ближайшем окружении</w:t>
      </w:r>
      <w:r>
        <w:rPr>
          <w:color w:val="000000"/>
        </w:rPr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19050" distR="1270">
            <wp:extent cx="4951730" cy="3703955"/>
            <wp:effectExtent l="0" t="0" r="0" b="0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t>Р</w:t>
      </w:r>
      <w:r>
        <w:rPr/>
        <w:t xml:space="preserve">исунок </w:t>
      </w:r>
      <w:r>
        <w:rPr>
          <w:highlight w:val="yellow"/>
        </w:rPr>
        <w:t>1</w:t>
      </w:r>
      <w:r>
        <w:rPr>
          <w:highlight w:val="yellow"/>
        </w:rPr>
        <w:t>2</w:t>
      </w:r>
      <w:r>
        <w:rPr/>
        <w:t xml:space="preserve">. </w:t>
      </w:r>
      <w:r>
        <w:rPr>
          <w:highlight w:val="yellow"/>
        </w:rPr>
        <w:t xml:space="preserve">Рассчитанные </w:t>
      </w:r>
      <w:r>
        <w:rPr>
          <w:highlight w:val="yellow"/>
        </w:rPr>
        <w:t xml:space="preserve">тепловые потоки (P) для </w:t>
      </w:r>
      <w:r>
        <w:rPr>
          <w:highlight w:val="yellow"/>
        </w:rPr>
        <w:t>кинетически</w:t>
      </w:r>
      <w:r>
        <w:rPr>
          <w:highlight w:val="yellow"/>
        </w:rPr>
        <w:t>х</w:t>
      </w:r>
      <w:r>
        <w:rPr>
          <w:highlight w:val="yellow"/>
        </w:rPr>
        <w:t xml:space="preserve"> кривы</w:t>
      </w:r>
      <w:r>
        <w:rPr>
          <w:highlight w:val="yellow"/>
        </w:rPr>
        <w:t>х</w:t>
      </w:r>
      <w:r>
        <w:rPr>
          <w:highlight w:val="yellow"/>
        </w:rPr>
        <w:t xml:space="preserve"> разложения трифлатов 2-, 3- и 4-нитробензолдиазония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) </w:t>
      </w:r>
      <w:r>
        <w:rPr>
          <w:highlight w:val="yellow"/>
        </w:rPr>
        <w:t>при 25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19050" distR="5715">
            <wp:extent cx="5004435" cy="3764280"/>
            <wp:effectExtent l="0" t="0" r="0" b="0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3</w:t>
      </w:r>
      <w:r>
        <w:rPr/>
        <w:t xml:space="preserve">. Рассчитанные </w:t>
      </w:r>
      <w:r>
        <w:rPr/>
        <w:t xml:space="preserve">тепловые потоки (P) для </w:t>
      </w:r>
      <w:r>
        <w:rPr/>
        <w:t>кинетически</w:t>
      </w:r>
      <w:r>
        <w:rPr/>
        <w:t>х</w:t>
      </w:r>
      <w:r>
        <w:rPr/>
        <w:t xml:space="preserve"> кривы</w:t>
      </w:r>
      <w:r>
        <w:rPr/>
        <w:t>х</w:t>
      </w:r>
      <w:r>
        <w:rPr/>
        <w:t xml:space="preserve"> разложения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тозилата </w:t>
      </w:r>
      <w:r>
        <w:rPr/>
        <w:t>(</w:t>
      </w:r>
      <w:r>
        <w:rPr>
          <w:b/>
        </w:rPr>
        <w:t>2</w:t>
      </w:r>
      <w:r>
        <w:rPr/>
        <w:t>),</w:t>
      </w:r>
      <w:r>
        <w:rPr/>
        <w:t xml:space="preserve">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) </w:t>
      </w:r>
      <w:r>
        <w:rPr/>
        <w:t xml:space="preserve">и тетрафторбората </w:t>
      </w:r>
      <w:r>
        <w:rPr/>
        <w:t>(</w:t>
      </w:r>
      <w:r>
        <w:rPr>
          <w:b/>
        </w:rPr>
        <w:t>3</w:t>
      </w:r>
      <w:r>
        <w:rPr/>
        <w:t xml:space="preserve">) </w:t>
      </w:r>
      <w:r>
        <w:rPr/>
        <w:t>4-нитробензолдиазония при 25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  <w:highlight w:val="green"/>
        </w:rPr>
      </w:pPr>
      <w:r>
        <w:rPr>
          <w:color w:val="000000"/>
          <w:highlight w:val="green"/>
        </w:rPr>
      </w:r>
    </w:p>
    <w:p>
      <w:pPr>
        <w:pStyle w:val="Normal"/>
        <w:rPr>
          <w:highlight w:val="yellow"/>
        </w:rPr>
      </w:pPr>
      <w:r>
        <w:rPr>
          <w:b/>
          <w:bCs/>
          <w:highlight w:val="yellow"/>
          <w:lang w:val="en-US"/>
        </w:rPr>
        <w:t>GC</w:t>
      </w:r>
      <w:r>
        <w:rPr>
          <w:b/>
          <w:bCs/>
          <w:highlight w:val="yellow"/>
        </w:rPr>
        <w:t>-</w:t>
      </w:r>
      <w:r>
        <w:rPr>
          <w:b/>
          <w:bCs/>
          <w:highlight w:val="yellow"/>
          <w:lang w:val="en-US"/>
        </w:rPr>
        <w:t>MS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и LC-MS </w:t>
      </w:r>
      <w:r>
        <w:rPr>
          <w:b/>
          <w:bCs/>
          <w:highlight w:val="yellow"/>
        </w:rPr>
        <w:t xml:space="preserve">исследование продуктов термического разложения </w:t>
      </w:r>
    </w:p>
    <w:p>
      <w:pPr>
        <w:pStyle w:val="Normal"/>
        <w:rPr>
          <w:highlight w:val="yellow"/>
        </w:rPr>
      </w:pPr>
      <w:r>
        <w:rPr>
          <w:highlight w:val="yellow"/>
        </w:rPr>
        <w:t>Давно установлено, что основными продуктами термического разложения арендиазоний тетрафторборатов являются соответствующие арилфториды (метод Бальца-Шимана) [1</w:t>
      </w:r>
      <w:r>
        <w:rPr>
          <w:highlight w:val="yellow"/>
          <w:lang w:val="en-US"/>
        </w:rPr>
        <w:t>a</w:t>
      </w:r>
      <w:r>
        <w:rPr>
          <w:highlight w:val="yellow"/>
        </w:rPr>
        <w:t xml:space="preserve">], продукты же термического разложения арендиазоний трифлатов неизвестны. Мы определили продукты, получающиеся при выдерживании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в течение 14 суток с последующим превращением непрореагировавших солей в арилиодиды реакций с </w:t>
      </w:r>
      <w:r>
        <w:rPr>
          <w:highlight w:val="yellow"/>
          <w:lang w:val="en-US"/>
        </w:rPr>
        <w:t>KI</w:t>
      </w:r>
      <w:r>
        <w:rPr>
          <w:highlight w:val="yellow"/>
        </w:rPr>
        <w:t>. Продукты этих превращений были исследованы методом</w:t>
      </w:r>
      <w:r>
        <w:rPr>
          <w:highlight w:val="yellow"/>
        </w:rPr>
        <w:t>и</w:t>
      </w:r>
      <w:r>
        <w:rPr>
          <w:highlight w:val="yellow"/>
        </w:rPr>
        <w:t xml:space="preserve"> </w:t>
      </w:r>
      <w:r>
        <w:rPr>
          <w:highlight w:val="yellow"/>
        </w:rPr>
        <w:t>GC-MS и LC-MS</w:t>
      </w:r>
      <w:r>
        <w:rPr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Основным продуктом разложения солей </w:t>
      </w:r>
      <w:r>
        <w:rPr>
          <w:b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highlight w:val="yellow"/>
        </w:rPr>
        <w:t>1c</w:t>
      </w:r>
      <w:r>
        <w:rPr>
          <w:highlight w:val="yellow"/>
        </w:rPr>
        <w:t xml:space="preserve"> </w:t>
      </w:r>
      <w:r>
        <w:rPr>
          <w:highlight w:val="yellow"/>
        </w:rPr>
        <w:t xml:space="preserve">по данным GC-MS </w:t>
      </w:r>
      <w:r>
        <w:rPr>
          <w:highlight w:val="yellow"/>
        </w:rPr>
        <w:t xml:space="preserve">оказались соответствующие эфиры нитрофенил трифторметансульфонатов </w:t>
      </w:r>
      <w:r>
        <w:rPr>
          <w:highlight w:val="yellow"/>
          <w:lang w:val="en-US"/>
        </w:rPr>
        <w:t>ArOTf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and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ArOTs</w:t>
      </w:r>
      <w:r>
        <w:rPr>
          <w:highlight w:val="yellow"/>
        </w:rPr>
        <w:t xml:space="preserve">. </w:t>
      </w:r>
      <w:r>
        <w:rPr>
          <w:color w:val="000000"/>
          <w:highlight w:val="yellow"/>
        </w:rPr>
        <w:t xml:space="preserve">При разложении тозилатной соли </w:t>
      </w:r>
      <w:r>
        <w:rPr>
          <w:b/>
          <w:bCs/>
          <w:color w:val="000000"/>
          <w:highlight w:val="yellow"/>
        </w:rPr>
        <w:t xml:space="preserve">2 </w:t>
      </w:r>
      <w:r>
        <w:rPr>
          <w:b w:val="false"/>
          <w:bCs w:val="false"/>
          <w:color w:val="000000"/>
          <w:highlight w:val="yellow"/>
        </w:rPr>
        <w:t>основными продуктами являются нитробензол и 1-йод-4-нитробензол</w:t>
      </w:r>
      <w:r>
        <w:rPr>
          <w:b w:val="false"/>
          <w:bCs w:val="false"/>
          <w:color w:val="000000"/>
          <w:highlight w:val="yellow"/>
        </w:rPr>
        <w:t xml:space="preserve">, эфир </w:t>
      </w:r>
      <w:r>
        <w:rPr>
          <w:b w:val="false"/>
          <w:bCs w:val="false"/>
          <w:color w:val="000000"/>
          <w:highlight w:val="yellow"/>
        </w:rPr>
        <w:t>4-nitrophenyl 4-methylbenzenesulfonate m/z=</w:t>
      </w:r>
      <w:r>
        <w:rPr>
          <w:b w:val="false"/>
          <w:bCs w:val="false"/>
          <w:color w:val="000000"/>
          <w:highlight w:val="yellow"/>
        </w:rPr>
        <w:t>292.1</w:t>
      </w:r>
      <w:r>
        <w:rPr>
          <w:b w:val="false"/>
          <w:bCs w:val="false"/>
          <w:color w:val="000000"/>
          <w:highlight w:val="yellow"/>
        </w:rPr>
        <w:t xml:space="preserve"> присутствует на хроматограмме LC-MS ESI в отрицательном режиме ионизации</w:t>
      </w:r>
      <w:r>
        <w:rPr>
          <w:b w:val="false"/>
          <w:bCs w:val="false"/>
          <w:color w:val="000000"/>
          <w:highlight w:val="yellow"/>
        </w:rPr>
        <w:t>.</w:t>
      </w:r>
      <w:r>
        <w:rPr>
          <w:b/>
          <w:bCs/>
          <w:color w:val="009900"/>
          <w:highlight w:val="yellow"/>
        </w:rPr>
        <w:t xml:space="preserve"> </w:t>
      </w:r>
      <w:r>
        <w:rPr>
          <w:highlight w:val="yellow"/>
        </w:rPr>
        <w:t xml:space="preserve">Для тетрафторборатной соли </w:t>
      </w:r>
      <w:r>
        <w:rPr>
          <w:b/>
          <w:highlight w:val="yellow"/>
        </w:rPr>
        <w:t>3</w:t>
      </w:r>
      <w:r>
        <w:rPr>
          <w:highlight w:val="yellow"/>
        </w:rPr>
        <w:t xml:space="preserve"> основным продуктом, как и следовало ожидать, является 1-фтор-4-нитробензол. Однако, для соли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highlight w:val="yellow"/>
        </w:rPr>
        <w:t xml:space="preserve"> с нитро-группой в </w:t>
      </w:r>
      <w:r>
        <w:rPr>
          <w:i/>
          <w:highlight w:val="yellow"/>
        </w:rPr>
        <w:t>орто</w:t>
      </w:r>
      <w:r>
        <w:rPr>
          <w:highlight w:val="yellow"/>
        </w:rPr>
        <w:t xml:space="preserve">-положении продукта замещения диазониевой группы на трифлат-анион не обнаружено. </w:t>
      </w:r>
      <w:r>
        <w:rPr>
          <w:color w:val="000000"/>
          <w:highlight w:val="yellow"/>
        </w:rPr>
        <w:t xml:space="preserve">Следует отметить, что при разложении всех изученных солей образуются значительные количества смолообразных продуктов, не определяемых методами </w:t>
      </w:r>
      <w:r>
        <w:rPr>
          <w:color w:val="000000"/>
          <w:highlight w:val="yellow"/>
        </w:rPr>
        <w:t>GC-MS</w:t>
      </w:r>
      <w:r>
        <w:rPr>
          <w:color w:val="000000"/>
          <w:highlight w:val="yellow"/>
        </w:rPr>
        <w:t>.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Хроматограммы </w:t>
      </w:r>
      <w:r>
        <w:rPr>
          <w:color w:val="000000"/>
          <w:highlight w:val="yellow"/>
        </w:rPr>
        <w:t xml:space="preserve">GC-MS </w:t>
      </w:r>
      <w:r>
        <w:rPr>
          <w:color w:val="000000"/>
          <w:highlight w:val="yellow"/>
        </w:rPr>
        <w:t xml:space="preserve">представлены </w:t>
      </w:r>
      <w:r>
        <w:rPr>
          <w:color w:val="000000"/>
          <w:highlight w:val="yellow"/>
        </w:rPr>
        <w:t xml:space="preserve">в приложении 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на рисунках 15-</w:t>
      </w:r>
      <w:r>
        <w:rPr>
          <w:color w:val="000000"/>
          <w:highlight w:val="yellow"/>
        </w:rPr>
        <w:t>20</w:t>
      </w:r>
      <w:r>
        <w:rPr>
          <w:color w:val="000000"/>
          <w:highlight w:val="yellow"/>
        </w:rPr>
        <w:t xml:space="preserve">. </w:t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  <w:t>Основные результаты LC-MS исследования продуктов разложения ДС представлены в таблице 6.</w:t>
      </w:r>
    </w:p>
    <w:p>
      <w:pPr>
        <w:pStyle w:val="Normal"/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</w:r>
      <w:r>
        <w:br w:type="page"/>
      </w:r>
    </w:p>
    <w:p>
      <w:pPr>
        <w:pStyle w:val="Normal"/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  <w:t>Таблица 6.</w:t>
      </w:r>
    </w:p>
    <w:p>
      <w:pPr>
        <w:pStyle w:val="Normal"/>
        <w:jc w:val="center"/>
        <w:rPr>
          <w:highlight w:val="yellow"/>
        </w:rPr>
      </w:pPr>
      <w:r>
        <w:rPr>
          <w:color w:val="000000"/>
          <w:highlight w:val="yellow"/>
        </w:rPr>
        <w:t xml:space="preserve">Основные </w:t>
      </w:r>
      <w:r>
        <w:rPr>
          <w:color w:val="000000"/>
          <w:highlight w:val="yellow"/>
        </w:rPr>
        <w:t>пики</w:t>
      </w:r>
      <w:r>
        <w:rPr>
          <w:color w:val="000000"/>
          <w:highlight w:val="yellow"/>
        </w:rPr>
        <w:t xml:space="preserve"> присутствующие на LC-MS хроматограммах продуктов разложения ДС.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666"/>
        <w:gridCol w:w="1866"/>
        <w:gridCol w:w="1760"/>
        <w:gridCol w:w="3346"/>
      </w:tblGrid>
      <w:tr>
        <w:trPr>
          <w:tblHeader w:val="true"/>
          <w:cantSplit w:val="true"/>
        </w:trPr>
        <w:tc>
          <w:tcPr>
            <w:tcW w:w="26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rFonts w:cs="Times New Roman" w:ascii="Times New Roman" w:hAnsi="Times New Roman"/>
                <w:b/>
                <w:bCs/>
                <w:highlight w:val="yellow"/>
                <w:lang w:val="en-US" w:eastAsia="zh-CN" w:bidi="hi-IN"/>
              </w:rPr>
              <w:t>Substance</w:t>
            </w:r>
          </w:p>
        </w:tc>
        <w:tc>
          <w:tcPr>
            <w:tcW w:w="1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Ionization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b/>
                <w:bCs/>
                <w:highlight w:val="yellow"/>
                <w:lang w:val="en-US" w:eastAsia="zh-CN" w:bidi="hi-IN"/>
              </w:rPr>
              <w:t>Mode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M/Z</w:t>
            </w:r>
          </w:p>
        </w:tc>
        <w:tc>
          <w:tcPr>
            <w:tcW w:w="3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Compound</w:t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 743.2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432.1; 553.1; 674.1; 795.1; 916.1; 1037.1; 1158.1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525.1; 646.1; 767.1; </w:t>
            </w:r>
            <w:r>
              <w:rPr>
                <w:highlight w:val="yellow"/>
                <w:lang w:val="en-US" w:eastAsia="zh-CN" w:bidi="hi-IN"/>
              </w:rPr>
              <w:t>888.1; 1009.1; 1130.1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588.2; 710.1; 831.2; 952.2;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275.1; 785.8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915.2; 1087.1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Полимерная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highlight w:val="yellow"/>
                <w:lang w:val="en-US" w:eastAsia="zh-CN" w:bidi="hi-IN"/>
              </w:rPr>
              <w:t>[</w:t>
            </w:r>
            <w:r>
              <w:rPr>
                <w:highlight w:val="yellow"/>
                <w:lang w:val="en-US" w:eastAsia="zh-CN" w:bidi="hi-IN"/>
              </w:rPr>
              <w:t>NO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</w:t>
            </w:r>
            <w:r>
              <w:rPr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H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CF</w:t>
            </w:r>
            <w:r>
              <w:rPr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P2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b w:val="false"/>
                <w:b w:val="false"/>
                <w:bCs w:val="false"/>
                <w:i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b w:val="false"/>
                <w:bCs w:val="false"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Различие между P2 и P3 - 28 соответствует потере азота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394.0; 515.0; 635.9; 756.9; 877.8; 998.8; 1119.7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597.3; 875.4; 877.4; 879.4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380.1; 501.1; 622.1; 743.1; 864.1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528.0; 649.1; 770.1; 891.1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320.9; 436.7; 563.6; 936.2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5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275.0; 297.1; 691.7; 785.9; 915.2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Полимерн</w:t>
            </w:r>
            <w:r>
              <w:rPr>
                <w:highlight w:val="yellow"/>
                <w:lang w:val="en-US" w:eastAsia="zh-CN" w:bidi="hi-IN"/>
              </w:rPr>
              <w:t>ая</w:t>
            </w:r>
            <w:r>
              <w:rPr>
                <w:highlight w:val="yellow"/>
                <w:lang w:val="en-US" w:eastAsia="zh-CN" w:bidi="hi-IN"/>
              </w:rPr>
              <w:t xml:space="preserve">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CF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451.4; 515.3; 585.8; 707.8; 599.3; 617.3; 663.2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133.0; 276.8; 327.9; 436.7; 563.6; 583.0; 644.0; 706.0; 707.9; 1020.9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102.1; 275.0; 297.0; 553.3; 691.8; 785.3; 914.5; 1057.5; 1086.3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366.0; 471.0; 481.9; 686.8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133.0; </w:t>
            </w:r>
            <w:r>
              <w:rPr>
                <w:highlight w:val="yellow"/>
                <w:lang w:val="en-US" w:eastAsia="zh-CN" w:bidi="hi-IN"/>
              </w:rPr>
              <w:t xml:space="preserve">259.1; </w:t>
            </w:r>
            <w:r>
              <w:rPr>
                <w:highlight w:val="yellow"/>
                <w:lang w:val="en-US" w:eastAsia="zh-CN" w:bidi="hi-IN"/>
              </w:rPr>
              <w:t xml:space="preserve">276.8; 327.9; </w:t>
            </w:r>
            <w:r>
              <w:rPr>
                <w:highlight w:val="yellow"/>
                <w:lang w:val="en-US" w:eastAsia="zh-CN" w:bidi="hi-IN"/>
              </w:rPr>
              <w:t>362.1;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  <w:r>
              <w:rPr>
                <w:highlight w:val="yellow"/>
                <w:lang w:val="en-US" w:eastAsia="zh-CN" w:bidi="hi-IN"/>
              </w:rPr>
              <w:t>383.0; 384.0; 377.0; 379.1;</w:t>
            </w:r>
            <w:r>
              <w:rPr>
                <w:highlight w:val="yellow"/>
                <w:lang w:val="en-US" w:eastAsia="zh-CN" w:bidi="hi-IN"/>
              </w:rPr>
              <w:t xml:space="preserve"> 436.7; 563.6; </w:t>
            </w:r>
            <w:r>
              <w:rPr>
                <w:highlight w:val="yellow"/>
                <w:lang w:val="en-US" w:eastAsia="zh-CN" w:bidi="hi-IN"/>
              </w:rPr>
              <w:t>628.0; 630.0; 725.0; 880.0; 931.0; 1020.9; 1261.0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102.1; 275.0; 297.0; </w:t>
            </w:r>
            <w:r>
              <w:rPr>
                <w:highlight w:val="yellow"/>
                <w:lang w:val="en-US" w:eastAsia="zh-CN" w:bidi="hi-IN"/>
              </w:rPr>
              <w:t xml:space="preserve">323.3; 339.3; </w:t>
            </w:r>
            <w:r>
              <w:rPr>
                <w:highlight w:val="yellow"/>
                <w:lang w:val="en-US" w:eastAsia="zh-CN" w:bidi="hi-IN"/>
              </w:rPr>
              <w:t xml:space="preserve"> 5</w:t>
            </w:r>
            <w:r>
              <w:rPr>
                <w:highlight w:val="yellow"/>
                <w:lang w:val="en-US" w:eastAsia="zh-CN" w:bidi="hi-IN"/>
              </w:rPr>
              <w:t>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 xml:space="preserve">601.6; 623.6; </w:t>
            </w:r>
            <w:r>
              <w:rPr>
                <w:highlight w:val="yellow"/>
                <w:lang w:val="en-US" w:eastAsia="zh-CN" w:bidi="hi-IN"/>
              </w:rPr>
              <w:t>691.</w:t>
            </w:r>
            <w:r>
              <w:rPr>
                <w:highlight w:val="yellow"/>
                <w:lang w:val="en-US" w:eastAsia="zh-CN" w:bidi="hi-IN"/>
              </w:rPr>
              <w:t>7</w:t>
            </w:r>
            <w:r>
              <w:rPr>
                <w:highlight w:val="yellow"/>
                <w:lang w:val="en-US" w:eastAsia="zh-CN" w:bidi="hi-IN"/>
              </w:rPr>
              <w:t>; 785.</w:t>
            </w:r>
            <w:r>
              <w:rPr>
                <w:highlight w:val="yellow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; 914.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>; 10</w:t>
            </w:r>
            <w:r>
              <w:rPr>
                <w:highlight w:val="yellow"/>
                <w:lang w:val="en-US" w:eastAsia="zh-CN" w:bidi="hi-IN"/>
              </w:rPr>
              <w:t>83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; 1086.3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455.0; 631.9; 663.3 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69.0; 83.0; 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</w:t>
            </w:r>
            <w:r>
              <w:rPr>
                <w:highlight w:val="yellow"/>
                <w:lang w:val="en-US" w:eastAsia="zh-CN" w:bidi="hi-IN"/>
              </w:rPr>
              <w:t>8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327.9; 436.7; </w:t>
            </w:r>
            <w:r>
              <w:rPr>
                <w:highlight w:val="yellow"/>
                <w:lang w:val="en-US" w:eastAsia="zh-CN" w:bidi="hi-IN"/>
              </w:rPr>
              <w:t>563.6; 569.1; 667.0; 679.1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вероятно 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</w:t>
            </w:r>
            <w:r>
              <w:rPr>
                <w:highlight w:val="yellow"/>
                <w:lang w:val="en-US" w:eastAsia="zh-CN" w:bidi="hi-IN"/>
              </w:rPr>
              <w:t>319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; 5</w:t>
            </w:r>
            <w:r>
              <w:rPr>
                <w:highlight w:val="yellow"/>
                <w:lang w:val="en-US" w:eastAsia="zh-CN" w:bidi="hi-IN"/>
              </w:rPr>
              <w:t>64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3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>809.4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513.2; 758.3; 1003.4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707.3; 952.3; 1197.4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457.1; 578.1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884.1; 1005.1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803.7; 661.5; 966.3; 1083.8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245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Полимерная цепочка P2 с шагом 245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P3 с шагом 245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364.0; 434.0; 504.0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485.0; 555.0; 625.0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264.1; 500.0; 566.9; 539.0; 811.8; 813.8; 845.8;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 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>71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292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316.8; 327.9; 365.0; 436.7; 259.2; 579.1; 844.1; 859.1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s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эфир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OSO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</w:t>
            </w:r>
          </w:p>
        </w:tc>
      </w:tr>
      <w:tr>
        <w:trPr>
          <w:cantSplit w:val="true"/>
        </w:trPr>
        <w:tc>
          <w:tcPr>
            <w:tcW w:w="2666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235.2; 275.1; 556.4; 803.6; 812.4; 1083.8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352.0; 473.0; 593.9; 714.9; 835.9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471.0; 473.0; 485.0; 369.3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6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501.1; 622.1; 743.1; 864.1; 985.2; 1106.1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605.1; 726.1; 847.1; 968.1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471.1; 592.1; 713.1; 834.2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247.1; 353.1; 327.9; 434.7; 563.6; 761.2; 533.1; 392.1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BF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I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</w:tbl>
    <w:p>
      <w:pPr>
        <w:pStyle w:val="Normal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Наличие смолообразных продуктов вероятно связано с процессами полимеризации и образования высоко молекулярных продуктов, которые обнаружены в спектрах </w:t>
      </w:r>
      <w:r>
        <w:rPr>
          <w:color w:val="000000"/>
          <w:highlight w:val="yellow"/>
        </w:rPr>
        <w:t xml:space="preserve">ДС </w:t>
      </w:r>
      <w:r>
        <w:rPr>
          <w:b/>
          <w:bCs/>
          <w:i w:val="false"/>
          <w:iCs w:val="false"/>
          <w:color w:val="000000"/>
          <w:highlight w:val="yellow"/>
        </w:rPr>
        <w:t>1</w:t>
      </w:r>
      <w:r>
        <w:rPr>
          <w:b/>
          <w:bCs/>
          <w:i w:val="false"/>
          <w:iCs w:val="false"/>
          <w:color w:val="000000"/>
          <w:highlight w:val="yellow"/>
        </w:rPr>
        <w:t>-</w:t>
      </w:r>
      <w:r>
        <w:rPr>
          <w:b/>
          <w:bCs/>
          <w:i w:val="false"/>
          <w:iCs w:val="false"/>
          <w:color w:val="000000"/>
          <w:highlight w:val="yellow"/>
        </w:rPr>
        <w:t>3</w:t>
      </w:r>
      <w:r>
        <w:rPr>
          <w:color w:val="000000"/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Полимерные цепочки для соединений </w:t>
      </w:r>
      <w:r>
        <w:rPr>
          <w:b/>
          <w:bCs/>
          <w:color w:val="000000"/>
          <w:highlight w:val="yellow"/>
        </w:rPr>
        <w:t>1a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1b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3</w:t>
      </w:r>
      <w:r>
        <w:rPr>
          <w:color w:val="000000"/>
          <w:highlight w:val="yellow"/>
        </w:rPr>
        <w:t xml:space="preserve"> имеют шаг равный молекулярной массе </w:t>
      </w:r>
      <w:r>
        <w:rPr>
          <w:color w:val="000000"/>
          <w:highlight w:val="yellow"/>
        </w:rPr>
        <w:t>б</w:t>
      </w:r>
      <w:r>
        <w:rPr>
          <w:color w:val="000000"/>
          <w:highlight w:val="yellow"/>
        </w:rPr>
        <w:t>ензин-производн</w:t>
      </w:r>
      <w:r>
        <w:rPr>
          <w:color w:val="000000"/>
          <w:highlight w:val="yellow"/>
        </w:rPr>
        <w:t>ого</w:t>
      </w:r>
      <w:r>
        <w:rPr>
          <w:color w:val="000000"/>
          <w:highlight w:val="yellow"/>
        </w:rPr>
        <w:t xml:space="preserve"> NO</w:t>
      </w:r>
      <w:r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</w:rPr>
        <w:t>C</w:t>
      </w:r>
      <w:r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</w:rPr>
        <w:t>H</w:t>
      </w:r>
      <w:r>
        <w:rPr>
          <w:color w:val="000000"/>
          <w:highlight w:val="yellow"/>
          <w:vertAlign w:val="subscript"/>
        </w:rPr>
        <w:t>3</w:t>
      </w:r>
      <w:r>
        <w:rPr>
          <w:color w:val="000000"/>
          <w:highlight w:val="yellow"/>
        </w:rPr>
        <w:t xml:space="preserve">. Кроме того в продуктах обнаружены цепочки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223</w:t>
      </w:r>
      <w:r>
        <w:rPr>
          <w:color w:val="000000"/>
          <w:highlight w:val="yellow"/>
        </w:rPr>
        <w:t xml:space="preserve">, вероятно имеющую брутто формулу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F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и с </w:t>
      </w:r>
      <w:r>
        <w:rPr>
          <w:color w:val="000000"/>
          <w:highlight w:val="yellow"/>
        </w:rPr>
        <w:t xml:space="preserve">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>45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для тозилата</w:t>
      </w:r>
      <w:r>
        <w:rPr>
          <w:color w:val="000000"/>
          <w:highlight w:val="yellow"/>
        </w:rPr>
        <w:t xml:space="preserve">, вероятно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CH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>.</w:t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  <w:t>В общем по результатам GC-MS и LC-MS можно предположить основные схемы процессов протекающих при термическом разложении ДС:</w:t>
      </w:r>
    </w:p>
    <w:p>
      <w:pPr>
        <w:pStyle w:val="Normal"/>
        <w:rPr>
          <w:color w:val="000000"/>
          <w:sz w:val="12"/>
          <w:szCs w:val="12"/>
          <w:highlight w:val="yellow"/>
        </w:rPr>
      </w:pPr>
      <w:r>
        <w:rPr>
          <w:color w:val="000000"/>
          <w:sz w:val="12"/>
          <w:szCs w:val="12"/>
          <w:highlight w:val="yellow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>
          <w:color w:val="000000"/>
          <w:highlight w:val="yellow"/>
        </w:rPr>
      </w:pPr>
      <w:r>
        <w:rPr>
          <w:color w:val="000000"/>
          <w:highlight w:val="yellow"/>
        </w:rPr>
        <w:drawing>
          <wp:inline distT="0" distB="0" distL="0" distR="0">
            <wp:extent cx="4309110" cy="1410970"/>
            <wp:effectExtent l="0" t="0" r="0" b="0"/>
            <wp:docPr id="2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highlight w:val="yellow"/>
        </w:rPr>
      </w:pPr>
      <w:r>
        <w:rPr>
          <w:highlight w:val="yellow"/>
        </w:rPr>
        <w:t>С последующей полимеризацией по схеме: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/>
      </w:pPr>
      <w:r>
        <w:rPr/>
        <w:drawing>
          <wp:inline distT="0" distB="0" distL="0" distR="0">
            <wp:extent cx="4033520" cy="1075055"/>
            <wp:effectExtent l="0" t="0" r="0" b="0"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Квантовохимические исследования</w:t>
      </w:r>
    </w:p>
    <w:p>
      <w:pPr>
        <w:pStyle w:val="Normal"/>
        <w:rPr/>
      </w:pPr>
      <w:r>
        <w:rPr/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>3</w:t>
      </w:r>
      <w:r>
        <w:rPr/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rPr/>
        <w:t xml:space="preserve"> RB3LYP/aug-cc-pVDZ.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rPr/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и продуктов замещения диазониевой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rPr/>
        <w:t xml:space="preserve">. Основными продуктами для трифлатов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и тозилата </w:t>
      </w:r>
      <w:r>
        <w:rPr>
          <w:b/>
        </w:rPr>
        <w:t xml:space="preserve">2 </w:t>
      </w:r>
      <w:r>
        <w:rPr/>
        <w:t xml:space="preserve">выбраны эфиры соответствующих кислот и замещенных фенолов, а при разложении тетрафторбората </w:t>
      </w:r>
      <w:r>
        <w:rPr>
          <w:b/>
        </w:rPr>
        <w:t>3</w:t>
      </w:r>
      <w:r>
        <w:rPr/>
        <w:t xml:space="preserve"> </w:t>
      </w:r>
      <w:r>
        <w:rPr/>
        <w:t>-</w:t>
      </w:r>
      <w:r>
        <w:rPr/>
        <w:t xml:space="preserve"> </w:t>
      </w:r>
      <w:r>
        <w:rPr/>
        <w:t>4</w:t>
        <w:noBreakHyphen/>
      </w:r>
      <w:r>
        <w:rPr/>
        <w:t xml:space="preserve">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тетрафторбората </w:t>
      </w:r>
      <w:r>
        <w:rPr>
          <w:b/>
        </w:rPr>
        <w:t>3</w:t>
      </w:r>
      <w:r>
        <w:rPr/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rPr/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rPr/>
        <w:t xml:space="preserve"> (</w:t>
      </w:r>
      <w:r>
        <w:rPr>
          <w:lang w:val="en-US"/>
        </w:rPr>
        <w:t>tabl</w:t>
      </w:r>
      <w:r>
        <w:rPr/>
        <w:t xml:space="preserve">. 6, </w:t>
      </w:r>
      <w:r>
        <w:rPr>
          <w:lang w:val="en-US"/>
        </w:rPr>
        <w:t>entr</w:t>
      </w:r>
      <w:r>
        <w:rPr/>
        <w:t>ies 6</w:t>
      </w:r>
      <w:r>
        <w:rPr>
          <w:lang w:val="en-US"/>
        </w:rPr>
        <w:t>a</w:t>
      </w:r>
      <w:r>
        <w:rPr/>
        <w:t xml:space="preserve">,b). </w:t>
      </w:r>
    </w:p>
    <w:p>
      <w:pPr>
        <w:pStyle w:val="Normal"/>
        <w:jc w:val="right"/>
        <w:rPr/>
      </w:pPr>
      <w:r>
        <w:rPr/>
      </w:r>
      <w:r>
        <w:br w:type="page"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7</w:t>
      </w:r>
    </w:p>
    <w:p>
      <w:pPr>
        <w:pStyle w:val="Normal"/>
        <w:jc w:val="center"/>
        <w:rPr/>
      </w:pPr>
      <w:r>
        <w:rPr/>
        <w:t xml:space="preserve">Расчётные термодинамические параметры реакций разложения диазониевых солей </w:t>
      </w:r>
      <w:r>
        <w:rPr>
          <w:b/>
        </w:rPr>
        <w:t>1</w:t>
      </w:r>
      <w:r>
        <w:rPr>
          <w:b/>
          <w:lang w:val="en-US"/>
        </w:rPr>
        <w:t>a</w:t>
        <w:noBreakHyphen/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по данным квантово-химических расчетов по методу RB3LYP/aug-cc-pVDZ </w:t>
      </w:r>
    </w:p>
    <w:tbl>
      <w:tblPr>
        <w:tblW w:w="9357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52"/>
        <w:gridCol w:w="4394"/>
        <w:gridCol w:w="1276"/>
        <w:gridCol w:w="1277"/>
        <w:gridCol w:w="1558"/>
      </w:tblGrid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0"/>
                <w:szCs w:val="20"/>
              </w:rPr>
              <w:t></w:t>
            </w:r>
            <w:r>
              <w:rPr>
                <w:b/>
                <w:bCs/>
                <w:sz w:val="22"/>
                <w:szCs w:val="22"/>
              </w:rPr>
              <w:t>G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 xml:space="preserve">S*298.15, 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76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48.5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-3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5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39.4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8</w:t>
      </w:r>
    </w:p>
    <w:p>
      <w:pPr>
        <w:pStyle w:val="Normal"/>
        <w:jc w:val="center"/>
        <w:rPr/>
      </w:pPr>
      <w:r>
        <w:rPr/>
        <w:t xml:space="preserve">Экспериментальные и расчётные значения энтальпии разложения диазониевых солей </w:t>
      </w:r>
    </w:p>
    <w:tbl>
      <w:tblPr>
        <w:tblW w:w="9775" w:type="dxa"/>
        <w:jc w:val="left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475"/>
        <w:gridCol w:w="1538"/>
        <w:gridCol w:w="790"/>
        <w:gridCol w:w="851"/>
        <w:gridCol w:w="850"/>
        <w:gridCol w:w="1271"/>
      </w:tblGrid>
      <w:tr>
        <w:trPr/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>
        <w:trPr/>
        <w:tc>
          <w:tcPr>
            <w:tcW w:w="447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position w:val="0"/>
                <w:sz w:val="20"/>
                <w:sz w:val="20"/>
                <w:szCs w:val="20"/>
                <w:vertAlign w:val="baseline"/>
                <w:lang w:val="en-US"/>
              </w:rPr>
              <w:t>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4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</w:t>
            </w:r>
            <w:r>
              <w:rPr>
                <w:rFonts w:ascii="Free Times" w:hAnsi="Free Times"/>
                <w:sz w:val="20"/>
                <w:szCs w:val="20"/>
              </w:rPr>
              <w:t xml:space="preserve">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54.3</w:t>
            </w:r>
          </w:p>
        </w:tc>
      </w:tr>
    </w:tbl>
    <w:p>
      <w:pPr>
        <w:pStyle w:val="Normal"/>
        <w:jc w:val="left"/>
        <w:rPr>
          <w:color w:val="000000"/>
          <w:highlight w:val="red"/>
        </w:rPr>
      </w:pPr>
      <w:r>
        <w:rPr>
          <w:color w:val="000000"/>
          <w:highlight w:val="red"/>
        </w:rPr>
      </w:r>
    </w:p>
    <w:p>
      <w:pPr>
        <w:pStyle w:val="Normal"/>
        <w:rPr/>
      </w:pPr>
      <w:r>
        <w:rPr/>
        <w:t xml:space="preserve">В целом, для всех реакций разложения солей </w:t>
      </w:r>
      <w:r>
        <w:rPr>
          <w:b/>
        </w:rPr>
        <w:t>1b-d</w:t>
      </w:r>
      <w:r>
        <w:rPr/>
        <w:t xml:space="preserve">, </w:t>
      </w:r>
      <w:r>
        <w:rPr>
          <w:b/>
        </w:rPr>
        <w:t>2</w:t>
      </w:r>
      <w:r>
        <w:rPr/>
        <w:t xml:space="preserve"> and </w:t>
      </w:r>
      <w:r>
        <w:rPr>
          <w:b/>
        </w:rPr>
        <w:t>3</w:t>
      </w:r>
      <w:r>
        <w:rPr/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квантово-химический метод RB3LYP/aug-cc-pVDZ пригоден для теоретической оценки теплот разложения диазониевых солей. Исключением является соль </w:t>
      </w:r>
      <w:r>
        <w:rPr>
          <w:b/>
        </w:rPr>
        <w:t>1a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rPr/>
        <w:t xml:space="preserve"> не образуются продукты замещения диазониевой группы на группу OTf. Следовательно, разложение соли </w:t>
      </w:r>
      <w:r>
        <w:rPr>
          <w:b/>
        </w:rPr>
        <w:t>1a</w:t>
      </w:r>
      <w:r>
        <w:rPr/>
        <w:t xml:space="preserve"> проходит по иному маршруту и, возможно, иному механизму, что требует дальнейшего специального исследования.</w:t>
      </w:r>
    </w:p>
    <w:p>
      <w:pPr>
        <w:pStyle w:val="Normal"/>
        <w:rPr/>
      </w:pPr>
      <w:r>
        <w:rPr/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rPr/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r>
        <w:rPr>
          <w:vertAlign w:val="superscript"/>
        </w:rPr>
        <w:t>о</w:t>
      </w:r>
      <w:r>
        <w:rPr/>
        <w:t xml:space="preserve">С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Выводы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Проведенный анализ Аррениуса и аппроксимация кривых разложения на нормальные условия показал</w:t>
      </w:r>
      <w:r>
        <w:rPr>
          <w:highlight w:val="yellow"/>
        </w:rPr>
        <w:t>и,</w:t>
      </w:r>
      <w:r>
        <w:rPr>
          <w:highlight w:val="yellow"/>
        </w:rPr>
        <w:t xml:space="preserve"> что наибольшей стабильностью в хранении при нормальных условиях следует ожидать у трифлатных солей.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</w:t>
      </w:r>
      <w:r>
        <w:rPr>
          <w:highlight w:val="yellow"/>
        </w:rPr>
        <w:t xml:space="preserve">роведение только ТГ/ДСК исследования не может служить надежным критерием термической стабильности и энергетики солей диазония,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температурах, </w:t>
      </w:r>
      <w:r>
        <w:rPr>
          <w:highlight w:val="yellow"/>
        </w:rPr>
        <w:t>что затрудняет анализ и сравнение полученных данных</w:t>
      </w:r>
      <w:r>
        <w:rPr>
          <w:highlight w:val="yellow"/>
        </w:rPr>
        <w:t xml:space="preserve">. </w:t>
      </w:r>
      <w:r>
        <w:rPr>
          <w:highlight w:val="yellow"/>
        </w:rPr>
        <w:t>С</w:t>
      </w:r>
      <w:r>
        <w:rPr>
          <w:highlight w:val="yellow"/>
        </w:rPr>
        <w:t xml:space="preserve">равнение кинетики при более высоких температурах не всегда качественно описывает сравнительную стабильность при нормальных условиях, в следствии различия механизмов и энергий активации. 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По </w:t>
      </w:r>
      <w:r>
        <w:rPr/>
        <w:t>результатам</w:t>
      </w:r>
      <w:r>
        <w:rPr/>
        <w:t xml:space="preserve">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трифлата 2-нитрофенилдиазония выделяющаяся энергия -1300 Дж/г значительно превышают допустимое значение.</w:t>
      </w:r>
    </w:p>
    <w:p>
      <w:pPr>
        <w:pStyle w:val="Normal"/>
        <w:tabs>
          <w:tab w:val="center" w:pos="218" w:leader="none"/>
        </w:tabs>
        <w:rPr/>
      </w:pPr>
      <w:r>
        <w:rPr/>
        <w:t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диазониевого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трифлата 2-нитрофенилдиазония от других изученных диазониевых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сульфоната 2-нитрофенилдиазония следует рассматривать в индивидуальном порядке. Наибольшим временем хранения при нормальных условиях наблюдается у пара</w:t>
      </w:r>
      <w:r>
        <w:rPr/>
        <w:t>-</w:t>
      </w:r>
      <w:r>
        <w:rPr/>
        <w:t xml:space="preserve"> и мета</w:t>
      </w:r>
      <w:r>
        <w:rPr/>
        <w:t>-</w:t>
      </w:r>
      <w:r>
        <w:rPr/>
        <w:t xml:space="preserve">производного.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GC-MS и LC-MS исследования продуктов разложения показали, что процесс идет как минимум двумя основными путями - образование эфиров с тозилат и трифлат анионом (фторидов, в случае тетрафторбората) и за счет образования промежуточных бензин-производных с их последующей полимеризацией.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</w:t>
      </w:r>
      <w:r>
        <w:rPr>
          <w:highlight w:val="yellow"/>
        </w:rPr>
        <w:t xml:space="preserve">Энергетические эффекты для  сульфоната 2-нитрофенилдиазония почти в два раза превышают расчетные </w:t>
      </w:r>
      <w:r>
        <w:rPr>
          <w:highlight w:val="yellow"/>
        </w:rPr>
        <w:t xml:space="preserve">по механизму </w:t>
      </w:r>
      <w:r>
        <w:rPr>
          <w:b/>
          <w:bCs/>
          <w:highlight w:val="yellow"/>
        </w:rPr>
        <w:t>1</w:t>
      </w:r>
      <w:r>
        <w:rPr>
          <w:highlight w:val="yellow"/>
        </w:rPr>
        <w:t xml:space="preserve">, что связано с </w:t>
      </w:r>
      <w:r>
        <w:rPr>
          <w:highlight w:val="yellow"/>
        </w:rPr>
        <w:t>преобладанием</w:t>
      </w:r>
      <w:r>
        <w:rPr>
          <w:highlight w:val="yellow"/>
        </w:rPr>
        <w:t xml:space="preserve"> механизм</w:t>
      </w:r>
      <w:r>
        <w:rPr>
          <w:highlight w:val="yellow"/>
        </w:rPr>
        <w:t>а</w:t>
      </w:r>
      <w:r>
        <w:rPr>
          <w:highlight w:val="yellow"/>
        </w:rPr>
        <w:t xml:space="preserve"> </w:t>
      </w:r>
      <w:r>
        <w:rPr>
          <w:b/>
          <w:bCs/>
          <w:highlight w:val="yellow"/>
        </w:rPr>
        <w:t>2,3</w:t>
      </w:r>
      <w:r>
        <w:rPr>
          <w:highlight w:val="yellow"/>
        </w:rPr>
        <w:t xml:space="preserve"> </w:t>
      </w:r>
      <w:r>
        <w:rPr>
          <w:highlight w:val="yellow"/>
        </w:rPr>
        <w:t xml:space="preserve">разложения </w:t>
      </w:r>
      <w:r>
        <w:rPr>
          <w:highlight w:val="yellow"/>
        </w:rPr>
        <w:t>и образования полимерных продуктов</w:t>
      </w:r>
      <w:r>
        <w:rPr>
          <w:highlight w:val="yellow"/>
        </w:rPr>
        <w:t>.</w:t>
      </w:r>
    </w:p>
    <w:p>
      <w:pPr>
        <w:pStyle w:val="Normal"/>
        <w:tabs>
          <w:tab w:val="center" w:pos="218" w:leader="none"/>
        </w:tabs>
        <w:rPr/>
      </w:pPr>
      <w:r>
        <w:rPr/>
        <w:t>Существенное влияние</w:t>
      </w:r>
      <w:r>
        <w:rPr/>
        <w:t xml:space="preserve"> на стабильность солей </w:t>
      </w:r>
      <w:r>
        <w:rPr/>
        <w:t>оказывает</w:t>
      </w:r>
      <w:r>
        <w:rPr/>
        <w:t xml:space="preserve"> вид аниона. </w:t>
      </w:r>
      <w:r>
        <w:rPr/>
        <w:t>В</w:t>
      </w:r>
      <w:r>
        <w:rPr/>
        <w:t xml:space="preserve"> случае трифлата 4-нитрофенилдиазония наблюдается значительное увеличение </w:t>
      </w:r>
      <w:r>
        <w:rPr/>
        <w:t>времени полураспада и уменьшение величины максимального теплового потока при нормальных условиях</w:t>
      </w:r>
      <w:r>
        <w:rPr/>
        <w:t xml:space="preserve">. </w:t>
      </w:r>
      <w:bookmarkStart w:id="0" w:name="_GoBack"/>
      <w:bookmarkEnd w:id="0"/>
      <w:r>
        <w:rPr/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диазония необходимо более подробное изучение механизмов реакций протекающих при разложении. </w:t>
      </w:r>
    </w:p>
    <w:p>
      <w:pPr>
        <w:pStyle w:val="Normal"/>
        <w:tabs>
          <w:tab w:val="center" w:pos="218" w:leader="none"/>
        </w:tabs>
        <w:rPr/>
      </w:pPr>
      <w:r>
        <w:rPr/>
      </w:r>
    </w:p>
    <w:p>
      <w:pPr>
        <w:pStyle w:val="3"/>
        <w:numPr>
          <w:ilvl w:val="2"/>
          <w:numId w:val="2"/>
        </w:numPr>
        <w:ind w:left="0" w:right="0" w:firstLine="567"/>
        <w:rPr>
          <w:lang w:val="en-US"/>
        </w:rPr>
      </w:pPr>
      <w:r>
        <w:rPr>
          <w:lang w:val="en-US"/>
        </w:rPr>
        <w:t>References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1. (a) Zollinger, H. </w:t>
      </w:r>
      <w:r>
        <w:rPr>
          <w:rFonts w:cs="Times New Roman" w:ascii="Times New Roman" w:hAnsi="Times New Roman"/>
          <w:i/>
          <w:lang w:val="en-US"/>
        </w:rPr>
        <w:t>Diazo Chemistry I: Aromatic and Heteroaromatic Compounds</w:t>
      </w:r>
      <w:r>
        <w:rPr>
          <w:rFonts w:cs="Times New Roman" w:ascii="Times New Roman" w:hAnsi="Times New Roman"/>
          <w:lang w:val="en-US"/>
        </w:rPr>
        <w:t xml:space="preserve">; VCH, Weinheim, </w:t>
      </w:r>
      <w:r>
        <w:rPr>
          <w:rFonts w:cs="Times New Roman" w:ascii="Times New Roman" w:hAnsi="Times New Roman"/>
          <w:b/>
          <w:lang w:val="en-US"/>
        </w:rPr>
        <w:t>1994</w:t>
      </w:r>
      <w:r>
        <w:rPr>
          <w:rFonts w:cs="Times New Roman" w:ascii="Times New Roman" w:hAnsi="Times New Roman"/>
          <w:lang w:val="en-US"/>
        </w:rPr>
        <w:t xml:space="preserve">. (b) Roglands, A.; Pla-Quintana, A.; Moreno-Manas M. </w:t>
      </w:r>
      <w:r>
        <w:rPr>
          <w:rFonts w:cs="Times New Roman" w:ascii="Times New Roman" w:hAnsi="Times New Roman"/>
          <w:i/>
          <w:lang w:val="en-US"/>
        </w:rPr>
        <w:t>Chem. Rev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2006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106</w:t>
      </w:r>
      <w:r>
        <w:rPr>
          <w:rFonts w:cs="Times New Roman" w:ascii="Times New Roman" w:hAnsi="Times New Roman"/>
          <w:lang w:val="en-US"/>
        </w:rPr>
        <w:t xml:space="preserve">, 4622. (c) Bonin H.; Fouquet, E.; Felpin, F.-X. </w:t>
      </w:r>
      <w:r>
        <w:rPr>
          <w:rFonts w:cs="Times New Roman" w:ascii="Times New Roman" w:hAnsi="Times New Roman"/>
          <w:i/>
          <w:lang w:val="en-US"/>
        </w:rPr>
        <w:t>Adv. Synth. Catal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353</w:t>
      </w:r>
      <w:r>
        <w:rPr>
          <w:rFonts w:cs="Times New Roman" w:ascii="Times New Roman" w:hAnsi="Times New Roman"/>
          <w:lang w:val="en-US"/>
        </w:rPr>
        <w:t xml:space="preserve">, 3063. (d) Mo, F.; Dong, G.; Zhang, Y.; Wang, </w:t>
      </w:r>
      <w:r>
        <w:rPr>
          <w:rFonts w:cs="Times New Roman" w:ascii="Times New Roman" w:hAnsi="Times New Roman"/>
          <w:i/>
          <w:lang w:val="en-US"/>
        </w:rPr>
        <w:t>J. Org. Biomol.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11</w:t>
      </w:r>
      <w:r>
        <w:rPr>
          <w:rFonts w:cs="Times New Roman" w:ascii="Times New Roman" w:hAnsi="Times New Roman"/>
          <w:lang w:val="en-US"/>
        </w:rPr>
        <w:t xml:space="preserve">, 1582. (e) Kölmel, D. K.; Jung, N.; Bräse, S. </w:t>
      </w:r>
      <w:r>
        <w:rPr>
          <w:rFonts w:cs="Times New Roman" w:ascii="Times New Roman" w:hAnsi="Times New Roman"/>
          <w:i/>
          <w:lang w:val="en-US"/>
        </w:rPr>
        <w:t>Aust. J.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2014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67</w:t>
      </w:r>
      <w:r>
        <w:rPr>
          <w:rFonts w:cs="Times New Roman" w:ascii="Times New Roman" w:hAnsi="Times New Roman"/>
          <w:lang w:val="en-US"/>
        </w:rPr>
        <w:t xml:space="preserve">, 328. (f) Deadman, B. J.; Collins, S.G.; Maguire, A. R. </w:t>
      </w:r>
      <w:r>
        <w:rPr>
          <w:rFonts w:cs="Times New Roman" w:ascii="Times New Roman" w:hAnsi="Times New Roman"/>
          <w:i/>
          <w:lang w:val="en-US"/>
        </w:rPr>
        <w:t>Chem. Eur. J.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2015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21</w:t>
      </w:r>
      <w:r>
        <w:rPr>
          <w:rFonts w:cs="Times New Roman" w:ascii="Times New Roman" w:hAnsi="Times New Roman"/>
          <w:lang w:val="en-US"/>
        </w:rPr>
        <w:t>, 2298.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2. Mahouche-Chergui, S.; Gam-Derouich, S.; Manganey, C.; Chehimi, M. M. </w:t>
      </w:r>
      <w:r>
        <w:rPr>
          <w:rFonts w:cs="Times New Roman" w:ascii="Times New Roman" w:hAnsi="Times New Roman"/>
          <w:i/>
          <w:lang w:val="en-US"/>
        </w:rPr>
        <w:t>Chem. Soc. Rev.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40</w:t>
      </w:r>
      <w:r>
        <w:rPr>
          <w:rFonts w:cs="Times New Roman" w:ascii="Times New Roman" w:hAnsi="Times New Roman"/>
          <w:lang w:val="en-US"/>
        </w:rPr>
        <w:t>, 4143.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3. </w:t>
      </w:r>
      <w:r>
        <w:rPr>
          <w:rFonts w:eastAsia="Times New Roman" w:cs="Times New Roman" w:ascii="Times New Roman" w:hAnsi="Times New Roman"/>
          <w:lang w:val="en-US" w:eastAsia="ru-RU"/>
        </w:rPr>
        <w:t xml:space="preserve">Filimonov V. D., Trusova M.E., Postnikov P.S., Krasnokutskaya E.A., Lee Y.M., Hwang H.Y., Kim H., Ki-Whan Chi. Unusually Stable, Versatile, and Pure Arenediazonium Tosylates: their Preparation, Structures, and Synthetic Applicability. </w:t>
      </w:r>
      <w:r>
        <w:rPr>
          <w:rFonts w:eastAsia="Times New Roman" w:cs="Times New Roman" w:ascii="Times New Roman" w:hAnsi="Times New Roman"/>
          <w:i/>
          <w:lang w:val="en-US" w:eastAsia="ru-RU"/>
        </w:rPr>
        <w:t>Org. Lett.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b/>
          <w:lang w:val="en-US" w:eastAsia="ru-RU"/>
        </w:rPr>
        <w:t>2008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i/>
          <w:lang w:val="en-US" w:eastAsia="ru-RU"/>
        </w:rPr>
        <w:t>10</w:t>
      </w:r>
      <w:r>
        <w:rPr>
          <w:rFonts w:eastAsia="Times New Roman" w:cs="Times New Roman" w:ascii="Times New Roman" w:hAnsi="Times New Roman"/>
          <w:lang w:val="en-US" w:eastAsia="ru-RU"/>
        </w:rPr>
        <w:t>, 3961-3964</w:t>
      </w:r>
    </w:p>
    <w:p>
      <w:pPr>
        <w:pStyle w:val="Style18"/>
        <w:numPr>
          <w:ilvl w:val="0"/>
          <w:numId w:val="2"/>
        </w:numPr>
        <w:rPr/>
      </w:pPr>
      <w:r>
        <w:rPr>
          <w:rFonts w:eastAsia="Times New Roman" w:cs="Times New Roman" w:ascii="Times New Roman" w:hAnsi="Times New Roman"/>
          <w:lang w:val="en-US" w:eastAsia="ru-RU"/>
        </w:rPr>
        <w:t xml:space="preserve">4. </w:t>
      </w:r>
      <w:r>
        <w:rPr>
          <w:rFonts w:cs="Times New Roman" w:ascii="Times New Roman" w:hAnsi="Times New Roman"/>
          <w:lang w:val="en-US"/>
        </w:rPr>
        <w:t xml:space="preserve">(a) Krasnokutskaya E.A., Semenischeva N.I., Filimonov V.D., Knochel P. </w:t>
      </w:r>
      <w:r>
        <w:rPr>
          <w:rFonts w:cs="Times New Roman" w:ascii="Times New Roman" w:hAnsi="Times New Roman"/>
          <w:i/>
          <w:lang w:val="en-US"/>
        </w:rPr>
        <w:t>Synthesis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2007</w:t>
      </w:r>
      <w:r>
        <w:rPr>
          <w:rFonts w:cs="Times New Roman" w:ascii="Times New Roman" w:hAnsi="Times New Roman"/>
          <w:lang w:val="en-US"/>
        </w:rPr>
        <w:t xml:space="preserve">, 81 (b) Gorlushko D.A., Filimonov V.D., Krasnokutskaya E.A., Semenischeva N.I., Go B.S., Hwang H.Y., Chi K-W.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2008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 xml:space="preserve">, 1080 (c) Moon M.E., Choi Y., Lee Y.M., Vajpayee V., Trusova M.E., Filimonov V.D., Chi K.-W.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51</w:t>
      </w:r>
      <w:r>
        <w:rPr>
          <w:rFonts w:cs="Times New Roman" w:ascii="Times New Roman" w:hAnsi="Times New Roman"/>
          <w:lang w:val="en-US"/>
        </w:rPr>
        <w:t xml:space="preserve">, 6769. (d) Lee Y.M., Moon M.E., Vajpayee V., Filimonov V.D., Chi K.-W. </w:t>
      </w:r>
      <w:r>
        <w:rPr>
          <w:rFonts w:cs="Times New Roman" w:ascii="Times New Roman" w:hAnsi="Times New Roman"/>
          <w:i/>
          <w:lang w:val="en-US"/>
        </w:rPr>
        <w:t>Tetrahedron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66</w:t>
      </w:r>
      <w:r>
        <w:rPr>
          <w:rFonts w:cs="Times New Roman" w:ascii="Times New Roman" w:hAnsi="Times New Roman"/>
          <w:lang w:val="en-US"/>
        </w:rPr>
        <w:t>, 7418. (e) Trusova M.E., Krasnokutskaya E.A. Postnikov, P.S., Choi Y.; Chi, K-W., Filimonov V.D.</w:t>
      </w:r>
      <w:r>
        <w:rPr>
          <w:rFonts w:cs="Times New Roman" w:ascii="Times New Roman" w:hAnsi="Times New Roman"/>
          <w:bCs/>
          <w:lang w:val="en-US"/>
        </w:rPr>
        <w:t xml:space="preserve">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/>
          <w:bCs/>
          <w:lang w:val="en-US"/>
        </w:rPr>
        <w:t>2011</w:t>
      </w:r>
      <w:r>
        <w:rPr>
          <w:rFonts w:cs="Times New Roman" w:ascii="Times New Roman" w:hAnsi="Times New Roman"/>
          <w:bCs/>
          <w:lang w:val="en-US"/>
        </w:rPr>
        <w:t xml:space="preserve">, 2154. (f) Riss, P. J.; Kuschel, S.; Aigbirhio, F. I. Tetrahedron Lett. 2012, 53, 1717; (g) Kutonova, K.V.; Trusova, M.E.; Postnikov, P.S.; Filimonov, V.D.; Parello, J.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. </w:t>
      </w:r>
      <w:r>
        <w:rPr>
          <w:rFonts w:cs="Times New Roman" w:ascii="Times New Roman" w:hAnsi="Times New Roman"/>
          <w:b/>
          <w:bCs/>
          <w:lang w:val="en-US"/>
        </w:rPr>
        <w:t>2013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Cs/>
          <w:i/>
          <w:lang w:val="en-US"/>
        </w:rPr>
        <w:t>45</w:t>
      </w:r>
      <w:r>
        <w:rPr>
          <w:rFonts w:cs="Times New Roman" w:ascii="Times New Roman" w:hAnsi="Times New Roman"/>
          <w:bCs/>
          <w:lang w:val="en-US"/>
        </w:rPr>
        <w:t>, 2706.</w:t>
      </w:r>
    </w:p>
    <w:p>
      <w:pPr>
        <w:pStyle w:val="Style18"/>
        <w:numPr>
          <w:ilvl w:val="0"/>
          <w:numId w:val="2"/>
        </w:numPr>
        <w:rPr/>
      </w:pPr>
      <w:r>
        <w:rPr>
          <w:lang w:val="en-US"/>
        </w:rPr>
        <w:t xml:space="preserve">5. </w:t>
      </w:r>
      <w:r>
        <w:rPr>
          <w:rFonts w:cs="Times New Roman" w:ascii="Times New Roman" w:hAnsi="Times New Roman"/>
          <w:lang w:val="en-US"/>
        </w:rPr>
        <w:t xml:space="preserve">(a) Velikorodov, A. V.; Ionova, V. A.; Temirbulatova, S. I.; Suvorova, M. A. Rus. J. Org. Chem. 2013, 49, 1004. (b) Tang, Z. Y.; Zhang, Y.; Wang, T.; Wang, W. Synlett. 2010, 804. (c) Chaturbhuj, G. U.; Akamanchi, K. C. Tetrahedron Lett. 2011, 52, 4950. (d) Vajpayee, V.; Song, Y. H.; Ahn, J. S.; Chi, K.-W. Bull. Korean Chem. Soc. 2011, 32, 2970. (e) Postnikov, P. S.; Trusova, M. E.; Fedushchak, T. A.; Uimin, M. A.; Ermakov, A. E.; Filimonov, V. D. </w:t>
      </w:r>
      <w:r>
        <w:rPr>
          <w:rFonts w:cs="Times New Roman" w:ascii="Times New Roman" w:hAnsi="Times New Roman"/>
          <w:i/>
          <w:lang w:val="en-US"/>
        </w:rPr>
        <w:t>Nanotechnologies in Russia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</w:t>
      </w:r>
      <w:r>
        <w:rPr>
          <w:rFonts w:cs="Times New Roman" w:ascii="Times New Roman" w:hAnsi="Times New Roman"/>
          <w:lang w:val="en-US"/>
        </w:rPr>
        <w:t xml:space="preserve">, 446. (f) Min, M.; Seo, S.; Lee, J.; Lee, S. M.; Hwang, E.; Lee, H. </w:t>
      </w:r>
      <w:r>
        <w:rPr>
          <w:rFonts w:cs="Times New Roman" w:ascii="Times New Roman" w:hAnsi="Times New Roman"/>
          <w:i/>
          <w:lang w:val="en-US"/>
        </w:rPr>
        <w:t>Chem. Commun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>, 6289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6. (a) S.K. Dhingra, P. Nag, R. Saxena, Synthesis of Fluoro-Aromatics by Balz-Schiemann Reaction –A Greener Approach, Chem Sci Trans., 2015, 4(4), 1149-1155, (b) K. Al-saadie, I.M. Al-Mousawi, N.Abdul karime, National Journal of Chemistry, Volume 25, (2007) 195-205, (c) N. Kamigata, M. Kobayashi, H. Minato, Cationic Arylation. V. Reaction of Substituted Benzenes with p-Nitrophenyl Cation», Bulletin of the chemical society of Japan, vol. 45, 2047-2050 (1972), (d) Zhang, Y.; Tu, G.; Cao, W. Inclusion Complexation of Diphenylamine-4-diazonium </w:t>
      </w:r>
      <w:r>
        <w:rPr>
          <w:lang w:val="en-US"/>
        </w:rPr>
        <w:t>Chloride and p-Sulfonatocalix[4]arene</w:t>
      </w:r>
      <w:r>
        <w:rPr>
          <w:rFonts w:cs="Times New Roman" w:ascii="Times New Roman" w:hAnsi="Times New Roman"/>
          <w:lang w:val="en-US"/>
        </w:rPr>
        <w:t xml:space="preserve">. Supramolec. Chem. </w:t>
      </w:r>
      <w:r>
        <w:rPr>
          <w:rFonts w:cs="Times New Roman" w:ascii="Times New Roman" w:hAnsi="Times New Roman"/>
        </w:rPr>
        <w:t>2002, 14, 473-475.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7. (a) Jinyu Chen, Chao Zhao, Renxiang Wang, Shuguang Cao, Weixiao Cao, Photochemical and thermal decomposition of diphenylamine diazonium salts, Journal of Photochemistry and Photobiology A: Chemistry 125 (1999) 73-78, (b) M. Tsuda and S. Oikawa, Photochemical proton generation mechanism from onium salts, Journal of Photopolymer Science and Technology. Volume 3, Number 3 (1990) 249 – 258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8. (a) R. Ullrich, Th. Grewer, Decomposition of aromatic diazonium compounds, Thermochimica Acta, 225 (1993) 201-211, (b) L.L. Brown, J.S. Drury, Nitrogen Isotope Effects in the Decomposition of Diazonium Salts, The Journal of Chemical Physics, Vol. 43, Number 5, 1 September 1965, (c) P.D. Storey, Calorimetric Studies of The Thermal Explosion Properties of Aromatic Diazonium Salts, Institution. Chem. Eng. Symposium Series 1981, No. 68. P. 1-3. P. 9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 xml:space="preserve">11. P. Guillaume, M. Rat, S. Wilker, G. Pantel, Microcalorimetric and Chemical Studies of Propellants Proc. Int Annu. Conf. ICT 29, 133 (1998).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J.D. Jonce, R. Dijkstra, P.B. Braun, The thermal, decomposition of o-hydroxy-diazonium compounds, Recueil, Vol. 68 (1949) 430-432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Makin, Fred Beresford (1939) A summary of some new reactions of Diazonium Chlorides, Durham theses, Durham University. Available at Durham E-Theses Online: http://etheses.dur.ac.uk/10358/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B. A. Abramovitch, W. A. Hymers, J. B. Rajan, R. Wilson, The thermal decomposition of diazonium salts: evidence for the formation of radical intermediates, Tetrahedron Letters No. 23, pp. 1507-1510, 1963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B.D. Smith, The Investigation of The Decomposition of Diazonium Salts in Aqueous Solution, A thesis for the Degree Doctor of Philosophy. Georgia Institute of Technology (1996)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T. J. Kemp, P. Pinot De Moria, The Photochemistry of Aryldiazonium Salts: Fundanental aspects and Applications to Reprographic Processes, Rev. Port. Quím., 17 (1975)  174-182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G. Smets, A. Aerts, J. Van Eurum, Photochemical Initiation of Cationic Polymerization and Its Kinetics, Polymer Journal, Vol.2, No. 9, pp 539-547 (1980)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L.L. Brown, J.S. Drury, Nitrogen Isotope Effects in the Decomposition of Diazonium Salts, The Journal of Chemical Physics, Vol. 43, Number 5, 1 September 1965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hyperlink r:id="rId26">
        <w:r>
          <w:rPr>
            <w:rStyle w:val="Style13"/>
            <w:lang w:val="en-US"/>
          </w:rPr>
          <w:t>http://www.unece.org/trans/danger/danger.html</w:t>
        </w:r>
      </w:hyperlink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lang w:val="en-US"/>
        </w:rPr>
      </w:pPr>
      <w:r>
        <w:rPr>
          <w:color w:val="auto"/>
          <w:highlight w:val="white"/>
          <w:lang w:val="en-US"/>
        </w:rPr>
        <w:t xml:space="preserve">1s. V. Filimonov, E. Krasnokutskaya, A. Kassanova, V. Fedorova, K. Stankevich, N. Naumov, A. Bondarev, V. Kataeva. Synthesis, structure, and synthetic potential of arenediazonium trifluoromethanesulfonates as stable and safe diazonium salts.  </w:t>
      </w:r>
      <w:hyperlink r:id="rId27">
        <w:r>
          <w:rPr>
            <w:rStyle w:val="Style13"/>
            <w:color w:val="auto"/>
            <w:highlight w:val="white"/>
            <w:lang w:val="en-US"/>
          </w:rPr>
          <w:t>https://doi.org/10.1002/ejoc.201800887</w:t>
        </w:r>
      </w:hyperlink>
      <w:r>
        <w:rPr>
          <w:color w:val="auto"/>
          <w:highlight w:val="white"/>
          <w:lang w:val="en-US"/>
        </w:rPr>
        <w:t xml:space="preserve"> 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2f. </w:t>
      </w:r>
      <w:r>
        <w:rPr>
          <w:color w:val="auto"/>
          <w:position w:val="0"/>
          <w:sz w:val="24"/>
          <w:vertAlign w:val="baseline"/>
        </w:rPr>
        <w:t>Smith CA, I'Maille G, Want EJ, Qin C, Trauger SA, Brandon TR, Custodio DE, Abagyan R, Siuzdak G (December 2005). "METLIN: a metabolite mass spectral database". Ther Drug Monit. 27 (6): 747–51. doi:10.1097/01.ftd.0000179845.53213.39. PMID 16404815</w:t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3f. Wolf S, Schmidt S, Muller-Hannemann M, Neumann S (March 2010). "In silico fragmentation for computer assisted identification of metabolite mass spectra". BMC Bioinformatics. 11: 148. doi:10.1186/1471-2105-11-148. PMC 2853470 Freely accessible. PMID 20307295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4f. </w:t>
      </w:r>
      <w:r>
        <w:rPr>
          <w:color w:val="auto"/>
          <w:position w:val="0"/>
          <w:sz w:val="24"/>
          <w:vertAlign w:val="baseline"/>
        </w:rPr>
        <w:drawing>
          <wp:inline distT="0" distB="0" distL="0" distR="0">
            <wp:extent cx="4019550" cy="400050"/>
            <wp:effectExtent l="0" t="0" r="0" b="0"/>
            <wp:docPr id="2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highlight w:val="white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5f.</w:t>
      </w:r>
    </w:p>
    <w:p>
      <w:pPr>
        <w:pStyle w:val="Normal"/>
        <w:numPr>
          <w:ilvl w:val="0"/>
          <w:numId w:val="0"/>
        </w:numPr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rFonts w:eastAsia="Times New Roman" w:cs="Times New Roman"/>
          <w:b w:val="false"/>
          <w:b w:val="false"/>
          <w:bCs w:val="false"/>
          <w:color w:val="000000"/>
          <w:lang w:val="ru-RU" w:eastAsia="zh-CN" w:bidi="hi-IN"/>
        </w:rPr>
      </w:pPr>
      <w:r>
        <w:rPr>
          <w:rFonts w:eastAsia="Times New Roman" w:cs="Times New Roman"/>
          <w:b w:val="false"/>
          <w:bCs w:val="false"/>
          <w:color w:val="000000"/>
          <w:lang w:val="ru-RU" w:eastAsia="zh-CN" w:bidi="hi-IN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Приложение </w:t>
      </w:r>
      <w:r>
        <w:rPr>
          <w:b/>
          <w:bCs/>
          <w:lang w:val="ru-RU" w:eastAsia="zh-CN" w:bidi="hi-IN"/>
        </w:rPr>
        <w:t>1. Получение и характеристики полученных ДС</w:t>
      </w:r>
    </w:p>
    <w:p>
      <w:pPr>
        <w:pStyle w:val="Normal"/>
        <w:rPr/>
      </w:pPr>
      <w:r>
        <w:rPr/>
        <w:t>В</w:t>
      </w:r>
      <w:r>
        <w:rPr>
          <w:lang w:val="en-US"/>
        </w:rPr>
        <w:t xml:space="preserve"> 6 </w:t>
      </w:r>
      <w:r>
        <w:rPr/>
        <w:t>мл</w:t>
      </w:r>
      <w:r>
        <w:rPr>
          <w:lang w:val="en-US"/>
        </w:rPr>
        <w:t xml:space="preserve"> </w:t>
      </w:r>
      <w:r>
        <w:rPr/>
        <w:t>ледяной</w:t>
      </w:r>
      <w:r>
        <w:rPr>
          <w:lang w:val="en-US"/>
        </w:rPr>
        <w:t xml:space="preserve"> </w:t>
      </w:r>
      <w:r>
        <w:rPr/>
        <w:t>уксусной</w:t>
      </w:r>
      <w:r>
        <w:rPr>
          <w:lang w:val="en-US"/>
        </w:rPr>
        <w:t xml:space="preserve"> </w:t>
      </w:r>
      <w:r>
        <w:rPr/>
        <w:t>кислоты</w:t>
      </w:r>
      <w:r>
        <w:rPr>
          <w:lang w:val="en-US"/>
        </w:rPr>
        <w:t xml:space="preserve"> </w:t>
      </w:r>
      <w:r>
        <w:rPr/>
        <w:t>растворяли</w:t>
      </w:r>
      <w:r>
        <w:rPr>
          <w:lang w:val="en-US"/>
        </w:rPr>
        <w:t xml:space="preserve"> 0.5 </w:t>
      </w:r>
      <w:r>
        <w:rPr/>
        <w:t>мл</w:t>
      </w:r>
      <w:r>
        <w:rPr>
          <w:lang w:val="en-US"/>
        </w:rPr>
        <w:t xml:space="preserve"> (1.2 mmol) </w:t>
      </w:r>
      <w:r>
        <w:rPr/>
        <w:t>трифторметансульфокислоты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1.0 mmol aniline.  </w:t>
      </w:r>
      <w:r>
        <w:rPr>
          <w:highlight w:val="yellow"/>
        </w:rPr>
        <w:t xml:space="preserve">К раствору при перемешивании по каплям прибавляли 1 </w:t>
      </w:r>
      <w:r>
        <w:rPr>
          <w:highlight w:val="yellow"/>
          <w:lang w:val="en-US"/>
        </w:rPr>
        <w:t>mmol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butyl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nitrite</w:t>
      </w:r>
      <w:r>
        <w:rPr>
          <w:highlight w:val="yellow"/>
        </w:rPr>
        <w:t xml:space="preserve"> при температуре 0-5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 Затем, при охлаждении по каплям прибавляли 0,6 мл бутилнитрита.</w:t>
      </w:r>
      <w:r>
        <w:rPr/>
        <w:t xml:space="preserve">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10-20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rPr/>
        <w:t>, промывали эфиром и высушивали в вакууме при комнатной температуре 48 часов.</w:t>
      </w:r>
    </w:p>
    <w:p>
      <w:pPr>
        <w:pStyle w:val="Normal"/>
        <w:rPr/>
      </w:pPr>
      <w:r>
        <w:rPr>
          <w:b/>
          <w:bCs/>
        </w:rPr>
        <w:t>2-</w:t>
      </w:r>
      <w:r>
        <w:rPr>
          <w:b/>
          <w:bCs/>
          <w:lang w:val="en-US"/>
        </w:rPr>
        <w:t>Nitrobenzenediazonium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trifluoromethanesulfonate</w:t>
      </w:r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r>
        <w:rPr>
          <w:bCs/>
          <w:lang w:val="en-US"/>
        </w:rPr>
        <w:t>Yeild</w:t>
      </w:r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r>
        <w:rPr>
          <w:bCs/>
        </w:rPr>
        <w:t xml:space="preserve">.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</w:t>
      </w:r>
      <w:r>
        <w:rPr/>
        <w:t xml:space="preserve"> 8.39-8.44 (м, 1Н, </w:t>
      </w:r>
      <w:r>
        <w:rPr>
          <w:lang w:val="en-US"/>
        </w:rPr>
        <w:t>J</w:t>
      </w:r>
      <w:r>
        <w:rPr/>
        <w:t xml:space="preserve">=15.9 Гц), 8.51-8.56 (м, 1Н, </w:t>
      </w:r>
      <w:r>
        <w:rPr>
          <w:lang w:val="en-US"/>
        </w:rPr>
        <w:t>J</w:t>
      </w:r>
      <w:r>
        <w:rPr/>
        <w:t xml:space="preserve">=15.9 Гц), 8.79 (д, 1Н, </w:t>
      </w:r>
      <w:r>
        <w:rPr>
          <w:lang w:val="en-US"/>
        </w:rPr>
        <w:t>J</w:t>
      </w:r>
      <w:r>
        <w:rPr/>
        <w:t xml:space="preserve">=8.1 Гц), 9.12 (д, 1Н, </w:t>
      </w:r>
      <w:r>
        <w:rPr>
          <w:lang w:val="en-US"/>
        </w:rPr>
        <w:t>J</w:t>
      </w:r>
      <w:r>
        <w:rPr/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 xml:space="preserve"> ) </w:t>
      </w:r>
      <w:r>
        <w:rPr>
          <w:lang w:val="en-US"/>
        </w:rPr>
        <w:t>δ</w:t>
      </w:r>
      <w:r>
        <w:rPr/>
        <w:t>: 120.6 (</w:t>
      </w:r>
      <w:r>
        <w:rPr>
          <w:lang w:val="en-US"/>
        </w:rPr>
        <w:t>t</w:t>
      </w:r>
      <w:r>
        <w:rPr/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rPr/>
        <w:t xml:space="preserve">, </w:t>
      </w:r>
      <w:r>
        <w:rPr>
          <w:lang w:val="en-US"/>
        </w:rPr>
        <w:t>J</w:t>
      </w:r>
      <w:r>
        <w:rPr/>
        <w:t xml:space="preserve">=320 Гц), 111.1, 118.5, 122.8, 128.1, 136.6, 142.3, 144.5. </w:t>
      </w:r>
      <w:r>
        <w:rPr>
          <w:lang w:val="en-US"/>
        </w:rPr>
        <w:t>IR (KBr): 2359 см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. </w:t>
      </w:r>
    </w:p>
    <w:p>
      <w:pPr>
        <w:pStyle w:val="Normal"/>
        <w:ind w:left="0" w:right="0" w:hanging="0"/>
        <w:rPr/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>
      <w:pPr>
        <w:pStyle w:val="Normal"/>
        <w:rPr/>
      </w:pPr>
      <w:r>
        <w:rPr>
          <w:b/>
          <w:bCs/>
          <w:lang w:val="en-US"/>
        </w:rPr>
        <w:t>3-Nitrobenzenediazonium trifluoromethanesulfonate (1b).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4-Nitrobenzenediazonium trifluoromethanesulfonate (1c).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4-Methoxybenzenediazonium trifluoromethanesulfonate (1d).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4-Nitrobenzenediazonium tosylate (2)</w:t>
      </w:r>
    </w:p>
    <w:p>
      <w:pPr>
        <w:pStyle w:val="Normal"/>
        <w:rPr/>
      </w:pPr>
      <w:r>
        <w:rPr/>
        <w:t xml:space="preserve">В 5 мл ледяной уксусной кислоты растворяли 0.928 г (5.4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TsOH</w:t>
      </w:r>
      <w:r>
        <w:rPr/>
        <w:t xml:space="preserve">  и  0.553 г (4.0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nitroaniline</w:t>
      </w:r>
      <w:r>
        <w:rPr/>
        <w:t xml:space="preserve">. К раствору при перемешивании по каплям прибавляли 0.6 мл (4.8 </w:t>
      </w:r>
      <w:r>
        <w:rPr>
          <w:lang w:val="en-US"/>
        </w:rPr>
        <w:t>mmol</w:t>
      </w:r>
      <w:r>
        <w:rPr/>
        <w:t xml:space="preserve">) </w:t>
      </w:r>
      <w:r>
        <w:rPr>
          <w:lang w:val="en-US"/>
        </w:rPr>
        <w:t>butyl</w:t>
      </w:r>
      <w:r>
        <w:rPr/>
        <w:t xml:space="preserve"> </w:t>
      </w:r>
      <w:r>
        <w:rPr>
          <w:lang w:val="en-US"/>
        </w:rPr>
        <w:t>nitrite</w:t>
      </w:r>
      <w:r>
        <w:rPr/>
        <w:t xml:space="preserve"> при температуре 0-5 </w:t>
      </w:r>
      <w:r>
        <w:rPr>
          <w:vertAlign w:val="superscript"/>
        </w:rPr>
        <w:t>о</w:t>
      </w:r>
      <w:r>
        <w:rPr/>
        <w:t xml:space="preserve">С.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200 мл эфира, отфильтровывали осадок соли </w:t>
      </w:r>
      <w:r>
        <w:rPr>
          <w:b/>
        </w:rPr>
        <w:t>2</w:t>
      </w:r>
      <w:r>
        <w:rPr/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>
        <w:rPr/>
        <w:t xml:space="preserve">, 1.4 </w:t>
      </w:r>
      <w:r>
        <w:rPr>
          <w:lang w:val="en-US"/>
        </w:rPr>
        <w:t>g</w:t>
      </w:r>
      <w:r>
        <w:rPr/>
        <w:t xml:space="preserve"> (90%), </w:t>
      </w:r>
      <w:r>
        <w:rPr>
          <w:lang w:val="en-US"/>
        </w:rPr>
        <w:t>mp</w:t>
      </w:r>
      <w:r>
        <w:rPr/>
        <w:t xml:space="preserve"> 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 (</w:t>
      </w:r>
      <w:r>
        <w:rPr>
          <w:lang w:val="en-US"/>
        </w:rPr>
        <w:t>lit</w:t>
      </w:r>
      <w:r>
        <w:rPr/>
        <w:t xml:space="preserve"> 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rPr/>
        <w:t xml:space="preserve">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). </w:t>
      </w:r>
    </w:p>
    <w:p>
      <w:pPr>
        <w:pStyle w:val="Normal"/>
        <w:rPr/>
      </w:pP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20.84, 121.96, 125.57, 126.05, 128.18, 134.59, 137.85, 145.55, 153.22.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4-</w:t>
      </w:r>
      <w:r>
        <w:rPr>
          <w:b/>
          <w:bCs/>
          <w:lang w:val="en-US" w:eastAsia="zh-CN" w:bidi="hi-IN"/>
        </w:rPr>
        <w:t>Nitrobenzenediazonium</w:t>
      </w:r>
      <w:r>
        <w:rPr>
          <w:b/>
          <w:bCs/>
          <w:lang w:val="ru-RU" w:eastAsia="zh-CN" w:bidi="hi-IN"/>
        </w:rPr>
        <w:t xml:space="preserve"> </w:t>
      </w:r>
      <w:r>
        <w:rPr>
          <w:b/>
          <w:bCs/>
          <w:lang w:val="en-US" w:eastAsia="zh-CN" w:bidi="hi-IN"/>
        </w:rPr>
        <w:t>tetrafluoroborate</w:t>
      </w:r>
      <w:r>
        <w:rPr>
          <w:b/>
          <w:bCs/>
          <w:lang w:val="ru-RU" w:eastAsia="zh-CN" w:bidi="hi-IN"/>
        </w:rPr>
        <w:t xml:space="preserve"> (3) получен по методу [9].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highlight w:val="yellow"/>
          <w:lang w:val="ru-RU" w:eastAsia="zh-CN" w:bidi="hi-IN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2. ГХ-МС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>
          <w:highlight w:val="yellow"/>
        </w:rPr>
        <w:t xml:space="preserve">Рисунок </w:t>
      </w:r>
      <w:r>
        <w:rPr>
          <w:highlight w:val="yellow"/>
        </w:rPr>
        <w:t>15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1a</w:t>
      </w:r>
      <w:r>
        <w:rPr>
          <w:highlight w:val="yellow"/>
        </w:rPr>
        <w:t xml:space="preserve"> по данным ГХ-МС.</w:t>
      </w:r>
      <w:r>
        <w:rPr/>
        <w:t xml:space="preserve">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16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1b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9.246 мин. соответствует соединению 3-NO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17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13.314 мин. соответствует соединению 4-NO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14.912 мин. 1-йод-4-нитробензолу рис. 22)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18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1d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8.337 мин. соответствует соединению 4-CH</w:t>
      </w:r>
      <w:r>
        <w:rPr>
          <w:highlight w:val="yellow"/>
          <w:vertAlign w:val="subscript"/>
        </w:rPr>
        <w:t>3</w:t>
      </w:r>
      <w:r>
        <w:rPr>
          <w:position w:val="0"/>
          <w:sz w:val="24"/>
          <w:highlight w:val="yellow"/>
          <w:vertAlign w:val="baseline"/>
        </w:rPr>
        <w:t>О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23)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9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19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2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6.750 мин. соответствует 1-фтор-4-нитробензолу,  10.642 мин. 1-йод-4-нитробензолу, рис. 24)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highlight w:val="yellow"/>
          <w:lang w:val="ru-RU" w:eastAsia="zh-CN" w:bidi="hi-IN"/>
        </w:rPr>
      </w:pPr>
      <w:r>
        <w:rPr>
          <w:b w:val="false"/>
          <w:bCs w:val="false"/>
          <w:highlight w:val="yellow"/>
          <w:lang w:val="ru-RU" w:eastAsia="zh-CN" w:bidi="hi-IN"/>
        </w:rPr>
        <w:t xml:space="preserve">Рисунок </w:t>
      </w:r>
      <w:r>
        <w:rPr>
          <w:b w:val="false"/>
          <w:bCs w:val="false"/>
          <w:highlight w:val="yellow"/>
          <w:lang w:val="ru-RU" w:eastAsia="zh-CN" w:bidi="hi-IN"/>
        </w:rPr>
        <w:t>20</w:t>
      </w:r>
      <w:r>
        <w:rPr>
          <w:b w:val="false"/>
          <w:bCs w:val="false"/>
          <w:highlight w:val="yellow"/>
          <w:lang w:val="ru-RU" w:eastAsia="zh-CN" w:bidi="hi-IN"/>
        </w:rPr>
        <w:t xml:space="preserve">. Продукты разложения соли 3 по данным ГХ-МС. </w:t>
      </w:r>
      <w:r>
        <w:rPr>
          <w:b w:val="false"/>
          <w:bCs w:val="false"/>
          <w:highlight w:val="yellow"/>
          <w:lang w:val="ru-RU" w:eastAsia="zh-CN" w:bidi="hi-IN"/>
        </w:rPr>
        <w:t>(Пик 6.307 мин. соответствует 1-фтор-4-нитробензолу,  10.515 мин. 1-йод-4-нитробензолу, рис. 25)</w:t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lang w:val="ru-RU" w:eastAsia="zh-CN" w:bidi="hi-IN"/>
        </w:rPr>
      </w:pPr>
      <w:r>
        <w:rPr>
          <w:b w:val="false"/>
          <w:bCs w:val="false"/>
          <w:lang w:val="ru-RU" w:eastAsia="zh-CN" w:bidi="hi-IN"/>
        </w:rPr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21.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b</w:t>
      </w:r>
      <w:r>
        <w:rPr/>
        <w:t xml:space="preserve"> по данным ГХ-МС, </w:t>
      </w:r>
      <w:r>
        <w:rPr/>
        <w:t>совпадает со спектром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161, 95, 92, 69, 64.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574925"/>
            <wp:effectExtent l="0" t="0" r="0" b="0"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434590"/>
            <wp:effectExtent l="0" t="0" r="0" b="0"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22.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1</w:t>
      </w:r>
      <w:r>
        <w:rPr>
          <w:b/>
        </w:rPr>
        <w:t>c</w:t>
      </w:r>
      <w:r>
        <w:rPr/>
        <w:t xml:space="preserve"> по данным ГХ-МС, </w:t>
      </w:r>
      <w:r>
        <w:rPr/>
        <w:t>совпадают со спектром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177, 95, 69 и спектром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23.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d</w:t>
      </w:r>
      <w:r>
        <w:rPr/>
        <w:t xml:space="preserve"> по данным ГХ-МС, </w:t>
      </w:r>
      <w:r>
        <w:rPr/>
        <w:t>совпадает со спектром 3-CH</w:t>
      </w:r>
      <w:r>
        <w:rPr>
          <w:vertAlign w:val="subscript"/>
        </w:rPr>
        <w:t>3</w:t>
      </w:r>
      <w:r>
        <w:rPr/>
        <w:t>O-C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256, 123, 69, 52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24.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2</w:t>
      </w:r>
      <w:r>
        <w:rPr/>
        <w:t xml:space="preserve"> по данным ГХ-МС, </w:t>
      </w:r>
      <w:r>
        <w:rPr/>
        <w:t>совпадают со спектрами нитробензола M/Z: 123, 77, 51 и 1-йод-4-нитробензола M/Z: 249, 203, 76, 50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25.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3</w:t>
      </w:r>
      <w:r>
        <w:rPr/>
        <w:t xml:space="preserve"> по данным ГХ-МС, </w:t>
      </w:r>
      <w:r>
        <w:rPr/>
        <w:t>совпадают со спектрами 1-фтор-2-нитробензола M/Z: 141, 111, 95, 75, 50 и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highlight w:val="yellow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3. LS-МС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 xml:space="preserve">Приложение </w:t>
      </w:r>
      <w:r>
        <w:rPr>
          <w:b/>
          <w:bCs/>
        </w:rPr>
        <w:t>4</w:t>
      </w:r>
      <w:r>
        <w:rPr>
          <w:b/>
          <w:bCs/>
        </w:rPr>
        <w:t>. Результаты квантовохимических расчетов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123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enter" w:pos="218" w:leader="none"/>
        </w:tabs>
        <w:spacing w:before="227" w:after="227"/>
        <w:ind w:left="1230" w:right="624" w:hanging="0"/>
        <w:rPr/>
      </w:pPr>
      <w:hyperlink r:id="rId43">
        <w:r>
          <w:rPr/>
        </w:r>
      </w:hyperlink>
    </w:p>
    <w:sectPr>
      <w:footerReference w:type="default" r:id="rId44"/>
      <w:type w:val="nextPage"/>
      <w:pgSz w:w="11906" w:h="16838"/>
      <w:pgMar w:left="1134" w:right="1134" w:header="0" w:top="850" w:footer="850" w:bottom="1409" w:gutter="0"/>
      <w:pgNumType w:fmt="decimal"/>
      <w:formProt w:val="false"/>
      <w:textDirection w:val="lrTb"/>
      <w:docGrid w:type="default" w:linePitch="325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tandard Symbols L">
    <w:charset w:val="02"/>
    <w:family w:val="auto"/>
    <w:pitch w:val="variable"/>
  </w:font>
  <w:font w:name="Free Times">
    <w:charset w:val="01"/>
    <w:family w:val="auto"/>
    <w:pitch w:val="variable"/>
  </w:font>
  <w:font w:name="Liberation Serif">
    <w:altName w:val="Times New Roman"/>
    <w:charset w:val="01"/>
    <w:family w:val="auto"/>
    <w:pitch w:val="variable"/>
  </w:font>
  <w:font w:name="Standard Symbols 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  <w:r>
      <w:rPr/>
      <w:t>/</w:t>
    </w:r>
    <w:r>
      <w:rPr/>
      <w:fldChar w:fldCharType="begin"/>
    </w:r>
    <w:r>
      <w:instrText> NUMPAGES </w:instrText>
    </w:r>
    <w:r>
      <w:fldChar w:fldCharType="separate"/>
    </w:r>
    <w:r>
      <w:t>35</w:t>
    </w:r>
    <w:r>
      <w:fldChar w:fldCharType="end"/>
    </w:r>
    <w:r>
      <w:rPr/>
      <w:t xml:space="preserve"> </w:t>
    </w:r>
    <w:r>
      <w:rPr/>
      <w:t xml:space="preserve">от </w:t>
    </w:r>
    <w:r>
      <w:rPr/>
      <w:fldChar w:fldCharType="begin" w:fldLock="true"/>
    </w:r>
    <w:r>
      <w:instrText> DATE \@"dd.MM.yy" </w:instrText>
    </w:r>
    <w:r>
      <w:fldChar w:fldCharType="separate"/>
    </w:r>
    <w:r>
      <w:t>17.09.18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864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Noto Sans CJK SC Regular" w:cs="FreeSans"/>
      <w:color w:val="auto"/>
      <w:sz w:val="24"/>
      <w:szCs w:val="24"/>
      <w:lang w:eastAsia="zh-CN" w:bidi="hi-IN" w:val="ru-RU"/>
    </w:rPr>
  </w:style>
  <w:style w:type="paragraph" w:styleId="1">
    <w:name w:val="Heading 1"/>
    <w:basedOn w:val="Style17"/>
    <w:qFormat/>
    <w:pPr>
      <w:numPr>
        <w:ilvl w:val="0"/>
        <w:numId w:val="1"/>
      </w:numPr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qFormat/>
    <w:pPr>
      <w:numPr>
        <w:ilvl w:val="2"/>
        <w:numId w:val="1"/>
      </w:numPr>
      <w:spacing w:before="142" w:after="0"/>
      <w:ind w:left="0" w:right="0" w:firstLine="567"/>
      <w:outlineLvl w:val="2"/>
      <w:outlineLvl w:val="2"/>
    </w:pPr>
    <w:rPr>
      <w:b/>
      <w:bCs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11">
    <w:name w:val="Основной шрифт абзаца1"/>
    <w:qFormat/>
    <w:rPr/>
  </w:style>
  <w:style w:type="character" w:styleId="Style11">
    <w:name w:val="Символ нумерации"/>
    <w:qFormat/>
    <w:rPr/>
  </w:style>
  <w:style w:type="character" w:styleId="Style12">
    <w:name w:val="Текст выноски Знак"/>
    <w:qFormat/>
    <w:rPr>
      <w:rFonts w:ascii="Tahoma" w:hAnsi="Tahoma" w:eastAsia="Tahoma"/>
      <w:sz w:val="16"/>
    </w:rPr>
  </w:style>
  <w:style w:type="character" w:styleId="21">
    <w:name w:val="Основной шрифт абзаца2"/>
    <w:qFormat/>
    <w:rPr/>
  </w:style>
  <w:style w:type="character" w:styleId="12">
    <w:name w:val="Текст выноски Знак1"/>
    <w:basedOn w:val="DefaultParagraphFont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Annotationreference">
    <w:name w:val="annotation reference"/>
    <w:qFormat/>
    <w:rPr>
      <w:sz w:val="16"/>
    </w:rPr>
  </w:style>
  <w:style w:type="character" w:styleId="Style14">
    <w:name w:val="Текст примечания Знак"/>
    <w:qFormat/>
    <w:rPr>
      <w:rFonts w:ascii="Liberation Serif" w:hAnsi="Liberation Serif" w:eastAsia="Mangal"/>
      <w:sz w:val="18"/>
      <w:lang w:eastAsia="hi-IN"/>
    </w:rPr>
  </w:style>
  <w:style w:type="character" w:styleId="Style15">
    <w:name w:val="Тема примечания Знак"/>
    <w:qFormat/>
    <w:rPr>
      <w:rFonts w:ascii="Liberation Serif" w:hAnsi="Liberation Serif" w:eastAsia="Mangal"/>
      <w:b/>
      <w:sz w:val="18"/>
      <w:lang w:eastAsia="hi-IN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22">
    <w:name w:val="Указатель2"/>
    <w:basedOn w:val="Normal"/>
    <w:qFormat/>
    <w:pPr>
      <w:suppressLineNumbers/>
    </w:pPr>
    <w:rPr/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i/>
      <w:iCs/>
    </w:rPr>
  </w:style>
  <w:style w:type="paragraph" w:styleId="14">
    <w:name w:val="Указатель1"/>
    <w:basedOn w:val="Normal"/>
    <w:qFormat/>
    <w:pPr>
      <w:suppressLineNumbers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jc w:val="center"/>
    </w:pPr>
    <w:rPr>
      <w:b/>
      <w:bCs/>
    </w:rPr>
  </w:style>
  <w:style w:type="paragraph" w:styleId="Style24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15">
    <w:name w:val="Текст выноски1"/>
    <w:basedOn w:val="Normal"/>
    <w:qFormat/>
    <w:pPr>
      <w:spacing w:lineRule="auto" w:line="240"/>
      <w:jc w:val="left"/>
    </w:pPr>
    <w:rPr>
      <w:rFonts w:ascii="Tahoma" w:hAnsi="Tahoma" w:eastAsia="Tahoma"/>
      <w:sz w:val="16"/>
    </w:rPr>
  </w:style>
  <w:style w:type="paragraph" w:styleId="Style25">
    <w:name w:val="Блочная цитата"/>
    <w:basedOn w:val="Normal"/>
    <w:qFormat/>
    <w:pPr/>
    <w:rPr/>
  </w:style>
  <w:style w:type="paragraph" w:styleId="Style26">
    <w:name w:val="Title"/>
    <w:basedOn w:val="Style17"/>
    <w:qFormat/>
    <w:pPr/>
    <w:rPr/>
  </w:style>
  <w:style w:type="paragraph" w:styleId="Style27">
    <w:name w:val="Subtitle"/>
    <w:basedOn w:val="Style17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Mangal"/>
      <w:sz w:val="16"/>
      <w:szCs w:val="14"/>
    </w:rPr>
  </w:style>
  <w:style w:type="paragraph" w:styleId="Indexheading">
    <w:name w:val="index heading"/>
    <w:basedOn w:val="Normal"/>
    <w:qFormat/>
    <w:pPr>
      <w:widowControl/>
      <w:suppressAutoHyphens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FreeSans"/>
      <w:sz w:val="24"/>
      <w:lang w:eastAsia="hi-IN"/>
    </w:rPr>
  </w:style>
  <w:style w:type="paragraph" w:styleId="Annotationtext">
    <w:name w:val="annotation text"/>
    <w:basedOn w:val="Normal"/>
    <w:qFormat/>
    <w:pPr>
      <w:widowControl/>
      <w:suppressAutoHyphens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FreeSans"/>
      <w:sz w:val="20"/>
      <w:lang w:eastAsia="hi-IN"/>
    </w:rPr>
  </w:style>
  <w:style w:type="paragraph" w:styleId="Annotationsubject">
    <w:name w:val="annotation subject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0" w:cs="Liberation Serif"/>
      <w:b/>
      <w:color w:val="000000"/>
      <w:sz w:val="20"/>
      <w:szCs w:val="24"/>
      <w:lang w:val="ru-RU" w:eastAsia="ar-SA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lex_root@mail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://www.unece.org/trans/danger/danger.html" TargetMode="External"/><Relationship Id="rId27" Type="http://schemas.openxmlformats.org/officeDocument/2006/relationships/hyperlink" Target="https://doi.org/10.1002/ejoc.201800887" TargetMode="External"/><Relationship Id="rId28" Type="http://schemas.openxmlformats.org/officeDocument/2006/relationships/image" Target="media/image24.png"/><Relationship Id="rId29" Type="http://schemas.openxmlformats.org/officeDocument/2006/relationships/image" Target="media/image25.wmf"/><Relationship Id="rId30" Type="http://schemas.openxmlformats.org/officeDocument/2006/relationships/image" Target="media/image26.wmf"/><Relationship Id="rId31" Type="http://schemas.openxmlformats.org/officeDocument/2006/relationships/image" Target="media/image27.wmf"/><Relationship Id="rId32" Type="http://schemas.openxmlformats.org/officeDocument/2006/relationships/image" Target="media/image28.wmf"/><Relationship Id="rId33" Type="http://schemas.openxmlformats.org/officeDocument/2006/relationships/image" Target="media/image29.png"/><Relationship Id="rId34" Type="http://schemas.openxmlformats.org/officeDocument/2006/relationships/image" Target="media/image30.wmf"/><Relationship Id="rId35" Type="http://schemas.openxmlformats.org/officeDocument/2006/relationships/image" Target="media/image31.wmf"/><Relationship Id="rId36" Type="http://schemas.openxmlformats.org/officeDocument/2006/relationships/image" Target="media/image32.wmf"/><Relationship Id="rId37" Type="http://schemas.openxmlformats.org/officeDocument/2006/relationships/image" Target="media/image33.wmf"/><Relationship Id="rId38" Type="http://schemas.openxmlformats.org/officeDocument/2006/relationships/image" Target="media/image34.wmf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wmf"/><Relationship Id="rId42" Type="http://schemas.openxmlformats.org/officeDocument/2006/relationships/image" Target="media/image38.wmf"/><Relationship Id="rId43" Type="http://schemas.openxmlformats.org/officeDocument/2006/relationships/hyperlink" Target="https://doi.org/10.1002/ejoc.201800887" TargetMode="Externa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6155</TotalTime>
  <Application>LibreOffice/5.2.7.2$Linux_X86_64 LibreOffice_project/20m0$Build-2</Application>
  <Pages>35</Pages>
  <Words>5995</Words>
  <Characters>38725</Characters>
  <CharactersWithSpaces>44299</CharactersWithSpaces>
  <Paragraphs>591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2017-06-12T04:04:00Z</dcterms:created>
  <dc:creator>Victor</dc:creator>
  <dc:description/>
  <dc:language>ru-RU</dc:language>
  <cp:lastModifiedBy/>
  <cp:lastPrinted>1900-12-31T17:00:00Z</cp:lastPrinted>
  <dcterms:modified xsi:type="dcterms:W3CDTF">2018-09-19T11:22:02Z</dcterms:modified>
  <cp:revision>446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