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pPr>
      <w:r>
        <w:rPr>
          <w:vertAlign w:val="superscript"/>
          <w:lang w:val="en-US"/>
        </w:rPr>
        <w:t>2 </w:t>
      </w:r>
      <w:r>
        <w:rPr>
          <w:lang w:val="en-US"/>
        </w:rPr>
        <w:t>S. Toraighyrov Pavlodar State University, Pavlodar, Kazakhstan</w:t>
      </w:r>
    </w:p>
    <w:p>
      <w:pPr>
        <w:pStyle w:val="Normal"/>
        <w:ind w:left="510" w:right="0" w:hanging="113"/>
        <w:rPr/>
      </w:pPr>
      <w:r>
        <w:rPr>
          <w:vertAlign w:val="superscript"/>
          <w:lang w:val="en-US"/>
        </w:rPr>
        <w:t xml:space="preserve">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1"/>
        <w:numPr>
          <w:ilvl w:val="0"/>
          <w:numId w:val="2"/>
        </w:numPr>
        <w:ind w:left="0" w:right="0" w:firstLine="397"/>
        <w:rPr/>
      </w:pPr>
      <w:r>
        <w:rPr>
          <w:lang w:val="en-US"/>
        </w:rPr>
        <w:t xml:space="preserve">  </w:t>
      </w:r>
      <w:r>
        <w:rPr/>
        <w:t>Abstract</w:t>
      </w:r>
    </w:p>
    <w:p>
      <w:pPr>
        <w:pStyle w:val="Normal"/>
        <w:widowControl/>
        <w:suppressAutoHyphens w:val="true"/>
        <w:overflowPunct w:val="true"/>
        <w:bidi w:val="0"/>
        <w:spacing w:lineRule="auto" w:line="312"/>
        <w:ind w:left="0" w:right="0" w:firstLine="510"/>
        <w:jc w:val="both"/>
        <w:rPr/>
      </w:pPr>
      <w:commentRangeStart w:id="0"/>
      <w:r>
        <w:rPr/>
        <w:t xml:space="preserve">Впервые методом </w:t>
      </w:r>
      <w:r>
        <w:rPr>
          <w:color w:val="00000A"/>
        </w:rPr>
        <w:t>изотермической потоковой</w:t>
      </w:r>
      <w:r>
        <w:rPr/>
        <w:t xml:space="preserve"> калориметрии и DSC/</w:t>
      </w:r>
      <w:r>
        <w:rPr>
          <w:lang w:val="en-US"/>
        </w:rPr>
        <w:t>TGA</w:t>
      </w:r>
      <w:r>
        <w:rPr/>
        <w:t xml:space="preserve"> определены энергии </w:t>
      </w:r>
      <w:r>
        <w:rPr/>
      </w:r>
      <w:commentRangeEnd w:id="0"/>
      <w:r>
        <w:commentReference w:id="0"/>
      </w:r>
      <w:r>
        <w:rPr/>
        <w:commentReference w:id="1"/>
      </w:r>
      <w:r>
        <w:rPr/>
        <w:t xml:space="preserve">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rP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w:t>
      </w:r>
      <w:r>
        <w:rPr>
          <w:color w:val="00000A"/>
        </w:rPr>
        <w:t>изотермической потоковой</w:t>
      </w:r>
      <w:r>
        <w:rPr/>
        <w:t xml:space="preserve"> калориметрии более адекватно отражает энергетику процессов термического разложения диазониевых солей, чем метод DSC/</w:t>
      </w:r>
      <w:r>
        <w:rPr>
          <w:lang w:val="en-US"/>
        </w:rPr>
        <w:t>TGA</w:t>
      </w:r>
      <w:r>
        <w:rPr/>
        <w:t>.</w:t>
      </w:r>
    </w:p>
    <w:p>
      <w:pPr>
        <w:pStyle w:val="1"/>
        <w:numPr>
          <w:ilvl w:val="0"/>
          <w:numId w:val="4"/>
        </w:numPr>
        <w:rPr/>
      </w:pPr>
      <w:r>
        <w:rPr/>
        <w:t>Introduction</w:t>
      </w:r>
    </w:p>
    <w:p>
      <w:pPr>
        <w:pStyle w:val="Normal"/>
        <w:numPr>
          <w:ilvl w:val="0"/>
          <w:numId w:val="3"/>
        </w:numPr>
        <w:ind w:left="0" w:right="0" w:firstLine="397"/>
        <w:rPr/>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numPr>
          <w:ilvl w:val="0"/>
          <w:numId w:val="3"/>
        </w:numPr>
        <w:ind w:left="0" w:right="0" w:firstLine="397"/>
        <w:rPr/>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pPr>
        <w:pStyle w:val="Normal"/>
        <w:numPr>
          <w:ilvl w:val="0"/>
          <w:numId w:val="3"/>
        </w:numPr>
        <w:ind w:left="0" w:right="0" w:firstLine="397"/>
        <w:rPr/>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eastAsia="Symbol" w:cs="Symbol" w:ascii="Standard Symbols L" w:hAnsi="Standard Symbols L"/>
        </w:rPr>
        <w:t>a</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numPr>
          <w:ilvl w:val="0"/>
          <w:numId w:val="3"/>
        </w:numPr>
        <w:ind w:left="0" w:right="0" w:firstLine="397"/>
        <w:rPr/>
      </w:pPr>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DSC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pPr>
        <w:pStyle w:val="Normal"/>
        <w:numPr>
          <w:ilvl w:val="0"/>
          <w:numId w:val="3"/>
        </w:numPr>
        <w:ind w:left="0" w:right="0" w:firstLine="397"/>
        <w:rPr/>
      </w:pPr>
      <w:r>
        <w:rPr>
          <w:rFonts w:eastAsia="Times New Roman" w:cs="Times New Roman"/>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numPr>
          <w:ilvl w:val="0"/>
          <w:numId w:val="3"/>
        </w:numPr>
        <w:ind w:left="0" w:right="0" w:firstLine="397"/>
        <w:rPr/>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изотермической потоковой калориметрии и 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pPr>
        <w:pStyle w:val="Normal"/>
        <w:numPr>
          <w:ilvl w:val="3"/>
          <w:numId w:val="3"/>
        </w:numPr>
        <w:ind w:left="0" w:right="0" w:firstLine="397"/>
        <w:rPr/>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firstLine="397"/>
        <w:rPr/>
      </w:pPr>
      <w:r>
        <w:rPr/>
        <w:t xml:space="preserve">  </w:t>
      </w:r>
      <w:r>
        <w:rPr/>
        <w:t>MATERIALS AND METHODS</w:t>
      </w:r>
      <w:r>
        <w:rPr>
          <w:bCs/>
          <w:lang w:val="en-US"/>
        </w:rPr>
        <w:t xml:space="preserve"> </w:t>
      </w:r>
    </w:p>
    <w:p>
      <w:pPr>
        <w:pStyle w:val="ListParagraph"/>
        <w:numPr>
          <w:ilvl w:val="3"/>
          <w:numId w:val="3"/>
        </w:numPr>
        <w:tabs>
          <w:tab w:val="left" w:pos="450" w:leader="none"/>
        </w:tabs>
        <w:ind w:left="0" w:right="0" w:firstLine="397"/>
        <w:rPr/>
      </w:pPr>
      <w:r>
        <w:rPr>
          <w:rFonts w:cs="Times New Roman" w:ascii="Times New Roman" w:hAnsi="Times New Roman"/>
        </w:rPr>
        <w:t xml:space="preserve">Arenediazonium triflates </w:t>
      </w:r>
      <w:r>
        <w:rPr>
          <w:rFonts w:cs="Times New Roman" w:ascii="Times New Roman" w:hAnsi="Times New Roman"/>
          <w:b/>
          <w:bCs/>
        </w:rPr>
        <w:t>1a-d</w:t>
      </w:r>
      <w:r>
        <w:rPr>
          <w:rFonts w:cs="Times New Roman" w:ascii="Times New Roman" w:hAnsi="Times New Roman"/>
        </w:rPr>
        <w:t xml:space="preserve"> and 4-nitrobenzenediazonium tosylate </w:t>
      </w:r>
      <w:r>
        <w:rPr>
          <w:rFonts w:cs="Times New Roman" w:ascii="Times New Roman" w:hAnsi="Times New Roman"/>
          <w:b/>
          <w:bCs/>
        </w:rPr>
        <w:t>2</w:t>
      </w:r>
      <w:r>
        <w:rPr>
          <w:rFonts w:cs="Times New Roman" w:ascii="Times New Roman" w:hAnsi="Times New Roman"/>
        </w:rPr>
        <w:t xml:space="preserve"> были получены известными методами [3a,b]. 4-Nitrobenzenediazonium tetrafluoroborate </w:t>
      </w:r>
      <w:r>
        <w:rPr>
          <w:rFonts w:cs="Times New Roman" w:ascii="Times New Roman" w:hAnsi="Times New Roman"/>
          <w:b/>
          <w:bCs/>
        </w:rPr>
        <w:t>3</w:t>
      </w:r>
      <w:r>
        <w:rPr>
          <w:rFonts w:cs="Times New Roman" w:ascii="Times New Roman" w:hAnsi="Times New Roman"/>
        </w:rPr>
        <w:t xml:space="preserve"> представлял собой коммерческий образец (Aldrich CAS №</w:t>
      </w:r>
      <w:r>
        <w:rPr>
          <w:rFonts w:cs="Times New Roman" w:ascii="Times New Roman" w:hAnsi="Times New Roman"/>
          <w:highlight w:val="white"/>
        </w:rPr>
        <w:t xml:space="preserve"> </w:t>
      </w:r>
      <w:r>
        <w:rPr>
          <w:rFonts w:cs="Times New Roman" w:ascii="Times New Roman" w:hAnsi="Times New Roman"/>
        </w:rPr>
        <w:t>456-27-9).</w:t>
      </w:r>
    </w:p>
    <w:p>
      <w:pPr>
        <w:pStyle w:val="ListParagraph"/>
        <w:numPr>
          <w:ilvl w:val="3"/>
          <w:numId w:val="3"/>
        </w:numPr>
        <w:ind w:left="0" w:righ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4"/>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1a</w:t>
            </w:r>
          </w:p>
        </w:tc>
        <w:tc>
          <w:tcPr>
            <w:tcW w:w="4201" w:type="dxa"/>
            <w:tcBorders/>
            <w:shd w:fill="FFFFFF" w:val="clear"/>
          </w:tcPr>
          <w:p>
            <w:pPr>
              <w:pStyle w:val="Style24"/>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1d</w:t>
            </w:r>
          </w:p>
        </w:tc>
      </w:tr>
      <w:tr>
        <w:trPr/>
        <w:tc>
          <w:tcPr>
            <w:tcW w:w="3400" w:type="dxa"/>
            <w:tcBorders/>
            <w:shd w:fill="FFFFFF" w:val="clear"/>
          </w:tcPr>
          <w:p>
            <w:pPr>
              <w:pStyle w:val="Style24"/>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1b</w:t>
            </w:r>
          </w:p>
        </w:tc>
        <w:tc>
          <w:tcPr>
            <w:tcW w:w="4201" w:type="dxa"/>
            <w:tcBorders/>
            <w:shd w:fill="FFFFFF" w:val="clear"/>
          </w:tcPr>
          <w:p>
            <w:pPr>
              <w:pStyle w:val="Style24"/>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2</w:t>
            </w:r>
          </w:p>
        </w:tc>
      </w:tr>
      <w:tr>
        <w:trPr/>
        <w:tc>
          <w:tcPr>
            <w:tcW w:w="3400" w:type="dxa"/>
            <w:tcBorders/>
            <w:shd w:fill="FFFFFF" w:val="clear"/>
          </w:tcPr>
          <w:p>
            <w:pPr>
              <w:pStyle w:val="Style24"/>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1c</w:t>
            </w:r>
          </w:p>
        </w:tc>
        <w:tc>
          <w:tcPr>
            <w:tcW w:w="4201" w:type="dxa"/>
            <w:tcBorders/>
            <w:shd w:fill="FFFFFF" w:val="clear"/>
          </w:tcPr>
          <w:p>
            <w:pPr>
              <w:pStyle w:val="Style24"/>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rPr/>
      </w:pPr>
      <w:r>
        <w:rP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w:t>
      </w:r>
      <w:commentRangeStart w:id="2"/>
      <w:r>
        <w:rPr>
          <w:highlight w:val="yellow"/>
        </w:rPr>
        <w:t>TAM III фирмы TA Instruments в атмосфере азота</w:t>
      </w:r>
      <w:r>
        <w:rPr/>
      </w:r>
      <w:commentRangeEnd w:id="2"/>
      <w:r>
        <w:commentReference w:id="2"/>
      </w:r>
      <w:r>
        <w:rPr/>
        <w:commentReference w:id="3"/>
      </w:r>
      <w:r>
        <w:rPr/>
        <w:t xml:space="preserve">, </w:t>
      </w:r>
      <w:r>
        <w:rPr>
          <w:highlight w:val="green"/>
        </w:rPr>
        <w:t xml:space="preserve">образцы солей массой 10 мг помещались в </w:t>
      </w:r>
      <w:r>
        <w:rPr>
          <w:highlight w:val="green"/>
        </w:rPr>
        <w:t xml:space="preserve">стеклянный стакан находящийся в </w:t>
      </w:r>
      <w:r>
        <w:rPr>
          <w:highlight w:val="green"/>
        </w:rPr>
        <w:t>стандартн</w:t>
      </w:r>
      <w:r>
        <w:rPr>
          <w:highlight w:val="green"/>
        </w:rPr>
        <w:t>ой</w:t>
      </w:r>
      <w:r>
        <w:rPr>
          <w:highlight w:val="green"/>
        </w:rPr>
        <w:t xml:space="preserve"> ампул</w:t>
      </w:r>
      <w:r>
        <w:rPr>
          <w:highlight w:val="green"/>
        </w:rPr>
        <w:t>е</w:t>
      </w:r>
      <w:r>
        <w:rPr>
          <w:highlight w:val="green"/>
        </w:rPr>
        <w:t xml:space="preserve"> калориметра (Ampoule Hast 1mL) </w:t>
      </w:r>
      <w:r>
        <w:rPr>
          <w:highlight w:val="green"/>
        </w:rPr>
        <w:t xml:space="preserve">изготовленной из сплава </w:t>
      </w:r>
      <w:r>
        <w:rPr>
          <w:i/>
          <w:highlight w:val="green"/>
          <w:lang w:val="en-US"/>
        </w:rPr>
        <w:t>Hastelloy</w:t>
      </w:r>
      <w:r>
        <w:rPr>
          <w:highlight w:val="green"/>
        </w:rPr>
        <w:t xml:space="preserve"> объемом 1 мл,  </w:t>
      </w:r>
      <w:r>
        <w:rPr>
          <w:highlight w:val="green"/>
        </w:rPr>
        <w:t xml:space="preserve">вакуумировали </w:t>
      </w:r>
      <w:r>
        <w:rPr>
          <w:highlight w:val="green"/>
        </w:rPr>
        <w:t xml:space="preserve">и заполняли азотом, </w:t>
      </w:r>
      <w:r>
        <w:rPr>
          <w:highlight w:val="green"/>
        </w:rPr>
        <w:t xml:space="preserve">аргоном </w:t>
      </w:r>
      <w:r>
        <w:rPr>
          <w:highlight w:val="green"/>
        </w:rPr>
        <w:t>либо</w:t>
      </w:r>
      <w:r>
        <w:rPr>
          <w:highlight w:val="green"/>
        </w:rPr>
        <w:t xml:space="preserve"> воздухом </w:t>
      </w:r>
      <w:r>
        <w:rPr>
          <w:highlight w:val="green"/>
        </w:rPr>
        <w:t>в соответствии с условиями эксперимента</w:t>
      </w:r>
      <w:r>
        <w:rPr/>
        <w:t>.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для практически полного разложения ДС. К полученным продуктам добавляли водный раствор KI для перевода  неразложившихся диазониевых солей в соответствующие летучи</w:t>
      </w:r>
      <w:r>
        <w:rPr/>
        <w:t>е</w:t>
      </w:r>
      <w:r>
        <w:rPr/>
        <w:t xml:space="preserve"> арилиодиды [3a,b], продукты были экстрагированы этилацетатом и профильтрованы через слой силикагеля.</w:t>
      </w:r>
    </w:p>
    <w:p>
      <w:pPr>
        <w:pStyle w:val="Normal"/>
        <w:rPr/>
      </w:pPr>
      <w:r>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rPr/>
        <w:t>. Объем вводимой пробы 5 мкл. Для обработки и интегрирования масс-спектров использован программный комплекс OpenMS 2.0 [10a,b].</w:t>
      </w:r>
    </w:p>
    <w:p>
      <w:pPr>
        <w:pStyle w:val="Normal"/>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rPr>
        <w:t xml:space="preserve"> [11]</w:t>
      </w:r>
      <w:r>
        <w:rPr/>
        <w:t xml:space="preserve">.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характер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right="0" w:firstLine="397"/>
        <w:rPr/>
      </w:pPr>
      <w:r>
        <w:rPr/>
        <w:t xml:space="preserve">  </w:t>
      </w:r>
      <w:r>
        <w:rPr/>
        <w:t>RESULTS AND DISCUSSION</w:t>
      </w:r>
    </w:p>
    <w:p>
      <w:pPr>
        <w:pStyle w:val="2"/>
        <w:numPr>
          <w:ilvl w:val="1"/>
          <w:numId w:val="2"/>
        </w:numPr>
        <w:ind w:left="0" w:right="0" w:firstLine="397"/>
        <w:rPr/>
      </w:pPr>
      <w:r>
        <w:rPr>
          <w:bCs/>
          <w:lang w:val="en-US"/>
        </w:rPr>
        <w:t>DSC</w:t>
      </w:r>
      <w:r>
        <w:rPr>
          <w:bCs/>
        </w:rPr>
        <w:t>/</w:t>
      </w:r>
      <w:r>
        <w:rPr>
          <w:bCs/>
          <w:lang w:val="en-US"/>
        </w:rPr>
        <w:t>TGA</w:t>
      </w:r>
      <w:r>
        <w:rPr>
          <w:bCs/>
        </w:rPr>
        <w:t xml:space="preserve"> </w:t>
      </w:r>
      <w:r>
        <w:rPr>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В случае солей </w:t>
      </w:r>
      <w:r>
        <w:rPr>
          <w:b/>
          <w:bCs/>
        </w:rPr>
        <w:t>1a</w:t>
      </w:r>
      <w:r>
        <w:rPr/>
        <w:t xml:space="preserve">, </w:t>
      </w:r>
      <w:r>
        <w:rPr>
          <w:b/>
          <w:bCs/>
        </w:rPr>
        <w:t>1b</w:t>
      </w:r>
      <w:r>
        <w:rPr/>
        <w:t xml:space="preserve">, </w:t>
      </w:r>
      <w:r>
        <w:rPr>
          <w:b/>
          <w:bCs/>
        </w:rPr>
        <w:t>1d</w:t>
      </w:r>
      <w:r>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773"/>
        <w:gridCol w:w="1026"/>
        <w:gridCol w:w="2488"/>
        <w:gridCol w:w="912"/>
        <w:gridCol w:w="2439"/>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b/>
                <w:b/>
                <w:bCs/>
                <w:color w:val="000000"/>
              </w:rPr>
            </w:pPr>
            <w:r>
              <w:rPr>
                <w:b/>
                <w:bCs/>
                <w:color w:val="000000"/>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t>Endotherm process</w:t>
            </w:r>
          </w:p>
        </w:tc>
        <w:tc>
          <w:tcPr>
            <w:tcW w:w="33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t>Exotherm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rPr/>
            </w:pPr>
            <w:r>
              <w:rPr/>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rFonts w:ascii="Symbol" w:hAnsi="Symbol"/>
                <w:b/>
                <w:bCs/>
                <w:color w:val="00000A"/>
                <w:sz w:val="16"/>
                <w:szCs w:val="16"/>
              </w:rPr>
              <w:t></w:t>
            </w:r>
            <w:r>
              <w:rPr>
                <w:b/>
                <w:bCs/>
                <w:color w:val="00000A"/>
              </w:rPr>
              <w:t>Н,</w:t>
            </w:r>
            <w:r>
              <w:rPr>
                <w:b/>
                <w:bCs/>
                <w:color w:val="00000A"/>
                <w:sz w:val="22"/>
                <w:szCs w:val="22"/>
              </w:rPr>
              <w:t xml:space="preserve">  Дж/г (кДж/моль)</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rFonts w:ascii="Symbol" w:hAnsi="Symbol"/>
                <w:b/>
                <w:bCs/>
                <w:color w:val="00000A"/>
                <w:sz w:val="16"/>
                <w:szCs w:val="16"/>
              </w:rPr>
              <w:t></w:t>
            </w:r>
            <w:r>
              <w:rPr>
                <w:b/>
                <w:bCs/>
                <w:color w:val="00000A"/>
              </w:rPr>
              <w:t>Н</w:t>
            </w:r>
            <w:r>
              <w:rPr>
                <w:b/>
                <w:bCs/>
                <w:color w:val="00000A"/>
                <w:sz w:val="22"/>
                <w:szCs w:val="22"/>
              </w:rPr>
              <w:t>, Дж/г (кДж/моль)</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143.3</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111.2</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-840.4</w:t>
            </w:r>
            <w:r>
              <w:rPr>
                <w:color w:val="000000"/>
                <w:szCs w:val="28"/>
              </w:rPr>
              <w:t xml:space="preserve">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116.4</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-219.9</w:t>
            </w:r>
            <w:r>
              <w:rPr>
                <w:color w:val="000000"/>
                <w:szCs w:val="28"/>
              </w:rPr>
              <w:t xml:space="preserve">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rPr>
            </w:pPr>
            <w:r>
              <w:rPr>
                <w:color w:val="000000"/>
                <w:szCs w:val="28"/>
              </w:rPr>
              <w:t>136.6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rPr>
              <w:t>-328.9 (-</w:t>
            </w:r>
            <w:r>
              <w:rPr>
                <w:color w:val="000000"/>
                <w:szCs w:val="28"/>
                <w:lang w:val="en-US"/>
              </w:rPr>
              <w:t>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69.37</w:t>
            </w:r>
          </w:p>
          <w:p>
            <w:pPr>
              <w:pStyle w:val="Normal"/>
              <w:spacing w:lineRule="auto" w:line="240"/>
              <w:ind w:left="0" w:right="0" w:hanging="0"/>
              <w:jc w:val="center"/>
              <w:rPr>
                <w:color w:val="000000"/>
                <w:szCs w:val="28"/>
                <w:lang w:val="en-US"/>
              </w:rPr>
            </w:pPr>
            <w:r>
              <w:rPr>
                <w:color w:val="000000"/>
                <w:szCs w:val="28"/>
                <w:lang w:val="en-US"/>
              </w:rPr>
              <w:t>146.6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-24.47 (-7.8)</w:t>
            </w:r>
          </w:p>
          <w:p>
            <w:pPr>
              <w:pStyle w:val="Normal"/>
              <w:spacing w:lineRule="auto" w:line="240"/>
              <w:ind w:left="0" w:right="0"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146.5</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b</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d</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left="0" w:right="0" w:hanging="0"/>
        <w:jc w:val="center"/>
        <w:rPr/>
      </w:pPr>
      <w:r>
        <w:rP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Pr>
          <w:color w:val="000000"/>
          <w:szCs w:val="28"/>
        </w:rPr>
        <w:t xml:space="preserve">  </w:t>
      </w:r>
      <w:r>
        <w:rPr>
          <w:b/>
          <w:bCs/>
          <w:color w:val="000000"/>
          <w:szCs w:val="28"/>
        </w:rPr>
        <w:t>3</w:t>
      </w:r>
      <w:r>
        <w:rPr/>
        <w:t xml:space="preserve"> методом </w:t>
      </w:r>
      <w:r>
        <w:rPr>
          <w:lang w:val="en-US"/>
        </w:rPr>
        <w:t>DSC</w:t>
      </w:r>
      <w:r>
        <w:rPr/>
        <w:t>/</w:t>
      </w:r>
      <w:r>
        <w:rPr>
          <w:lang w:val="en-US"/>
        </w:rPr>
        <w:t>TGA</w:t>
      </w:r>
    </w:p>
    <w:p>
      <w:pPr>
        <w:pStyle w:val="Normal"/>
        <w:ind w:left="0" w:right="0" w:firstLine="567"/>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rPr>
        <w:t></w:t>
      </w:r>
      <w:r>
        <w:rPr/>
        <w:t>H</w:t>
      </w:r>
      <w:r>
        <w:rPr>
          <w:vertAlign w:val="subscript"/>
        </w:rPr>
        <w:t>exoterm</w:t>
      </w:r>
      <w:r>
        <w:rPr/>
        <w:t xml:space="preserve">.  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t>Изотермическая потоковая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7a].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трех синтетических партий, полученных в идентичных условиях (samples 1-3), а также образцов, очищенных однократным и двукратным (</w:t>
      </w:r>
      <w:r>
        <w:rPr>
          <w:lang w:val="en-US"/>
        </w:rPr>
        <w:t>repricipitation</w:t>
      </w:r>
      <w:r>
        <w:rPr/>
        <w:t xml:space="preserve"> 1 </w:t>
      </w:r>
      <w:r>
        <w:rPr>
          <w:lang w:val="en-US"/>
        </w:rPr>
        <w:t>and</w:t>
      </w:r>
      <w:r>
        <w:rPr/>
        <w:t xml:space="preserve"> 2) осаждением образца 3 из растворов в уксусной кислоте эфиром.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w:t>
      </w:r>
      <w:r>
        <w:rPr>
          <w:color w:val="00000A"/>
        </w:rPr>
        <w:t>качественных и статистически значимых</w:t>
      </w:r>
      <w:r>
        <w:rPr/>
        <w:t xml:space="preserve"> различий для проведения разложения в атмосфере азота, воздуха и аргона. Дальнейшие исследования </w:t>
      </w:r>
      <w:r>
        <w:rPr>
          <w:rFonts w:eastAsia="Times New Roman" w:cs="Times New Roman"/>
        </w:rPr>
        <w:t xml:space="preserve">изотермической </w:t>
      </w:r>
      <w:r>
        <w:rPr/>
        <w:t>потоковой калориметрии проводились в атмосфере азота и после однократного переосаждения (r</w:t>
      </w:r>
      <w:r>
        <w:rPr>
          <w:lang w:val="en-US"/>
        </w:rPr>
        <w:t>epricipitation</w:t>
      </w:r>
      <w:r>
        <w:rPr/>
        <w:t>) исходных ДС.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ind w:left="0" w:right="0" w:hanging="0"/>
        <w:jc w:val="center"/>
        <w:rPr/>
      </w:pPr>
      <w:r>
        <w:rPr/>
        <w:t>зависимости от полученной партии и числа переосаждений при температуре 85 </w:t>
      </w:r>
      <w:r>
        <w:rPr>
          <w:rFonts w:cs="Times New Roman" w:ascii="Times New Roman" w:hAnsi="Times New Roman"/>
          <w:vertAlign w:val="superscript"/>
        </w:rPr>
        <w:t>o</w:t>
      </w:r>
      <w:r>
        <w:rPr/>
        <w:t>С</w:t>
      </w:r>
    </w:p>
    <w:p>
      <w:pPr>
        <w:pStyle w:val="Normal"/>
        <w:ind w:left="0" w:right="0" w:hanging="0"/>
        <w:jc w:val="center"/>
        <w:rPr/>
      </w:pPr>
      <w:r>
        <w:rPr/>
        <w:t>(где k - константа скорости, С</w:t>
      </w:r>
      <w:r>
        <w:rPr>
          <w:vertAlign w:val="subscript"/>
        </w:rPr>
        <w:t>0</w:t>
      </w:r>
      <w:r>
        <w:rPr/>
        <w:t xml:space="preserve"> — начальная концентрация продукта по уравнению 2, </w:t>
      </w:r>
    </w:p>
    <w:p>
      <w:pPr>
        <w:pStyle w:val="Normal"/>
        <w:ind w:left="0" w:right="0" w:hanging="0"/>
        <w:jc w:val="center"/>
        <w:rPr/>
      </w:pPr>
      <w:r>
        <w:rPr>
          <w:rFonts w:ascii="Symbol" w:hAnsi="Symbol"/>
          <w:sz w:val="16"/>
          <w:szCs w:val="16"/>
        </w:rPr>
        <w:t></w:t>
      </w:r>
      <w:r>
        <w:rPr/>
        <w:t>H - интегральная энтальпия, P</w:t>
      </w:r>
      <w:r>
        <w:rPr>
          <w:vertAlign w:val="subscript"/>
        </w:rPr>
        <w:t>0</w:t>
      </w:r>
      <w:r>
        <w:rPr/>
        <w:t xml:space="preserve"> — величина начального теплового потока) </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6" w:type="dxa"/>
          <w:bottom w:w="55" w:type="dxa"/>
          <w:right w:w="55" w:type="dxa"/>
        </w:tblCellMar>
      </w:tblPr>
      <w:tblGrid>
        <w:gridCol w:w="4363"/>
        <w:gridCol w:w="1926"/>
        <w:gridCol w:w="1475"/>
        <w:gridCol w:w="1392"/>
      </w:tblGrid>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Sample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Symbol" w:hAnsi="Symbol"/>
                <w:b/>
                <w:sz w:val="16"/>
                <w:szCs w:val="16"/>
              </w:rPr>
              <w:t></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sz w:val="22"/>
                <w:szCs w:val="22"/>
              </w:rPr>
              <w:t>,</w:t>
            </w:r>
            <w:r>
              <w:rPr>
                <w:rFonts w:cs="Arial" w:ascii="Free Times" w:hAnsi="Free Times"/>
                <w:b/>
                <w:sz w:val="22"/>
                <w:szCs w:val="22"/>
                <w:vertAlign w:val="subscript"/>
              </w:rPr>
              <w:t xml:space="preserve"> </w:t>
            </w:r>
            <w:r>
              <w:rPr>
                <w:rFonts w:cs="Times New Roman" w:ascii="Free Times" w:hAnsi="Free Times"/>
                <w:b/>
                <w:sz w:val="22"/>
                <w:szCs w:val="22"/>
              </w:rPr>
              <w:t>mW/g</w:t>
            </w:r>
          </w:p>
        </w:tc>
      </w:tr>
      <w:tr>
        <w:trPr/>
        <w:tc>
          <w:tcPr>
            <w:tcW w:w="4363" w:type="dxa"/>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Sample 1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0.0875 ± 0.0117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234.2 ± 3.0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31.2 ± 8.1</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2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0.0825 ± 0.0119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243.6 ± 20.7</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12.7 ± 3.5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0.0848 ± 0.0091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235.5 ± 7.0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10.1 ± 3.5</w:t>
            </w:r>
          </w:p>
        </w:tc>
      </w:tr>
      <w:tr>
        <w:trPr/>
        <w:tc>
          <w:tcPr>
            <w:tcW w:w="4363" w:type="dxa"/>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Air,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0.0862 ± 0.0107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229.0 ± 28.9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8.7 ± 8.5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Argon,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0.1002 ± 0.0113</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242.3 ± 8.0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12.8 ± 2.4 </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spacing w:lineRule="auto" w:line="240"/>
              <w:ind w:left="0" w:right="0" w:hanging="0"/>
              <w:jc w:val="center"/>
              <w:rPr>
                <w:rFonts w:ascii="Free Times" w:hAnsi="Free Times" w:cs="Arial"/>
                <w:sz w:val="22"/>
                <w:szCs w:val="22"/>
              </w:rPr>
            </w:pPr>
            <w:r>
              <w:rPr>
                <w:rFonts w:cs="Arial" w:ascii="Free Times" w:hAnsi="Free Times"/>
                <w:sz w:val="22"/>
                <w:szCs w:val="22"/>
              </w:rPr>
              <w:t xml:space="preserve">Sample 2, 3 Nitrogen, </w:t>
            </w:r>
          </w:p>
          <w:p>
            <w:pPr>
              <w:pStyle w:val="Style24"/>
              <w:spacing w:lineRule="auto" w:line="240"/>
              <w:ind w:left="0" w:right="0" w:hanging="0"/>
              <w:jc w:val="center"/>
              <w:rPr/>
            </w:pPr>
            <w:r>
              <w:rPr>
                <w:rFonts w:cs="Arial" w:ascii="Free Times" w:hAnsi="Free Times"/>
                <w:sz w:val="22"/>
                <w:szCs w:val="22"/>
              </w:rPr>
              <w:t xml:space="preserve">(source, </w:t>
            </w:r>
            <w:r>
              <w:rPr>
                <w:rFonts w:cs="Arial" w:ascii="Free Times" w:hAnsi="Free Times"/>
                <w:sz w:val="22"/>
                <w:szCs w:val="22"/>
                <w:lang w:val="en-US"/>
              </w:rPr>
              <w:t>repricipitation</w:t>
            </w:r>
            <w:r>
              <w:rPr>
                <w:rFonts w:cs="Arial" w:ascii="Free Times" w:hAnsi="Free Times"/>
                <w:sz w:val="22"/>
                <w:szCs w:val="22"/>
              </w:rPr>
              <w:t xml:space="preserve"> 1, 2)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0.0059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238.9 ± 7.8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11.2 ± 2.3</w:t>
            </w:r>
          </w:p>
        </w:tc>
      </w:tr>
      <w:tr>
        <w:trPr/>
        <w:tc>
          <w:tcPr>
            <w:tcW w:w="4363" w:type="dxa"/>
            <w:tcBorders/>
            <w:shd w:fill="FFFFFF" w:val="clear"/>
            <w:tcMar>
              <w:left w:w="61"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source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0.0832 ± 0.0109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241.7 ± 16.2</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12.0 ± 2.0</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0.0158</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235.1 ± 17.9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10.2 ± 6.3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0.0931 ± 0.0071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238.1 ± 6.8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11.3 ± 2.3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8"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General statistics</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0.0882 ± 0.0045</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237.7 ± 4.6</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13.8 ± 3.3</w:t>
            </w:r>
          </w:p>
        </w:tc>
      </w:tr>
    </w:tbl>
    <w:p>
      <w:pPr>
        <w:pStyle w:val="Normal"/>
        <w:jc w:val="center"/>
        <w:rPr>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commentRangeStart w:id="4"/>
      <w:r>
        <w:rPr>
          <w:b/>
          <w:bCs/>
          <w:highlight w:val="yellow"/>
          <w:u w:val="none"/>
        </w:rPr>
        <w:t>1</w:t>
      </w:r>
      <w:r>
        <w:rPr>
          <w:b/>
          <w:bCs/>
          <w:highlight w:val="yellow"/>
          <w:u w:val="none"/>
          <w:lang w:val="en-US"/>
        </w:rPr>
        <w:t>c</w:t>
      </w:r>
      <w:r>
        <w:rPr>
          <w:b/>
          <w:bCs/>
          <w:highlight w:val="yellow"/>
          <w:u w:val="none"/>
        </w:rPr>
        <w:t>, 2, 3</w:t>
      </w:r>
      <w:r>
        <w:rPr>
          <w:highlight w:val="yellow"/>
          <w:u w:val="none"/>
        </w:rPr>
        <w:t xml:space="preserve">  </w:t>
      </w:r>
      <w:r>
        <w:rPr>
          <w:highlight w:val="yellow"/>
          <w:u w:val="none"/>
        </w:rPr>
        <w:t>почти</w:t>
      </w:r>
      <w:r>
        <w:rPr>
          <w:highlight w:val="yellow"/>
          <w:u w:val="none"/>
        </w:rPr>
        <w:t xml:space="preserve"> не зависят от аниона</w:t>
      </w:r>
      <w:r>
        <w:rPr/>
      </w:r>
      <w:commentRangeEnd w:id="4"/>
      <w:r>
        <w:commentReference w:id="4"/>
      </w:r>
      <w:r>
        <w:rPr/>
        <w:commentReference w:id="5"/>
      </w:r>
      <w:r>
        <w:rPr/>
        <w:t xml:space="preserve"> </w:t>
      </w:r>
      <w:r>
        <w:rPr>
          <w:highlight w:val="green"/>
        </w:rPr>
        <w:t>при температуре 75 </w:t>
      </w:r>
      <w:r>
        <w:rPr>
          <w:highlight w:val="green"/>
          <w:vertAlign w:val="superscript"/>
        </w:rPr>
        <w:t>о</w:t>
      </w:r>
      <w:r>
        <w:rPr>
          <w:highlight w:val="green"/>
        </w:rPr>
        <w:t>С. Следует заметить, что температурная зависимость величины P</w:t>
      </w:r>
      <w:r>
        <w:rPr>
          <w:highlight w:val="green"/>
          <w:vertAlign w:val="subscript"/>
        </w:rPr>
        <w:t>max</w:t>
      </w:r>
      <w:r>
        <w:rPr>
          <w:highlight w:val="green"/>
        </w:rPr>
        <w:t xml:space="preserve"> для трифлатной соли имеет более крутой характер и при температурах 80 </w:t>
      </w:r>
      <w:r>
        <w:rPr>
          <w:highlight w:val="green"/>
          <w:vertAlign w:val="superscript"/>
        </w:rPr>
        <w:t>о</w:t>
      </w:r>
      <w:r>
        <w:rPr>
          <w:highlight w:val="green"/>
        </w:rPr>
        <w:t>С и 85 </w:t>
      </w:r>
      <w:r>
        <w:rPr>
          <w:highlight w:val="green"/>
          <w:vertAlign w:val="superscript"/>
        </w:rPr>
        <w:t>о</w:t>
      </w:r>
      <w:r>
        <w:rPr>
          <w:highlight w:val="green"/>
        </w:rPr>
        <w:t xml:space="preserve">С значения максимального теплового потока для соли </w:t>
      </w:r>
      <w:r>
        <w:rPr>
          <w:b/>
          <w:bCs/>
          <w:highlight w:val="green"/>
        </w:rPr>
        <w:t>1c</w:t>
      </w:r>
      <w:r>
        <w:rPr>
          <w:highlight w:val="green"/>
        </w:rPr>
        <w:t xml:space="preserve"> значительно выше, чем для солей </w:t>
      </w:r>
      <w:r>
        <w:rPr>
          <w:b/>
          <w:bCs/>
          <w:highlight w:val="green"/>
        </w:rPr>
        <w:t>2</w:t>
      </w:r>
      <w:r>
        <w:rPr>
          <w:highlight w:val="green"/>
        </w:rPr>
        <w:t xml:space="preserve"> и </w:t>
      </w:r>
      <w:r>
        <w:rPr>
          <w:b/>
          <w:bCs/>
          <w:highlight w:val="green"/>
        </w:rPr>
        <w:t>3</w:t>
      </w:r>
      <w:r>
        <w:rPr/>
        <w:t xml:space="preserve">.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w:t>
      </w:r>
      <w:r>
        <w:rPr>
          <w:vertAlign w:val="subscript"/>
        </w:rPr>
        <w:t>max</w:t>
      </w:r>
      <w:r>
        <w:rPr/>
        <w:t xml:space="preserve"> в сравнении с 4-nitroderivative </w:t>
      </w:r>
      <w:r>
        <w:rPr>
          <w:b/>
          <w:bCs/>
        </w:rPr>
        <w:t>1c</w:t>
      </w:r>
      <w:r>
        <w:rPr/>
        <w:commentReference w:id="6"/>
      </w:r>
      <w:r>
        <w:rPr/>
        <w:commentReference w:id="7"/>
      </w:r>
      <w:r>
        <w:rPr/>
        <w:t xml:space="preserve">.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rPr>
        <w:t>Величины максимальных тепловых потоков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ind w:left="0" w:right="0" w:hanging="0"/>
        <w:jc w:val="center"/>
        <w:rPr/>
      </w:pPr>
      <w:r>
        <w:rPr>
          <w:rFonts w:ascii="Standard Symbols L" w:hAnsi="Standard Symbols L"/>
          <w:sz w:val="16"/>
          <w:szCs w:val="16"/>
        </w:rPr>
        <w:t>(</w:t>
      </w:r>
      <w:r>
        <w:rPr>
          <w:rFonts w:ascii="Symbol" w:hAnsi="Symbol"/>
          <w:sz w:val="16"/>
          <w:szCs w:val="16"/>
        </w:rPr>
        <w:t></w:t>
      </w:r>
      <w:r>
        <w:rPr/>
        <w:t>H интегральная энтальпия, P</w:t>
      </w:r>
      <w:r>
        <w:rPr>
          <w:vertAlign w:val="subscript"/>
        </w:rPr>
        <w:t>max</w:t>
      </w:r>
      <w:r>
        <w:rPr/>
        <w:t xml:space="preserve">  величина максимального теплового потока)</w:t>
      </w:r>
    </w:p>
    <w:tbl>
      <w:tblPr>
        <w:tblW w:w="964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811"/>
        <w:gridCol w:w="1083"/>
        <w:gridCol w:w="1083"/>
        <w:gridCol w:w="1109"/>
        <w:gridCol w:w="1163"/>
        <w:gridCol w:w="1152"/>
        <w:gridCol w:w="1239"/>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4"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Pr>
          <w:vertAlign w:val="subscript"/>
        </w:rPr>
        <w:t>0</w:t>
      </w:r>
      <w:r>
        <w:rPr/>
        <w:t>, P</w:t>
      </w:r>
      <w:r>
        <w:rPr>
          <w:vertAlign w:val="subscript"/>
        </w:rPr>
        <w:t>max</w:t>
      </w:r>
      <w:r>
        <w:rPr/>
        <w:t xml:space="preserve"> - величины начального и максимального тепловых потоков </w:t>
      </w:r>
      <w:r>
        <w:rPr>
          <w:color w:val="00000A"/>
        </w:rPr>
        <w:t>в уравнении автокаталитической реакции 2</w:t>
      </w:r>
      <w:r>
        <w:rPr/>
        <w:t xml:space="preserve">. Кинетические параметры уравнения 2 аппроксимирующие экспериментальные зависимости тепловых потоков  для солей </w:t>
      </w:r>
      <w:r>
        <w:rPr>
          <w:b/>
          <w:bCs/>
        </w:rPr>
        <w:t>1a-1d, 2, 3</w:t>
      </w:r>
      <w:r>
        <w:rP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left="0" w:right="0"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ind w:left="0" w:right="0" w:hanging="0"/>
        <w:jc w:val="center"/>
        <w:rPr/>
      </w:pPr>
      <w:r>
        <w:rPr>
          <w:highlight w:val="white"/>
        </w:rPr>
        <w:t xml:space="preserve">(где </w:t>
      </w:r>
      <w:commentRangeStart w:id="8"/>
      <w:r>
        <w:rPr>
          <w:i/>
          <w:iCs/>
          <w:highlight w:val="yellow"/>
        </w:rPr>
        <w:t>A</w:t>
      </w:r>
      <w:r>
        <w:rPr>
          <w:highlight w:val="yellow"/>
          <w:vertAlign w:val="subscript"/>
        </w:rPr>
        <w:t>0</w:t>
      </w:r>
      <w:r>
        <w:rPr>
          <w:highlight w:val="yellow"/>
        </w:rPr>
        <w:t xml:space="preserve"> - начальная концентрация исходной ДС</w:t>
      </w:r>
      <w:r>
        <w:rPr/>
      </w:r>
      <w:commentRangeEnd w:id="8"/>
      <w:r>
        <w:commentReference w:id="8"/>
      </w:r>
      <w:r>
        <w:rPr/>
        <w:commentReference w:id="9"/>
      </w:r>
      <w:r>
        <w:rPr/>
        <w:t xml:space="preserve">, </w:t>
      </w:r>
      <w:r>
        <w:rPr>
          <w:highlight w:val="white"/>
        </w:rPr>
        <w:t xml:space="preserve"> </w:t>
      </w:r>
      <w:r>
        <w:rPr>
          <w:highlight w:val="green"/>
        </w:rPr>
        <w:t>для твердофазных реакций выража</w:t>
      </w:r>
      <w:r>
        <w:rPr>
          <w:highlight w:val="green"/>
        </w:rPr>
        <w:t>е</w:t>
      </w:r>
      <w:r>
        <w:rPr>
          <w:highlight w:val="green"/>
        </w:rPr>
        <w:t xml:space="preserve">тся в моль/г </w:t>
      </w:r>
      <w:r>
        <w:rPr>
          <w:highlight w:val="green"/>
        </w:rPr>
        <w:t>(величина обратная молярной массе)</w:t>
      </w:r>
      <w:r>
        <w:rPr>
          <w:highlight w:val="white"/>
        </w:rPr>
        <w:t xml:space="preserve">;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продуктов, </w:t>
      </w:r>
      <w:r>
        <w:rPr>
          <w:highlight w:val="green"/>
        </w:rPr>
        <w:t>[</w:t>
      </w:r>
      <w:r>
        <w:rPr>
          <w:highlight w:val="green"/>
        </w:rPr>
        <w:t>моль/г</w:t>
      </w:r>
      <w:r>
        <w:rPr>
          <w:highlight w:val="green"/>
        </w:rPr>
        <w:t>]</w:t>
      </w:r>
      <w:r>
        <w:rPr>
          <w:highlight w:val="white"/>
        </w:rPr>
        <w:t xml:space="preserve">;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Pr/>
        <w:t xml:space="preserve">исследуемых процессов </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pPr>
        <w:pStyle w:val="Normal"/>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pPr>
      <w:r>
        <w:rPr/>
        <w:t>Экспериментальные кривые теплового потока в изотермическом эксперименте для сол</w:t>
      </w:r>
      <w:r>
        <w:rPr/>
        <w:t>и</w:t>
      </w:r>
      <w:r>
        <w:rPr/>
        <w:t xml:space="preserve"> </w:t>
      </w:r>
      <w:r>
        <w:rPr>
          <w:b/>
          <w:bCs/>
        </w:rPr>
        <w:t>1a</w:t>
      </w:r>
      <w:r>
        <w:rPr/>
        <w:t xml:space="preserve"> имеют имеют более сложный характер</w:t>
      </w:r>
      <w:r>
        <w:rPr>
          <w:highlight w:val="green"/>
        </w:rPr>
        <w:t xml:space="preserve"> </w:t>
      </w:r>
      <w:r>
        <w:rPr>
          <w:highlight w:val="green"/>
        </w:rPr>
        <w:t>и отличается от кривых характерных для автокаталитическ</w:t>
      </w:r>
      <w:r>
        <w:rPr>
          <w:highlight w:val="green"/>
        </w:rPr>
        <w:t>ого</w:t>
      </w:r>
      <w:r>
        <w:rPr>
          <w:highlight w:val="green"/>
        </w:rPr>
        <w:t xml:space="preserve"> процесс</w:t>
      </w:r>
      <w:r>
        <w:rPr>
          <w:highlight w:val="green"/>
        </w:rPr>
        <w:t>а</w:t>
      </w:r>
      <w:r>
        <w:rPr>
          <w:highlight w:val="green"/>
        </w:rPr>
        <w:t xml:space="preserve">, </w:t>
      </w:r>
      <w:r>
        <w:rPr>
          <w:highlight w:val="green"/>
        </w:rPr>
        <w:t xml:space="preserve">на начальном этапе наблюдается </w:t>
      </w:r>
      <w:r>
        <w:rPr>
          <w:highlight w:val="green"/>
        </w:rPr>
        <w:t xml:space="preserve">уменьшение </w:t>
      </w:r>
      <w:r>
        <w:rPr>
          <w:highlight w:val="green"/>
        </w:rPr>
        <w:t>теплового потока (</w:t>
      </w:r>
      <w:r>
        <w:rPr>
          <w:highlight w:val="green"/>
        </w:rPr>
        <w:t>преобладание скорости эндотермического процесса</w:t>
      </w:r>
      <w:r>
        <w:rPr>
          <w:highlight w:val="green"/>
        </w:rPr>
        <w:t xml:space="preserve">) </w:t>
      </w:r>
      <w:r>
        <w:rPr>
          <w:highlight w:val="green"/>
        </w:rPr>
        <w:t xml:space="preserve">с последующим возрастанием </w:t>
      </w:r>
      <w:r>
        <w:rPr>
          <w:highlight w:val="green"/>
        </w:rPr>
        <w:t>(преобладанием экзотермического процесса)</w:t>
      </w:r>
      <w:r>
        <w:rPr>
          <w:highlight w:val="green"/>
        </w:rPr>
        <w:t xml:space="preserve">, наличие </w:t>
      </w:r>
      <w:commentRangeStart w:id="10"/>
      <w:r>
        <w:rPr>
          <w:highlight w:val="green"/>
          <w:u w:val="none"/>
        </w:rPr>
        <w:t>эндотермическ</w:t>
      </w:r>
      <w:r>
        <w:rPr>
          <w:highlight w:val="green"/>
          <w:u w:val="none"/>
        </w:rPr>
        <w:t>ого</w:t>
      </w:r>
      <w:r>
        <w:rPr>
          <w:highlight w:val="green"/>
          <w:u w:val="none"/>
        </w:rPr>
        <w:t xml:space="preserve"> процесс</w:t>
      </w:r>
      <w:r>
        <w:rPr>
          <w:highlight w:val="green"/>
          <w:u w:val="none"/>
        </w:rPr>
        <w:t>а</w:t>
      </w:r>
      <w:r>
        <w:rPr>
          <w:highlight w:val="green"/>
        </w:rPr>
        <w:t xml:space="preserve">  </w:t>
      </w:r>
      <w:r>
        <w:rPr>
          <w:highlight w:val="green"/>
        </w:rPr>
      </w:r>
      <w:commentRangeEnd w:id="10"/>
      <w:r>
        <w:commentReference w:id="10"/>
      </w:r>
      <w:r>
        <w:rPr>
          <w:highlight w:val="green"/>
        </w:rPr>
        <w:commentReference w:id="11"/>
      </w:r>
      <w:r>
        <w:rPr>
          <w:highlight w:val="green"/>
        </w:rPr>
        <w:t xml:space="preserve">согласуется с данными ДСК </w:t>
      </w:r>
      <w:r>
        <w:rPr>
          <w:highlight w:val="green"/>
        </w:rPr>
        <w:t>(таблица 1)</w:t>
      </w:r>
      <w:r>
        <w:rPr/>
        <w:t>.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w:t>
      </w:r>
      <w:r>
        <w:rPr/>
        <w:t>и</w:t>
      </w:r>
      <w:r>
        <w:rPr/>
        <w:t xml:space="preserve"> </w:t>
      </w:r>
      <w:r>
        <w:rPr>
          <w:b/>
          <w:bCs/>
        </w:rPr>
        <w:t>1a</w:t>
      </w:r>
      <w:r>
        <w:rPr/>
        <w:t xml:space="preserve"> приведены параметры аппроксимации кинетики тепловыделения одним автокаталитическим процессом, соответствующим основной экзотермической стадии, которая  определяет </w:t>
      </w:r>
      <w:r>
        <w:rPr/>
        <w:t xml:space="preserve">основные </w:t>
      </w:r>
      <w:r>
        <w:rPr/>
        <w:t>характеристики безопасности и устойчивости ДС.</w:t>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4.06</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8.82</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14.7</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0.00026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0.00055</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0.0097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4.46</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4.84</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11.38</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noBreakHyphen/>
        <w:t xml:space="preserve">метоксифенилдиазония </w:t>
      </w:r>
      <w:r>
        <w:rPr>
          <w:b/>
          <w:color w:val="000000"/>
        </w:rPr>
        <w:t>1d</w:t>
      </w:r>
      <w:r>
        <w:rPr>
          <w:color w:val="000000"/>
        </w:rPr>
        <w:t xml:space="preserve"> - 5.37 mW/g (рисунок 8).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8.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t xml:space="preserve"> – 45 ч., значительно менее стабильны мета- </w:t>
      </w:r>
      <w:r>
        <w:rPr>
          <w:b/>
          <w:bCs/>
        </w:rPr>
        <w:t>1</w:t>
      </w:r>
      <w:r>
        <w:rPr>
          <w:b/>
          <w:bCs/>
          <w:lang w:val="en-US"/>
        </w:rPr>
        <w:t>b</w:t>
      </w:r>
      <w:r>
        <w:rPr/>
        <w:t xml:space="preserve"> – 11 ч.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9.</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r>
      <w:r>
        <w:br w:type="page"/>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499"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5"/>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10.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ДСК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pPr>
        <w:pStyle w:val="Normal"/>
        <w:rPr/>
      </w:pPr>
      <w:r>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t xml:space="preserve">Рисунок 11. Тепловые потоки (P) </w:t>
      </w:r>
      <w:r>
        <w:rPr>
          <w:color w:val="000000"/>
        </w:rPr>
        <w:t>рассчитанные на основе моделирования  кинетических кривых</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 xml:space="preserve">Рисунок 12. Тепловые потоки (P) рассчитанные на основе моделирования  кинетических кривых разложения 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w:t>
      </w:r>
    </w:p>
    <w:p>
      <w:pPr>
        <w:pStyle w:val="Normal"/>
        <w:tabs>
          <w:tab w:val="left" w:pos="0" w:leader="none"/>
        </w:tabs>
        <w:ind w:left="0" w:right="0" w:hanging="0"/>
        <w:jc w:val="center"/>
        <w:rPr/>
      </w:pPr>
      <w:r>
        <w:rPr/>
        <w:t>4-нитробензолдиазония при 25 </w:t>
      </w:r>
      <w:r>
        <w:rPr>
          <w:vertAlign w:val="superscript"/>
        </w:rPr>
        <w:t>о</w:t>
      </w:r>
      <w:r>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Normal"/>
        <w:tabs>
          <w:tab w:val="center" w:pos="218" w:leader="none"/>
        </w:tabs>
        <w:rPr>
          <w:highlight w:val="green"/>
        </w:rPr>
      </w:pPr>
      <w:commentRangeStart w:id="12"/>
      <w:r>
        <w:rPr>
          <w:highlight w:val="green"/>
        </w:rPr>
        <w:t xml:space="preserve">Проведение только ТГ/ДСК исследования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w:t>
      </w:r>
      <w:r>
        <w:rPr>
          <w:highlight w:val="green"/>
        </w:rPr>
        <w:t>Исследование термической стабильности</w:t>
      </w:r>
      <w:r>
        <w:rPr>
          <w:highlight w:val="green"/>
        </w:rPr>
        <w:t xml:space="preserve"> следует дополнять более подробным изучением кинетики методом </w:t>
      </w:r>
      <w:r>
        <w:rPr>
          <w:highlight w:val="green"/>
        </w:rPr>
        <w:t>и</w:t>
      </w:r>
      <w:r>
        <w:rPr>
          <w:rFonts w:eastAsia="Times New Roman" w:cs="Times New Roman"/>
          <w:highlight w:val="green"/>
        </w:rPr>
        <w:t xml:space="preserve">зотермической </w:t>
      </w:r>
      <w:r>
        <w:rPr>
          <w:highlight w:val="green"/>
        </w:rPr>
        <w:t xml:space="preserve">потоковой калориметрии, с определением величин максимальных тепловых потоков, </w:t>
      </w:r>
      <w:r>
        <w:rPr>
          <w:highlight w:val="green"/>
        </w:rPr>
        <w:t>периодов полураспада, энергий активации</w:t>
      </w:r>
      <w:r>
        <w:rPr>
          <w:highlight w:val="green"/>
        </w:rPr>
        <w:t xml:space="preserve"> и аппроксимацией кинетики на нормальные условия.</w:t>
      </w:r>
    </w:p>
    <w:p>
      <w:pPr>
        <w:pStyle w:val="Normal"/>
        <w:tabs>
          <w:tab w:val="center" w:pos="218" w:leader="none"/>
        </w:tabs>
        <w:rPr>
          <w:highlight w:val="green"/>
        </w:rPr>
      </w:pPr>
      <w:r>
        <w:rPr>
          <w:highlight w:val="green"/>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highlight w:val="green"/>
        </w:rPr>
        <w:t>трифлат 3-нитрофенилдиазония</w:t>
      </w:r>
      <w:r>
        <w:rPr>
          <w:highlight w:val="green"/>
        </w:rPr>
        <w:t>. 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highlight w:val="green"/>
        </w:rPr>
      </w:pPr>
      <w:r>
        <w:rPr>
          <w:highlight w:val="green"/>
        </w:rPr>
        <w:t xml:space="preserve">По результатам </w:t>
      </w:r>
      <w:r>
        <w:rPr>
          <w:rFonts w:eastAsia="Times New Roman" w:cs="Times New Roman"/>
          <w:highlight w:val="green"/>
        </w:rPr>
        <w:t xml:space="preserve">изотермической </w:t>
      </w:r>
      <w:r>
        <w:rPr>
          <w:highlight w:val="green"/>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commentRangeEnd w:id="12"/>
      <w:r>
        <w:commentReference w:id="12"/>
      </w:r>
      <w:r>
        <w:rPr>
          <w:highlight w:val="green"/>
        </w:rPr>
      </w:r>
    </w:p>
    <w:p>
      <w:pPr>
        <w:pStyle w:val="2"/>
        <w:numPr>
          <w:ilvl w:val="1"/>
          <w:numId w:val="2"/>
        </w:numPr>
        <w:ind w:left="0" w:right="0" w:firstLine="397"/>
        <w:rPr/>
      </w:pPr>
      <w:r>
        <w:rPr>
          <w:bCs/>
          <w:lang w:val="en-US"/>
        </w:rPr>
        <w:t>GC</w:t>
      </w:r>
      <w:r>
        <w:rPr>
          <w:bCs/>
        </w:rPr>
        <w:t>-</w:t>
      </w:r>
      <w:r>
        <w:rPr>
          <w:bCs/>
          <w:lang w:val="en-US"/>
        </w:rPr>
        <w:t>MS</w:t>
      </w:r>
      <w:r>
        <w:rPr>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b w:val="false"/>
          <w:bCs w:val="false"/>
        </w:rPr>
        <w:t xml:space="preserve">, </w:t>
      </w:r>
      <w:r>
        <w:rPr>
          <w:b/>
        </w:rPr>
        <w:t>1c</w:t>
      </w:r>
      <w:r>
        <w:rPr>
          <w:b w:val="false"/>
          <w:bCs w:val="false"/>
        </w:rPr>
        <w:t xml:space="preserve">, </w:t>
      </w:r>
      <w:r>
        <w:rPr>
          <w:b/>
          <w:highlight w:val="green"/>
        </w:rPr>
        <w:t>1d</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rPr/>
        <w:t xml:space="preserve">В общем, для солей </w:t>
      </w:r>
      <w:commentRangeStart w:id="13"/>
      <w:r>
        <w:rPr>
          <w:b/>
          <w:bCs/>
          <w:highlight w:val="yellow"/>
        </w:rPr>
        <w:t>1b</w:t>
      </w:r>
      <w:r>
        <w:rPr>
          <w:highlight w:val="yellow"/>
        </w:rPr>
        <w:t xml:space="preserve">, </w:t>
      </w:r>
      <w:r>
        <w:rPr>
          <w:b/>
          <w:bCs/>
          <w:highlight w:val="yellow"/>
        </w:rPr>
        <w:t>1c</w:t>
      </w:r>
      <w:r>
        <w:rPr/>
      </w:r>
      <w:commentRangeEnd w:id="13"/>
      <w:r>
        <w:commentReference w:id="13"/>
      </w:r>
      <w:r>
        <w:rPr/>
        <w:commentReference w:id="14"/>
      </w:r>
      <w:r>
        <w:rPr/>
        <w:t xml:space="preserve">, </w:t>
      </w:r>
      <w:r>
        <w:rPr>
          <w:b/>
          <w:bCs/>
          <w:highlight w:val="green"/>
        </w:rPr>
        <w:t>1d</w:t>
      </w:r>
      <w:r>
        <w:rPr/>
        <w:t xml:space="preserve">, </w:t>
      </w:r>
      <w:r>
        <w:rPr>
          <w:b/>
          <w:bCs/>
        </w:rPr>
        <w:t>2</w:t>
      </w:r>
      <w:r>
        <w:rPr/>
        <w:t xml:space="preserve">, </w:t>
      </w:r>
      <w:r>
        <w:rPr>
          <w:b/>
          <w:bCs/>
        </w:rPr>
        <w:t>3</w:t>
      </w:r>
      <w:r>
        <w:rP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pPr>
        <w:pStyle w:val="Normal"/>
        <w:ind w:left="0" w:right="0" w:hanging="0"/>
        <w:rPr/>
      </w:pPr>
      <w:r>
        <w:rPr/>
      </w:r>
    </w:p>
    <w:p>
      <w:pPr>
        <w:pStyle w:val="Normal"/>
        <w:ind w:left="0" w:right="0" w:hanging="0"/>
        <w:jc w:val="center"/>
        <w:rPr/>
      </w:pPr>
      <w:r>
        <w:rPr/>
        <w:drawing>
          <wp:inline distT="0" distB="0" distL="0" distR="0">
            <wp:extent cx="4704715" cy="727710"/>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3"/>
                    <a:stretch>
                      <a:fillRect/>
                    </a:stretch>
                  </pic:blipFill>
                  <pic:spPr bwMode="auto">
                    <a:xfrm>
                      <a:off x="0" y="0"/>
                      <a:ext cx="4704715" cy="727710"/>
                    </a:xfrm>
                    <a:prstGeom prst="rect">
                      <a:avLst/>
                    </a:prstGeom>
                  </pic:spPr>
                </pic:pic>
              </a:graphicData>
            </a:graphic>
          </wp:inline>
        </w:drawing>
      </w:r>
    </w:p>
    <w:p>
      <w:pPr>
        <w:pStyle w:val="Normal"/>
        <w:bidi w:val="0"/>
        <w:spacing w:before="0" w:after="113"/>
        <w:ind w:left="0" w:right="0" w:hanging="0"/>
        <w:jc w:val="center"/>
        <w:rPr>
          <w:rFonts w:ascii="FreeSans" w:hAnsi="FreeSans"/>
          <w:sz w:val="22"/>
          <w:szCs w:val="22"/>
        </w:rPr>
      </w:pPr>
      <w:r>
        <w:rPr>
          <w:rFonts w:ascii="FreeSans" w:hAnsi="FreeSans"/>
          <w:sz w:val="22"/>
          <w:szCs w:val="22"/>
          <w:lang w:val="en-US" w:eastAsia="ru-RU" w:bidi="ar-SA"/>
        </w:rPr>
        <w:t xml:space="preserve">Nu </w:t>
      </w:r>
      <w:r>
        <w:rPr>
          <w:rFonts w:ascii="FreeSans" w:hAnsi="FreeSans"/>
          <w:sz w:val="22"/>
          <w:szCs w:val="22"/>
          <w:lang w:eastAsia="ru-RU" w:bidi="ar-SA"/>
        </w:rPr>
        <w:t xml:space="preserve">= </w:t>
      </w:r>
      <w:r>
        <w:rPr>
          <w:rFonts w:ascii="FreeSans" w:hAnsi="FreeSans"/>
          <w:sz w:val="22"/>
          <w:szCs w:val="22"/>
          <w:lang w:val="en-US" w:eastAsia="ru-RU" w:bidi="ar-SA"/>
        </w:rPr>
        <w:t>F</w:t>
      </w:r>
      <w:r>
        <w:rPr>
          <w:rFonts w:ascii="FreeSans" w:hAnsi="FreeSans"/>
          <w:sz w:val="22"/>
          <w:szCs w:val="22"/>
          <w:lang w:eastAsia="ru-RU" w:bidi="ar-SA"/>
        </w:rPr>
        <w:t xml:space="preserve">, </w:t>
      </w:r>
      <w:r>
        <w:rPr>
          <w:rFonts w:ascii="FreeSans" w:hAnsi="FreeSans"/>
          <w:sz w:val="22"/>
          <w:szCs w:val="22"/>
          <w:lang w:val="en-US" w:eastAsia="ru-RU" w:bidi="ar-SA"/>
        </w:rPr>
        <w:t>TsO</w:t>
      </w:r>
      <w:r>
        <w:rPr>
          <w:rFonts w:ascii="FreeSans" w:hAnsi="FreeSans"/>
          <w:sz w:val="22"/>
          <w:szCs w:val="22"/>
          <w:lang w:eastAsia="ru-RU" w:bidi="ar-SA"/>
        </w:rPr>
        <w:t xml:space="preserve">, </w:t>
      </w:r>
      <w:r>
        <w:rPr>
          <w:rFonts w:ascii="FreeSans" w:hAnsi="FreeSans"/>
          <w:sz w:val="22"/>
          <w:szCs w:val="22"/>
          <w:lang w:val="en-US" w:eastAsia="ru-RU" w:bidi="ar-SA"/>
        </w:rPr>
        <w:t>TfO</w:t>
      </w:r>
    </w:p>
    <w:p>
      <w:pPr>
        <w:pStyle w:val="Normal"/>
        <w:rPr/>
      </w:pPr>
      <w:r>
        <w:rPr/>
        <w:t xml:space="preserve">Совершенно иной процесс проходит при разложении соли </w:t>
      </w:r>
      <w:r>
        <w:rPr>
          <w:b/>
        </w:rPr>
        <w:t>1</w:t>
      </w:r>
      <w:r>
        <w:rPr>
          <w:b/>
          <w:lang w:val="en-US"/>
        </w:rPr>
        <w:t>a</w:t>
      </w:r>
      <w:r>
        <w:rPr/>
        <w:t xml:space="preserve"> с нитро-группой в </w:t>
      </w:r>
      <w:r>
        <w:rPr>
          <w:i/>
        </w:rPr>
        <w:t>орто</w:t>
      </w:r>
      <w:r>
        <w:rP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rP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pPr>
        <w:pStyle w:val="Normal"/>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74.1; 297.1; 520.2; 743.2</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 xml:space="preserve">432.1; 553.1; 674.1; 795.1; 916.1; 1037.1; 1158.1 </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525.1; 646.1; 767.1; 888.1; 1009.1; 1130.1</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588.2; 710.1; 831.2; 952.2;</w:t>
            </w:r>
          </w:p>
          <w:p>
            <w:pPr>
              <w:pStyle w:val="Style24"/>
              <w:ind w:left="0" w:right="0" w:hanging="0"/>
              <w:jc w:val="center"/>
              <w:rPr>
                <w:lang w:val="en-US"/>
              </w:rPr>
            </w:pPr>
            <w:r>
              <w:rPr>
                <w:lang w:val="en-US"/>
              </w:rPr>
            </w:r>
          </w:p>
          <w:p>
            <w:pPr>
              <w:pStyle w:val="Style24"/>
              <w:ind w:left="0" w:right="0"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t xml:space="preserve">Цепочка </w:t>
            </w:r>
            <w:r>
              <w:rPr>
                <w:lang w:val="en-US"/>
              </w:rPr>
              <w:t>P</w:t>
            </w:r>
            <w:r>
              <w:rP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 xml:space="preserve">394.0; 515.0; 635.9; </w:t>
            </w:r>
          </w:p>
          <w:p>
            <w:pPr>
              <w:pStyle w:val="Style24"/>
              <w:ind w:left="0" w:right="0" w:hanging="0"/>
              <w:jc w:val="center"/>
              <w:rPr>
                <w:lang w:val="en-US"/>
              </w:rPr>
            </w:pPr>
            <w:r>
              <w:rPr>
                <w:lang w:val="en-US"/>
              </w:rPr>
              <w:t>756.9; 877.8; 998.8; 1119.7</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 xml:space="preserve">380.1; 501.1; 622.1; </w:t>
            </w:r>
          </w:p>
          <w:p>
            <w:pPr>
              <w:pStyle w:val="Style24"/>
              <w:ind w:left="0" w:right="0" w:hanging="0"/>
              <w:jc w:val="center"/>
              <w:rPr>
                <w:lang w:val="en-US"/>
              </w:rPr>
            </w:pPr>
            <w:r>
              <w:rPr>
                <w:lang w:val="en-US"/>
              </w:rPr>
              <w:t>743.1; 864.1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528.0; 649.1; 770.1; 891.1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149.0</w:t>
            </w:r>
          </w:p>
          <w:p>
            <w:pPr>
              <w:pStyle w:val="Style24"/>
              <w:ind w:left="0" w:right="0" w:hanging="0"/>
              <w:jc w:val="center"/>
              <w:rPr>
                <w:lang w:val="en-US"/>
              </w:rPr>
            </w:pPr>
            <w:r>
              <w:rPr>
                <w:lang w:val="en-US"/>
              </w:rPr>
              <w:t xml:space="preserve">276.8; 320.9; 436.7; </w:t>
            </w:r>
          </w:p>
          <w:p>
            <w:pPr>
              <w:pStyle w:val="Style24"/>
              <w:ind w:left="0" w:right="0"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color w:val="000000"/>
                <w:lang w:val="en-US"/>
              </w:rPr>
              <w:t>TfO</w:t>
            </w:r>
            <w:r>
              <w:rPr>
                <w:color w:val="000000"/>
                <w:vertAlign w:val="superscript"/>
                <w:lang w:val="en-US"/>
              </w:rPr>
              <w:t>-</w:t>
            </w:r>
          </w:p>
          <w:p>
            <w:pPr>
              <w:pStyle w:val="Style24"/>
              <w:ind w:left="0" w:right="0" w:hanging="0"/>
              <w:jc w:val="center"/>
              <w:rPr>
                <w:color w:val="000000"/>
                <w:lang w:val="en-US"/>
              </w:rPr>
            </w:pPr>
            <w:r>
              <w:rPr>
                <w:color w:val="000000"/>
                <w:lang w:val="en-US"/>
              </w:rPr>
            </w:r>
          </w:p>
        </w:tc>
      </w:tr>
    </w:tbl>
    <w:p>
      <w:pPr>
        <w:pStyle w:val="Normal"/>
        <w:jc w:val="center"/>
        <w:rPr>
          <w:color w:val="000000"/>
        </w:rPr>
      </w:pPr>
      <w:r>
        <w:rPr>
          <w:color w:val="000000"/>
        </w:rPr>
      </w:r>
    </w:p>
    <w:p>
      <w:pPr>
        <w:pStyle w:val="Normal"/>
        <w:rPr/>
      </w:pPr>
      <w:r>
        <w:rPr>
          <w:color w:val="000000"/>
          <w:highlight w:val="green"/>
        </w:rPr>
        <w:t>Наличие смолообразных продуктов вероятно связано с процессами полимеризации</w:t>
      </w:r>
      <w:r>
        <w:rPr>
          <w:color w:val="000000"/>
          <w:highlight w:val="green"/>
        </w:rPr>
        <w:t>,</w:t>
      </w:r>
      <w:r>
        <w:rPr>
          <w:color w:val="000000"/>
          <w:highlight w:val="green"/>
        </w:rPr>
        <w:t xml:space="preserve"> </w:t>
      </w:r>
      <w:r>
        <w:rPr>
          <w:color w:val="000000"/>
          <w:highlight w:val="green"/>
        </w:rPr>
        <w:t>э</w:t>
      </w:r>
      <w:r>
        <w:rPr>
          <w:color w:val="000000"/>
          <w:highlight w:val="green"/>
        </w:rPr>
        <w:t xml:space="preserve">ти полимерные продукты обнаружены в спектрах ДС </w:t>
      </w:r>
      <w:r>
        <w:rPr>
          <w:b/>
          <w:bCs/>
          <w:color w:val="000000"/>
          <w:highlight w:val="green"/>
        </w:rPr>
        <w:t>1a</w:t>
      </w:r>
      <w:r>
        <w:rPr>
          <w:color w:val="000000"/>
          <w:highlight w:val="green"/>
        </w:rPr>
        <w:t>.</w:t>
      </w:r>
      <w:r>
        <w:rPr>
          <w:color w:val="000000"/>
        </w:rPr>
        <w:t xml:space="preserve"> </w:t>
      </w:r>
      <w:commentRangeStart w:id="15"/>
      <w:r>
        <w:rPr>
          <w:highlight w:val="yellow"/>
        </w:rPr>
        <w:t xml:space="preserve">Различия молекулярных масс образующихся полимерных продуктов разложения соли </w:t>
      </w:r>
      <w:r>
        <w:rPr>
          <w:b/>
          <w:bCs/>
          <w:color w:val="000000"/>
          <w:highlight w:val="yellow"/>
        </w:rPr>
        <w:t>1a</w:t>
      </w:r>
      <w:r>
        <w:rPr/>
      </w:r>
      <w:commentRangeEnd w:id="15"/>
      <w:r>
        <w:commentReference w:id="15"/>
      </w:r>
      <w:r>
        <w:rPr/>
        <w:commentReference w:id="16"/>
      </w:r>
      <w:r>
        <w:rPr>
          <w:highlight w:val="yellow"/>
        </w:rPr>
        <w:t xml:space="preserve"> точно на величины </w:t>
      </w:r>
      <w:r>
        <w:rPr>
          <w:rFonts w:ascii="Symbol" w:hAnsi="Symbol"/>
          <w:color w:val="000000"/>
          <w:sz w:val="20"/>
          <w:szCs w:val="20"/>
          <w:highlight w:val="yellow"/>
        </w:rPr>
        <w:t></w:t>
      </w:r>
      <w:r>
        <w:rPr>
          <w:color w:val="000000"/>
          <w:highlight w:val="yellow"/>
        </w:rPr>
        <w:t>M/Z=121.0, отвечающих бензин-производному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rPr>
        <w:t xml:space="preserve">], заставляет полагать, что данный интермедиат является основной мономерной строительной единицей. Его первичное образование из исходной диазониевой соли </w:t>
      </w:r>
      <w:r>
        <w:rPr>
          <w:b/>
          <w:bCs/>
          <w:color w:val="000000"/>
          <w:highlight w:val="yellow"/>
        </w:rPr>
        <w:t>1a</w:t>
      </w:r>
      <w:r>
        <w:rPr>
          <w:color w:val="000000"/>
          <w:highlight w:val="yellow"/>
        </w:rPr>
        <w:t xml:space="preserve"> может быть представлено уравнением 4. </w:t>
      </w:r>
    </w:p>
    <w:p>
      <w:pPr>
        <w:pStyle w:val="Normal"/>
        <w:tabs>
          <w:tab w:val="left" w:pos="0" w:leader="none"/>
        </w:tabs>
        <w:ind w:left="0" w:right="0" w:hanging="0"/>
        <w:jc w:val="center"/>
        <w:rPr/>
      </w:pPr>
      <w:r>
        <w:rPr/>
        <w:drawing>
          <wp:inline distT="0" distB="0" distL="0" distR="0">
            <wp:extent cx="3842385" cy="1675765"/>
            <wp:effectExtent l="0" t="0" r="0" b="0"/>
            <wp:docPr id="2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descr=""/>
                    <pic:cNvPicPr>
                      <a:picLocks noChangeAspect="1" noChangeArrowheads="1"/>
                    </pic:cNvPicPr>
                  </pic:nvPicPr>
                  <pic:blipFill>
                    <a:blip r:embed="rId24"/>
                    <a:stretch>
                      <a:fillRect/>
                    </a:stretch>
                  </pic:blipFill>
                  <pic:spPr bwMode="auto">
                    <a:xfrm>
                      <a:off x="0" y="0"/>
                      <a:ext cx="3842385" cy="1675765"/>
                    </a:xfrm>
                    <a:prstGeom prst="rect">
                      <a:avLst/>
                    </a:prstGeom>
                  </pic:spPr>
                </pic:pic>
              </a:graphicData>
            </a:graphic>
          </wp:inline>
        </w:drawing>
      </w:r>
      <w:r>
        <w:rPr/>
        <w:t xml:space="preserve"> </w:t>
      </w:r>
    </w:p>
    <w:p>
      <w:pPr>
        <w:pStyle w:val="Normal"/>
        <w:tabs>
          <w:tab w:val="left" w:pos="0" w:leader="none"/>
        </w:tabs>
        <w:ind w:left="0" w:right="0" w:hanging="0"/>
        <w:jc w:val="left"/>
        <w:rPr>
          <w:highlight w:val="red"/>
        </w:rPr>
      </w:pPr>
      <w:commentRangeStart w:id="17"/>
      <w:r>
        <w:rPr>
          <w:highlight w:val="red"/>
        </w:rPr>
        <w:t xml:space="preserve">Не очень понятная схема в части, что есть </w:t>
      </w:r>
      <w:r>
        <w:rPr>
          <w:highlight w:val="red"/>
          <w:lang w:val="en-US"/>
        </w:rPr>
        <w:t>R</w:t>
      </w:r>
      <w:r>
        <w:rPr>
          <w:highlight w:val="red"/>
          <w:vertAlign w:val="superscript"/>
        </w:rPr>
        <w:t>+</w:t>
      </w:r>
      <w:r>
        <w:rPr>
          <w:highlight w:val="red"/>
        </w:rPr>
        <w:t xml:space="preserve"> ? Может быть, </w:t>
      </w:r>
      <w:r>
        <w:rPr>
          <w:highlight w:val="red"/>
          <w:lang w:val="en-US"/>
        </w:rPr>
        <w:t>R</w:t>
      </w:r>
      <w:r>
        <w:rPr>
          <w:highlight w:val="red"/>
        </w:rPr>
        <w:t xml:space="preserve"> нам в этой статье и не нужен ?</w:t>
      </w:r>
      <w:commentRangeEnd w:id="17"/>
      <w:r>
        <w:commentReference w:id="17"/>
      </w:r>
      <w:r>
        <w:rPr>
          <w:highlight w:val="red"/>
        </w:rPr>
      </w:r>
    </w:p>
    <w:p>
      <w:pPr>
        <w:pStyle w:val="Normal"/>
        <w:rPr/>
      </w:pPr>
      <w:r>
        <w:rPr>
          <w:color w:val="000000"/>
          <w:highlight w:val="yellow"/>
        </w:rPr>
        <w:t xml:space="preserve">Дальнейший процесс полимеризации (роста цепи) с участием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Pr>
          <w:b/>
          <w:bCs/>
          <w:color w:val="000000"/>
          <w:highlight w:val="yellow"/>
        </w:rPr>
        <w:t>1a</w:t>
      </w:r>
      <w:r>
        <w:rPr>
          <w:color w:val="000000"/>
          <w:highlight w:val="yellow"/>
        </w:rPr>
        <w:t xml:space="preserve"> </w:t>
      </w:r>
      <w:r>
        <w:rPr>
          <w:color w:val="000000"/>
          <w:highlight w:val="green"/>
        </w:rPr>
        <w:t xml:space="preserve">может быть представлено структурой </w:t>
      </w:r>
      <w:r>
        <w:rPr>
          <w:color w:val="000000"/>
          <w:highlight w:val="green"/>
        </w:rPr>
        <w:t>в</w:t>
      </w:r>
      <w:r>
        <w:rPr>
          <w:color w:val="000000"/>
          <w:highlight w:val="green"/>
        </w:rPr>
        <w:t xml:space="preserve"> схеме 5</w:t>
      </w:r>
      <w:r>
        <w:rPr>
          <w:color w:val="000000"/>
          <w:highlight w:val="yellow"/>
        </w:rPr>
        <w:t xml:space="preserve">. </w:t>
      </w:r>
    </w:p>
    <w:p>
      <w:pPr>
        <w:pStyle w:val="Normal"/>
        <w:rPr/>
      </w:pPr>
      <w:r>
        <w:rPr>
          <w:highlight w:val="yellow"/>
        </w:rPr>
        <w:t xml:space="preserve">Важно, что обнаруженная особенность разложения соли </w:t>
      </w:r>
      <w:r>
        <w:rPr>
          <w:b/>
          <w:bCs/>
          <w:color w:val="000000"/>
          <w:highlight w:val="yellow"/>
        </w:rPr>
        <w:t>1a</w:t>
      </w:r>
      <w:r>
        <w:rPr>
          <w:bCs/>
          <w:color w:val="000000"/>
          <w:highlight w:val="yellow"/>
        </w:rPr>
        <w:t>, в частности, с</w:t>
      </w:r>
      <w:r>
        <w:rPr>
          <w:b/>
          <w:bCs/>
          <w:color w:val="000000"/>
          <w:highlight w:val="yellow"/>
        </w:rPr>
        <w:t xml:space="preserve"> </w:t>
      </w:r>
      <w:r>
        <w:rPr>
          <w:bCs/>
          <w:color w:val="000000"/>
          <w:highlight w:val="yellow"/>
        </w:rPr>
        <w:t xml:space="preserve">образованием нейтрального бензинового интермедиата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vertAlign w:val="superscript"/>
        </w:rPr>
        <w:t>+</w:t>
      </w:r>
      <w:r>
        <w:rPr>
          <w:color w:val="000000"/>
          <w:highlight w:val="yellow"/>
        </w:rPr>
        <w:t xml:space="preserve"> 2-</w:t>
      </w:r>
      <w:r>
        <w:rPr>
          <w:color w:val="000000"/>
          <w:highlight w:val="yellow"/>
          <w:lang w:val="en-US"/>
        </w:rPr>
        <w:t>nitrobenzene</w:t>
      </w:r>
      <w:r>
        <w:rPr>
          <w:color w:val="000000"/>
          <w:highlight w:val="yellow"/>
        </w:rPr>
        <w:t>-1-</w:t>
      </w:r>
      <w:r>
        <w:rPr>
          <w:color w:val="000000"/>
          <w:highlight w:val="yellow"/>
          <w:lang w:val="en-US"/>
        </w:rPr>
        <w:t>ylium</w:t>
      </w:r>
      <w:r>
        <w:rPr>
          <w:color w:val="000000"/>
          <w:highlight w:val="yellow"/>
        </w:rPr>
        <w:t xml:space="preserve"> в сравнении с остальными исследуемыми диазониевыми солями</w:t>
      </w:r>
      <w:r>
        <w:rPr>
          <w:color w:val="000000"/>
        </w:rPr>
        <w:t xml:space="preserve"> </w:t>
      </w:r>
      <w:r>
        <w:rPr>
          <w:color w:val="000000"/>
          <w:highlight w:val="yellow"/>
        </w:rPr>
        <w:t xml:space="preserve">из-за соседства электроноакцепторной </w:t>
      </w:r>
      <w:r>
        <w:rPr>
          <w:color w:val="000000"/>
          <w:highlight w:val="yellow"/>
          <w:lang w:val="en-US"/>
        </w:rPr>
        <w:t>NO</w:t>
      </w:r>
      <w:r>
        <w:rPr>
          <w:color w:val="000000"/>
          <w:highlight w:val="yellow"/>
          <w:vertAlign w:val="subscript"/>
        </w:rPr>
        <w:t>2</w:t>
      </w:r>
      <w:r>
        <w:rPr>
          <w:color w:val="000000"/>
          <w:highlight w:val="yellow"/>
        </w:rPr>
        <w:t xml:space="preserve"> группы и карбокатионного центра.</w:t>
      </w:r>
    </w:p>
    <w:p>
      <w:pPr>
        <w:pStyle w:val="Normal"/>
        <w:tabs>
          <w:tab w:val="left" w:pos="0" w:leader="none"/>
        </w:tabs>
        <w:ind w:left="0" w:right="0" w:hanging="0"/>
        <w:jc w:val="left"/>
        <w:rPr/>
      </w:pPr>
      <w:r>
        <w:rPr/>
      </w:r>
    </w:p>
    <w:p>
      <w:pPr>
        <w:pStyle w:val="2"/>
        <w:numPr>
          <w:ilvl w:val="1"/>
          <w:numId w:val="2"/>
        </w:numPr>
        <w:ind w:left="0" w:right="0" w:firstLine="397"/>
        <w:rPr/>
      </w:pPr>
      <w:r>
        <w:rPr/>
        <w:t>Квантовохимические исследования</w:t>
      </w:r>
    </w:p>
    <w:p>
      <w:pPr>
        <w:pStyle w:val="Normal"/>
        <w:rPr/>
      </w:pPr>
      <w:r>
        <w:rP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rPr/>
        <w:t>/</w:t>
      </w:r>
      <w:r>
        <w:rPr>
          <w:lang w:val="en-US"/>
        </w:rPr>
        <w:t>TGA</w:t>
      </w:r>
      <w:r>
        <w:rPr/>
        <w:t xml:space="preserve">,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highlight w:val="green"/>
              </w:rPr>
            </w:pPr>
            <w:r>
              <w:rPr>
                <w:color w:val="000000"/>
                <w:sz w:val="22"/>
                <w:szCs w:val="22"/>
                <w:highlight w:val="green"/>
                <w:lang w:val="en-US"/>
              </w:rPr>
              <w:t>-</w:t>
            </w:r>
            <w:commentRangeStart w:id="18"/>
            <w:r>
              <w:rPr>
                <w:color w:val="000000"/>
                <w:sz w:val="22"/>
                <w:szCs w:val="22"/>
                <w:highlight w:val="green"/>
                <w:lang w:val="en-US"/>
              </w:rPr>
              <w:t>312.9</w:t>
            </w:r>
            <w:r>
              <w:rPr>
                <w:highlight w:val="green"/>
              </w:rPr>
            </w:r>
            <w:commentRangeEnd w:id="18"/>
            <w:r>
              <w:commentReference w:id="18"/>
            </w:r>
            <w:r>
              <w:rPr>
                <w:highlight w:val="green"/>
              </w:rPr>
              <w:commentReference w:id="19"/>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4257"/>
        <w:gridCol w:w="1810"/>
        <w:gridCol w:w="784"/>
        <w:gridCol w:w="840"/>
        <w:gridCol w:w="841"/>
        <w:gridCol w:w="1243"/>
      </w:tblGrid>
      <w:tr>
        <w:trPr/>
        <w:tc>
          <w:tcPr>
            <w:tcW w:w="4257" w:type="dxa"/>
            <w:vMerge w:val="restart"/>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commentRangeStart w:id="20"/>
            <w:r>
              <w:rPr>
                <w:sz w:val="22"/>
                <w:szCs w:val="22"/>
                <w:highlight w:val="yellow"/>
              </w:rPr>
              <w:t>Теоретическое</w:t>
            </w:r>
            <w:r>
              <w:rPr/>
            </w:r>
            <w:commentRangeEnd w:id="20"/>
            <w:r>
              <w:commentReference w:id="20"/>
            </w:r>
            <w:r>
              <w:rPr/>
              <w:commentReference w:id="21"/>
            </w:r>
          </w:p>
        </w:tc>
        <w:tc>
          <w:tcPr>
            <w:tcW w:w="2465" w:type="dxa"/>
            <w:gridSpan w:val="3"/>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Потоковая калориметрия</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ТГ/ДСК</w:t>
            </w:r>
          </w:p>
        </w:tc>
      </w:tr>
      <w:tr>
        <w:trPr/>
        <w:tc>
          <w:tcPr>
            <w:tcW w:w="4257" w:type="dxa"/>
            <w:vMerge w:val="continue"/>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rPr/>
            </w:pPr>
            <w:r>
              <w:rPr/>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position w:val="0"/>
                <w:sz w:val="22"/>
                <w:sz w:val="22"/>
                <w:szCs w:val="22"/>
                <w:highlight w:val="green"/>
                <w:vertAlign w:val="baseline"/>
              </w:rPr>
              <w:t>(</w:t>
            </w:r>
            <w:r>
              <w:rPr>
                <w:rFonts w:cs="Standard Symbols L" w:ascii="Standard Symbols L" w:hAnsi="Standard Symbols L"/>
                <w:position w:val="0"/>
                <w:sz w:val="22"/>
                <w:sz w:val="22"/>
                <w:szCs w:val="22"/>
                <w:highlight w:val="green"/>
                <w:vertAlign w:val="baseline"/>
                <w:lang w:val="en-US"/>
              </w:rPr>
              <w:t></w:t>
            </w:r>
            <w:r>
              <w:rPr>
                <w:rFonts w:ascii="Free Times" w:hAnsi="Free Times"/>
                <w:position w:val="0"/>
                <w:sz w:val="22"/>
                <w:sz w:val="22"/>
                <w:szCs w:val="22"/>
                <w:highlight w:val="green"/>
                <w:vertAlign w:val="baseline"/>
              </w:rPr>
              <w:t>H</w:t>
            </w:r>
            <w:r>
              <w:rPr>
                <w:rFonts w:ascii="Free Times" w:hAnsi="Free Times"/>
                <w:sz w:val="22"/>
                <w:szCs w:val="22"/>
                <w:highlight w:val="green"/>
                <w:vertAlign w:val="subscript"/>
              </w:rPr>
              <w:t>353</w:t>
            </w:r>
            <w:r>
              <w:rPr>
                <w:rFonts w:ascii="Free Times" w:hAnsi="Free Times"/>
                <w:position w:val="0"/>
                <w:sz w:val="22"/>
                <w:sz w:val="22"/>
                <w:szCs w:val="22"/>
                <w:highlight w:val="green"/>
                <w:vertAlign w:val="baseline"/>
              </w:rPr>
              <w:t>)</w:t>
            </w:r>
            <w:r>
              <w:rPr>
                <w:rFonts w:ascii="Free Times" w:hAnsi="Free Times"/>
                <w:sz w:val="22"/>
                <w:szCs w:val="22"/>
              </w:rPr>
              <w:t xml:space="preserve"> kJ/mol</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 xml:space="preserve">-230 </w:t>
            </w:r>
            <w:r>
              <w:rPr>
                <w:rFonts w:ascii="Free Times" w:hAnsi="Free Times"/>
                <w:sz w:val="22"/>
                <w:szCs w:val="22"/>
                <w:highlight w:val="green"/>
                <w:lang w:val="en-US"/>
              </w:rPr>
              <w:t>(-230.4)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-243 </w:t>
            </w:r>
            <w:r>
              <w:rPr>
                <w:rFonts w:ascii="Free Times" w:hAnsi="Free Times"/>
                <w:sz w:val="22"/>
                <w:szCs w:val="22"/>
                <w:highlight w:val="green"/>
              </w:rPr>
              <w:t>(-243.2)</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-238.5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-248 </w:t>
            </w:r>
            <w:r>
              <w:rPr>
                <w:rFonts w:ascii="Free Times" w:hAnsi="Free Times"/>
                <w:sz w:val="22"/>
                <w:szCs w:val="22"/>
                <w:highlight w:val="green"/>
              </w:rPr>
              <w:t>(-248.4)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-65.8</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-201 </w:t>
            </w:r>
            <w:r>
              <w:rPr>
                <w:rFonts w:ascii="Free Times" w:hAnsi="Free Times"/>
                <w:sz w:val="22"/>
                <w:szCs w:val="22"/>
                <w:highlight w:val="green"/>
              </w:rPr>
              <w:t>(-200.8)</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-64.5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-284 </w:t>
            </w:r>
            <w:r>
              <w:rPr>
                <w:rFonts w:ascii="Free Times" w:hAnsi="Free Times"/>
                <w:sz w:val="22"/>
                <w:szCs w:val="22"/>
                <w:highlight w:val="green"/>
              </w:rPr>
              <w:t>(-284.0)</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-117.3</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-188 </w:t>
            </w:r>
            <w:r>
              <w:rPr>
                <w:rFonts w:ascii="Free Times" w:hAnsi="Free Times"/>
                <w:sz w:val="22"/>
                <w:szCs w:val="22"/>
                <w:highlight w:val="green"/>
              </w:rPr>
              <w:t>(-189.5)</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rPr>
        <w:t xml:space="preserve">изотермической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rPr/>
        <w:t>-</w:t>
      </w:r>
      <w:r>
        <w:rPr>
          <w:lang w:val="en-US"/>
        </w:rPr>
        <w:t>MS</w:t>
      </w:r>
      <w:r>
        <w:rPr/>
        <w:t xml:space="preserve"> и LC-MS, которые показывают, что при разложении соли </w:t>
      </w:r>
      <w:r>
        <w:rPr>
          <w:b/>
        </w:rPr>
        <w:t>1a</w:t>
      </w:r>
      <w:r>
        <w:rP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rPr/>
        <w:t>, а разложение проходит по иному маршруту (схемы 4 и 5).</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rPr/>
        <w:t>потоковой калориметрии (табл. 8).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firstLine="397"/>
        <w:rPr/>
      </w:pPr>
      <w:r>
        <w:rPr/>
        <w:t xml:space="preserve">  </w:t>
      </w:r>
      <w:bookmarkStart w:id="0" w:name="_GoBack"/>
      <w:bookmarkEnd w:id="0"/>
      <w:r>
        <w:rPr/>
        <w:t>CONCLUSIONS</w:t>
      </w:r>
    </w:p>
    <w:p>
      <w:pPr>
        <w:pStyle w:val="Normal"/>
        <w:tabs>
          <w:tab w:val="center" w:pos="218" w:leader="none"/>
        </w:tabs>
        <w:rPr/>
      </w:pPr>
      <w:commentRangeStart w:id="22"/>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w:t>
      </w:r>
      <w:r>
        <w:rPr/>
      </w:r>
      <w:commentRangeEnd w:id="22"/>
      <w:r>
        <w:commentReference w:id="22"/>
      </w:r>
      <w:r>
        <w:rPr/>
        <w:commentReference w:id="23"/>
      </w:r>
      <w:r>
        <w:rPr>
          <w:highlight w:val="yellow"/>
        </w:rPr>
        <w:t xml:space="preserve">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 xml:space="preserve">потоковой калориметрии позволило определить термодинамику и кинетику их разложения и стабильность сухих ДС при хранении в нормальных условиях. </w:t>
      </w:r>
    </w:p>
    <w:p>
      <w:pPr>
        <w:pStyle w:val="Normal"/>
        <w:tabs>
          <w:tab w:val="center" w:pos="218" w:leader="none"/>
        </w:tabs>
        <w:rPr/>
      </w:pPr>
      <w:r>
        <w:rPr>
          <w:highlight w:val="green"/>
        </w:rPr>
        <w:t xml:space="preserve">Тозилатные соли </w:t>
      </w:r>
      <w:r>
        <w:rPr>
          <w:highlight w:val="green"/>
        </w:rPr>
        <w:t>характеризуются</w:t>
      </w:r>
      <w:r>
        <w:rPr>
          <w:highlight w:val="green"/>
        </w:rPr>
        <w:t xml:space="preserve"> существенно </w:t>
      </w:r>
      <w:r>
        <w:rPr>
          <w:highlight w:val="green"/>
        </w:rPr>
        <w:t xml:space="preserve">меньшими значениями максимальных тепловых потоков, </w:t>
      </w:r>
      <w:r>
        <w:rPr>
          <w:highlight w:val="green"/>
        </w:rPr>
        <w:t xml:space="preserve">большим временем полураспада при нормальных условиях, </w:t>
      </w:r>
      <w:r>
        <w:rPr>
          <w:highlight w:val="green"/>
        </w:rPr>
        <w:t xml:space="preserve">являются более стабильными при хранении. </w:t>
      </w:r>
    </w:p>
    <w:p>
      <w:pPr>
        <w:pStyle w:val="Normal"/>
        <w:tabs>
          <w:tab w:val="center" w:pos="218" w:leader="none"/>
        </w:tabs>
        <w:rPr/>
      </w:pPr>
      <w:r>
        <w:rPr>
          <w:highlight w:val="yellow"/>
        </w:rPr>
        <w:t xml:space="preserve">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потоковой калориметрии, но не с данными DSC/</w:t>
      </w:r>
      <w:r>
        <w:rPr>
          <w:highlight w:val="yellow"/>
          <w:lang w:val="en-US"/>
        </w:rPr>
        <w:t>TGA</w:t>
      </w:r>
      <w:r>
        <w:rPr>
          <w:highlight w:val="yellow"/>
        </w:rPr>
        <w:t xml:space="preserve"> для всех изученных диазониевых солей, кроме 2-нитробензолдиазоний трифлата. Продукты разложения 2-нитробензолдиазоний трифлата резко отличаются от продуктов разложения остальных диазониевых солей, что показано с помощью </w:t>
      </w:r>
      <w:r>
        <w:rPr>
          <w:highlight w:val="yellow"/>
          <w:lang w:val="en-US"/>
        </w:rPr>
        <w:t>GC</w:t>
      </w:r>
      <w:r>
        <w:rPr>
          <w:highlight w:val="yellow"/>
        </w:rPr>
        <w:t>-</w:t>
      </w:r>
      <w:r>
        <w:rPr>
          <w:highlight w:val="yellow"/>
          <w:lang w:val="en-US"/>
        </w:rPr>
        <w:t>MS</w:t>
      </w:r>
      <w:r>
        <w:rPr>
          <w:highlight w:val="yellow"/>
        </w:rPr>
        <w:t xml:space="preserve"> и </w:t>
      </w:r>
      <w:r>
        <w:rPr>
          <w:highlight w:val="yellow"/>
          <w:lang w:val="en-US"/>
        </w:rPr>
        <w:t>LC</w:t>
      </w:r>
      <w:r>
        <w:rPr>
          <w:highlight w:val="yellow"/>
        </w:rPr>
        <w:t>-</w:t>
      </w:r>
      <w:r>
        <w:rPr>
          <w:highlight w:val="yellow"/>
          <w:lang w:val="en-US"/>
        </w:rPr>
        <w:t>MS</w:t>
      </w:r>
      <w:r>
        <w:rPr>
          <w:highlight w:val="yellow"/>
        </w:rPr>
        <w:t xml:space="preserve"> исследований. </w:t>
      </w:r>
      <w:r>
        <w:rPr>
          <w:highlight w:val="green"/>
        </w:rPr>
        <w:t>Очевидно, случай сульфоната 2-нитрофенилдиазония следует рассматривать в индивидуальном порядке.</w:t>
      </w:r>
    </w:p>
    <w:p>
      <w:pPr>
        <w:pStyle w:val="Normal"/>
        <w:widowControl/>
        <w:tabs>
          <w:tab w:val="center" w:pos="218" w:leader="none"/>
        </w:tabs>
        <w:suppressAutoHyphens w:val="true"/>
        <w:overflowPunct w:val="true"/>
        <w:bidi w:val="0"/>
        <w:spacing w:lineRule="auto" w:line="312"/>
        <w:ind w:left="0" w:right="0" w:firstLine="567"/>
        <w:jc w:val="both"/>
        <w:rPr>
          <w:highlight w:val="green"/>
        </w:rPr>
      </w:pPr>
      <w:r>
        <w:rPr>
          <w:highlight w:val="green"/>
        </w:rPr>
        <w:t>И</w:t>
      </w:r>
      <w:r>
        <w:rPr>
          <w:highlight w:val="green"/>
        </w:rPr>
        <w:t>сследовани</w:t>
      </w:r>
      <w:r>
        <w:rPr>
          <w:highlight w:val="green"/>
        </w:rPr>
        <w:t>е</w:t>
      </w:r>
      <w:r>
        <w:rPr>
          <w:highlight w:val="green"/>
        </w:rPr>
        <w:t xml:space="preserve"> продуктов разложения показал</w:t>
      </w:r>
      <w:r>
        <w:rPr>
          <w:highlight w:val="green"/>
        </w:rPr>
        <w:t>о</w:t>
      </w:r>
      <w:r>
        <w:rPr>
          <w:highlight w:val="green"/>
        </w:rPr>
        <w:t xml:space="preserve">, что процесс </w:t>
      </w:r>
      <w:r>
        <w:rPr>
          <w:highlight w:val="green"/>
        </w:rPr>
        <w:t xml:space="preserve">разложения ДС </w:t>
      </w:r>
      <w:r>
        <w:rPr>
          <w:highlight w:val="green"/>
        </w:rPr>
        <w:t>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1"/>
        <w:numPr>
          <w:ilvl w:val="0"/>
          <w:numId w:val="2"/>
        </w:numPr>
        <w:ind w:left="0" w:right="0" w:firstLine="397"/>
        <w:rPr/>
      </w:pPr>
      <w:r>
        <w:rPr/>
        <w:t xml:space="preserve">  </w:t>
      </w:r>
      <w:r>
        <w:rPr/>
        <w:t>ASSOCIATED CONTENT</w:t>
      </w:r>
    </w:p>
    <w:p>
      <w:pPr>
        <w:pStyle w:val="1"/>
        <w:numPr>
          <w:ilvl w:val="0"/>
          <w:numId w:val="2"/>
        </w:numPr>
        <w:ind w:left="0" w:right="0" w:firstLine="397"/>
        <w:rPr/>
      </w:pPr>
      <w:r>
        <w:rPr/>
        <w:t xml:space="preserve">  </w:t>
      </w:r>
      <w:r>
        <w:rPr/>
        <w:t>AUTHOR INFORMATION</w:t>
      </w:r>
    </w:p>
    <w:p>
      <w:pPr>
        <w:pStyle w:val="1"/>
        <w:numPr>
          <w:ilvl w:val="0"/>
          <w:numId w:val="2"/>
        </w:numPr>
        <w:ind w:left="0" w:right="0" w:firstLine="397"/>
        <w:rPr/>
      </w:pPr>
      <w:r>
        <w:rPr/>
        <w:t xml:space="preserve">  </w:t>
      </w:r>
      <w:r>
        <w:rPr/>
        <w:t>ACKNOWLEDGMENTS</w:t>
      </w:r>
    </w:p>
    <w:p>
      <w:pPr>
        <w:pStyle w:val="1"/>
        <w:numPr>
          <w:ilvl w:val="0"/>
          <w:numId w:val="2"/>
        </w:numPr>
        <w:ind w:left="0" w:right="0" w:firstLine="397"/>
        <w:rPr/>
      </w:pPr>
      <w:r>
        <w:rPr/>
        <w:t xml:space="preserve">  </w:t>
      </w:r>
      <w:r>
        <w:rPr/>
        <w:t>REFERENCES (fINAL)</w:t>
      </w:r>
    </w:p>
    <w:p>
      <w:pPr>
        <w:pStyle w:val="Normal"/>
        <w:numPr>
          <w:ilvl w:val="0"/>
          <w:numId w:val="5"/>
        </w:numPr>
        <w:tabs>
          <w:tab w:val="center" w:pos="218" w:leader="none"/>
        </w:tabs>
        <w:spacing w:before="0" w:after="57"/>
        <w:ind w:left="0" w:right="0" w:firstLine="283"/>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 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2298.</w:t>
      </w:r>
    </w:p>
    <w:p>
      <w:pPr>
        <w:pStyle w:val="Style20"/>
        <w:numPr>
          <w:ilvl w:val="0"/>
          <w:numId w:val="5"/>
        </w:numPr>
        <w:tabs>
          <w:tab w:val="center" w:pos="218" w:leader="none"/>
        </w:tabs>
        <w:spacing w:lineRule="auto" w:line="312" w:before="0" w:after="57"/>
        <w:ind w:left="0" w:right="0" w:firstLine="283"/>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rPr>
        <w:t xml:space="preserve">(a) Filimonov V. D., Trusova M.E., Postnikov P.S., Krasnokutskaya E.A., Lee Y.M., Hwang H.Y., Kim H., Ki-Whan Chi. </w:t>
      </w:r>
      <w:r>
        <w:rPr>
          <w:rFonts w:eastAsia="Times New Roman" w:cs="Times New Roman" w:ascii="FreeSerif" w:hAnsi="FreeSerif"/>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rPr>
        <w:t>Korean Chem. Soc. 2011, 32, 2970.</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rPr>
        <w:t xml:space="preserve">Commun. </w:t>
      </w:r>
      <w:r>
        <w:rPr>
          <w:rFonts w:eastAsia="Times New Roman" w:cs="Times New Roman" w:ascii="FreeSerif" w:hAnsi="FreeSerif"/>
          <w:color w:val="FF0000"/>
        </w:rPr>
        <w:t>title</w:t>
      </w:r>
      <w:r>
        <w:rPr>
          <w:rFonts w:eastAsia="Times New Roman" w:cs="Times New Roman" w:ascii="FreeSerif" w:hAnsi="FreeSerif"/>
        </w:rPr>
        <w:t xml:space="preserve"> 2013, 49, 6289.</w:t>
      </w:r>
    </w:p>
    <w:p>
      <w:pPr>
        <w:pStyle w:val="Normal"/>
        <w:numPr>
          <w:ilvl w:val="0"/>
          <w:numId w:val="5"/>
        </w:numPr>
        <w:tabs>
          <w:tab w:val="center" w:pos="218" w:leader="none"/>
        </w:tabs>
        <w:spacing w:before="0" w:after="57"/>
        <w:ind w:left="0" w:right="0" w:firstLine="283"/>
        <w:rPr/>
      </w:pPr>
      <w:hyperlink r:id="rId26">
        <w:r>
          <w:rPr>
            <w:rStyle w:val="Style13"/>
            <w:rFonts w:eastAsia="Calibri" w:cs="Calibri" w:ascii="FreeSerif" w:hAnsi="FreeSerif"/>
            <w:color w:val="0000FF"/>
          </w:rPr>
          <w:t>http://www.unece.org/trans/danger/danger.html</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5"/>
        </w:numPr>
        <w:tabs>
          <w:tab w:val="center" w:pos="218" w:leader="none"/>
        </w:tabs>
        <w:spacing w:before="0" w:after="57"/>
        <w:ind w:left="0" w:right="0" w:firstLine="283"/>
        <w:rPr/>
      </w:pPr>
      <w:r>
        <w:rPr>
          <w:highlight w:val="yellow"/>
          <w:lang w:val="en-US"/>
        </w:rPr>
        <w:t xml:space="preserve">P. Guillaume, M. Rat, S. Wilker, G. Pantel, Microcalorimetric and Chemical Studies of Propellants Proc. </w:t>
      </w:r>
      <w:r>
        <w:rPr>
          <w:highlight w:val="yellow"/>
        </w:rPr>
        <w:t>Int Annu. Conf. ICT 29, 133 (1998).</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5"/>
        </w:numPr>
        <w:tabs>
          <w:tab w:val="center" w:pos="218" w:leader="none"/>
        </w:tabs>
        <w:spacing w:before="0" w:after="57"/>
        <w:ind w:left="0" w:righ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Style18"/>
          <w:rFonts w:eastAsia="Times New Roman" w:cs="Times New Roman" w:ascii="FreeSerif" w:hAnsi="FreeSerif"/>
          <w:i w:val="false"/>
          <w:iCs w:val="false"/>
          <w:highlight w:val="yellow"/>
          <w:lang w:val="en-US"/>
        </w:rPr>
        <w:t>Fletcher, Roger (1987), Practical methods of optimization (2nd ed.), New York: John Wiley &amp; Sons, ISBN 978-0-471-91547-8, (b) Alexander Bondarev. Deconvolution-Kinetic. Zenodo November 7, 2018, p. DOI: 10.5281/zenodo.1478946</w:t>
      </w:r>
    </w:p>
    <w:p>
      <w:pPr>
        <w:pStyle w:val="3"/>
        <w:numPr>
          <w:ilvl w:val="2"/>
          <w:numId w:val="3"/>
        </w:numPr>
        <w:ind w:left="0" w:right="0" w:firstLine="567"/>
        <w:rPr>
          <w:lang w:val="en-US"/>
        </w:rPr>
      </w:pPr>
      <w:r>
        <w:rPr>
          <w:lang w:val="en-US"/>
        </w:rPr>
      </w:r>
      <w:r>
        <w:br w:type="page"/>
      </w:r>
    </w:p>
    <w:p>
      <w:pPr>
        <w:pStyle w:val="1"/>
        <w:numPr>
          <w:ilvl w:val="0"/>
          <w:numId w:val="2"/>
        </w:numPr>
        <w:ind w:left="0" w:right="0" w:firstLine="397"/>
        <w:rPr/>
      </w:pPr>
      <w:r>
        <w:rPr/>
        <w:t>Supporting</w:t>
      </w:r>
    </w:p>
    <w:p>
      <w:pPr>
        <w:pStyle w:val="Normal"/>
        <w:tabs>
          <w:tab w:val="left" w:pos="225" w:leader="none"/>
          <w:tab w:val="left" w:pos="510" w:leader="none"/>
        </w:tabs>
        <w:spacing w:before="0" w:after="113"/>
        <w:ind w:left="720" w:right="0" w:hanging="0"/>
        <w:jc w:val="center"/>
        <w:rPr>
          <w:b/>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rPr/>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pPr>
        <w:pStyle w:val="Normal"/>
        <w:tabs>
          <w:tab w:val="center" w:pos="218" w:leader="none"/>
        </w:tabs>
        <w:rPr/>
      </w:pPr>
      <w:r>
        <w:rPr>
          <w:color w:val="000000"/>
        </w:rPr>
        <w:t>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алгоритма Broyden–Fletcher–Goldfarb–Shanno (BFGS) [12a] реализованный в  разработанной нами компьютерной программы [12b] и системы статистического анализа и обработки R statistics [9b]. Исходные значения для первого приближения были взяты из данных ДСК-ТГА, для эндотермической реакции.</w:t>
      </w:r>
      <w:r>
        <w:rPr/>
        <w:t xml:space="preserve"> На рисунке 1s.1-6 приведены результаты деконволюции.  </w:t>
      </w:r>
      <w:r>
        <w:rPr/>
        <w:t xml:space="preserve">Модель </w:t>
      </w:r>
      <w:r>
        <w:rPr>
          <w:rFonts w:ascii="Times New Roman" w:hAnsi="Times New Roman"/>
          <w:b w:val="false"/>
          <w:bCs w:val="false"/>
          <w:color w:val="000000"/>
          <w:szCs w:val="28"/>
          <w:lang w:val="en-US"/>
        </w:rPr>
        <w:t xml:space="preserve">двух независимых автокаталитических процессов </w:t>
      </w:r>
      <w:r>
        <w:rPr>
          <w:rFonts w:ascii="Times New Roman" w:hAnsi="Times New Roman"/>
          <w:b w:val="false"/>
          <w:bCs w:val="false"/>
          <w:color w:val="000000"/>
          <w:szCs w:val="28"/>
          <w:lang w:val="en-US"/>
        </w:rPr>
        <w:t xml:space="preserve">описывает эксперименталые зависимости более точно. </w:t>
      </w:r>
    </w:p>
    <w:p>
      <w:pPr>
        <w:pStyle w:val="Normal"/>
        <w:spacing w:before="113" w:after="0"/>
        <w:jc w:val="right"/>
        <w:rPr>
          <w:color w:val="000000"/>
        </w:rPr>
      </w:pPr>
      <w:r>
        <w:rPr>
          <w:color w:val="000000"/>
        </w:rPr>
        <w:t xml:space="preserve">Таблица </w:t>
      </w:r>
      <w:r>
        <w:rPr>
          <w:color w:val="000000"/>
        </w:rPr>
        <w:t>1s.1</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 xml:space="preserve">в рамках модели двух </w:t>
      </w:r>
    </w:p>
    <w:p>
      <w:pPr>
        <w:pStyle w:val="Normal"/>
        <w:ind w:left="0" w:right="0" w:hanging="0"/>
        <w:jc w:val="center"/>
        <w:rPr/>
      </w:pPr>
      <w:r>
        <w:rPr>
          <w:rFonts w:ascii="Times New Roman" w:hAnsi="Times New Roman"/>
          <w:b w:val="false"/>
          <w:bCs w:val="false"/>
          <w:color w:val="000000"/>
          <w:szCs w:val="28"/>
          <w:lang w:val="en-US"/>
        </w:rPr>
        <w:t>независимых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6"/>
        <w:gridCol w:w="1204"/>
        <w:gridCol w:w="1260"/>
        <w:gridCol w:w="1177"/>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0.52798</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0.04576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0.00132</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0.00319</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48.5</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-503.9</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7.08E-10</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0.40462</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0.00329</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0.00170</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0.04266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61.2</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-533.8</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2.85E-09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0.95173</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0.06082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0.00071</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0.00274</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32.7</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-454.0</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1.30E-08</w:t>
            </w:r>
          </w:p>
        </w:tc>
      </w:tr>
    </w:tbl>
    <w:p>
      <w:pPr>
        <w:pStyle w:val="Normal"/>
        <w:tabs>
          <w:tab w:val="center" w:pos="218" w:leader="none"/>
        </w:tabs>
        <w:rPr/>
      </w:pPr>
      <w:r>
        <w:rPr/>
      </w:r>
    </w:p>
    <w:p>
      <w:pPr>
        <w:pStyle w:val="Normal"/>
        <w:spacing w:before="113" w:after="0"/>
        <w:jc w:val="right"/>
        <w:rPr>
          <w:color w:val="000000"/>
        </w:rPr>
      </w:pPr>
      <w:r>
        <w:rPr>
          <w:color w:val="000000"/>
        </w:rPr>
        <w:t xml:space="preserve">Таблица </w:t>
      </w:r>
      <w:r>
        <w:rPr>
          <w:color w:val="000000"/>
        </w:rPr>
        <w:t>1s.2</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 xml:space="preserve">в рамках модели двух </w:t>
      </w:r>
    </w:p>
    <w:p>
      <w:pPr>
        <w:pStyle w:val="Normal"/>
        <w:ind w:left="0" w:right="0" w:hanging="0"/>
        <w:jc w:val="center"/>
        <w:rPr/>
      </w:pPr>
      <w:r>
        <w:rPr>
          <w:rFonts w:ascii="Times New Roman" w:hAnsi="Times New Roman"/>
          <w:b w:val="false"/>
          <w:bCs w:val="false"/>
          <w:color w:val="000000"/>
          <w:szCs w:val="28"/>
          <w:lang w:val="en-US"/>
        </w:rPr>
        <w:t>последовательных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6"/>
        <w:gridCol w:w="1204"/>
        <w:gridCol w:w="1260"/>
        <w:gridCol w:w="1177"/>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0.61811</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0.07356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0.00136</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0.00163</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29.6</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-498.6</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1</w:t>
            </w:r>
            <w:bookmarkStart w:id="1" w:name="__DdeLink__13664_876977580"/>
            <w:r>
              <w:rPr/>
              <w:t>.</w:t>
            </w:r>
            <w:bookmarkEnd w:id="1"/>
            <w:r>
              <w:rPr/>
              <w:t>32E-09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42.54001</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0.08002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0.03752</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0.00106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29.8</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-413.8</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2</w:t>
            </w:r>
            <w:r>
              <w:rPr/>
              <w:t>.</w:t>
            </w:r>
            <w:r>
              <w:rPr/>
              <w:t>16E-08</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1.19776</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0.07472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0.00061</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0.00207</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25.1</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-459.1</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1</w:t>
            </w:r>
            <w:r>
              <w:rPr/>
              <w:t>.</w:t>
            </w:r>
            <w:r>
              <w:rPr/>
              <w:t>65E-08</w:t>
            </w:r>
          </w:p>
        </w:tc>
      </w:tr>
    </w:tbl>
    <w:p>
      <w:pPr>
        <w:pStyle w:val="Normal"/>
        <w:tabs>
          <w:tab w:val="center" w:pos="218" w:leader="none"/>
        </w:tabs>
        <w:rPr/>
      </w:pPr>
      <w:r>
        <w:rPr/>
      </w:r>
    </w:p>
    <w:p>
      <w:pPr>
        <w:pStyle w:val="Normal"/>
        <w:spacing w:lineRule="auto" w:line="240"/>
        <w:ind w:left="0" w:right="0" w:hanging="0"/>
        <w:jc w:val="center"/>
        <w:rPr>
          <w:sz w:val="12"/>
          <w:szCs w:val="12"/>
        </w:rPr>
      </w:pPr>
      <w:r>
        <w:rPr>
          <w:sz w:val="12"/>
          <w:szCs w:val="12"/>
        </w:rPr>
      </w:r>
    </w:p>
    <w:p>
      <w:pPr>
        <w:pStyle w:val="Normal"/>
        <w:ind w:left="0" w:right="0" w:hanging="0"/>
        <w:jc w:val="center"/>
        <w:rPr/>
      </w:pPr>
      <w:r>
        <w:rPr/>
        <w:drawing>
          <wp:inline distT="0" distB="0" distL="0" distR="0">
            <wp:extent cx="4411345" cy="4009390"/>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411345" cy="4009390"/>
                    </a:xfrm>
                    <a:prstGeom prst="rect">
                      <a:avLst/>
                    </a:prstGeom>
                  </pic:spPr>
                </pic:pic>
              </a:graphicData>
            </a:graphic>
          </wp:inline>
        </w:drawing>
      </w:r>
    </w:p>
    <w:p>
      <w:pPr>
        <w:pStyle w:val="Normal"/>
        <w:ind w:left="0" w:right="0" w:hanging="0"/>
        <w:jc w:val="center"/>
        <w:rPr/>
      </w:pPr>
      <w:r>
        <w:rP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218940" cy="383476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218940" cy="3834765"/>
                    </a:xfrm>
                    <a:prstGeom prst="rect">
                      <a:avLst/>
                    </a:prstGeom>
                  </pic:spPr>
                </pic:pic>
              </a:graphicData>
            </a:graphic>
          </wp:inline>
        </w:drawing>
      </w:r>
    </w:p>
    <w:p>
      <w:pPr>
        <w:pStyle w:val="Normal"/>
        <w:ind w:left="0" w:right="0" w:hanging="0"/>
        <w:jc w:val="center"/>
        <w:rPr/>
      </w:pPr>
      <w:r>
        <w:rP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120515" cy="374523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независимых автокаталитических процессов</w:t>
      </w:r>
    </w:p>
    <w:p>
      <w:pPr>
        <w:pStyle w:val="Normal"/>
        <w:ind w:left="0" w:right="0" w:hanging="0"/>
        <w:jc w:val="center"/>
        <w:rPr/>
      </w:pPr>
      <w:r>
        <w:rPr/>
      </w:r>
    </w:p>
    <w:p>
      <w:pPr>
        <w:pStyle w:val="Normal"/>
        <w:ind w:left="0" w:right="0" w:hanging="0"/>
        <w:jc w:val="center"/>
        <w:rPr/>
      </w:pPr>
      <w:r>
        <w:rPr/>
        <w:drawing>
          <wp:inline distT="0" distB="0" distL="0" distR="0">
            <wp:extent cx="4411345" cy="4009390"/>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411345" cy="4009390"/>
                    </a:xfrm>
                    <a:prstGeom prst="rect">
                      <a:avLst/>
                    </a:prstGeom>
                  </pic:spPr>
                </pic:pic>
              </a:graphicData>
            </a:graphic>
          </wp:inline>
        </w:drawing>
      </w:r>
    </w:p>
    <w:p>
      <w:pPr>
        <w:pStyle w:val="Normal"/>
        <w:ind w:left="0" w:right="0" w:hanging="0"/>
        <w:jc w:val="center"/>
        <w:rPr/>
      </w:pPr>
      <w:r>
        <w:rPr/>
        <w:t>Рисунок 1s.</w:t>
      </w:r>
      <w:r>
        <w:rPr/>
        <w:t>4</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218940" cy="383476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218940" cy="3834765"/>
                    </a:xfrm>
                    <a:prstGeom prst="rect">
                      <a:avLst/>
                    </a:prstGeom>
                  </pic:spPr>
                </pic:pic>
              </a:graphicData>
            </a:graphic>
          </wp:inline>
        </w:drawing>
      </w:r>
    </w:p>
    <w:p>
      <w:pPr>
        <w:pStyle w:val="Normal"/>
        <w:ind w:left="0" w:right="0" w:hanging="0"/>
        <w:jc w:val="center"/>
        <w:rPr/>
      </w:pPr>
      <w:r>
        <w:rPr/>
        <w:t>Рисунок 1s.</w:t>
      </w:r>
      <w:r>
        <w:rPr/>
        <w:t>5</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120515" cy="3745230"/>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Рисунок 1s.</w:t>
      </w:r>
      <w:r>
        <w:rPr/>
        <w:t>6</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последовательных автокаталитических процессов</w:t>
      </w:r>
    </w:p>
    <w:p>
      <w:pPr>
        <w:pStyle w:val="Normal"/>
        <w:ind w:left="0" w:right="0" w:hanging="0"/>
        <w:jc w:val="center"/>
        <w:rPr/>
      </w:pPr>
      <w:r>
        <w:rPr/>
      </w:r>
    </w:p>
    <w:p>
      <w:pPr>
        <w:pStyle w:val="Normal"/>
        <w:spacing w:before="113" w:after="0"/>
        <w:jc w:val="right"/>
        <w:rPr>
          <w:color w:val="000000"/>
        </w:rPr>
      </w:pPr>
      <w:r>
        <w:rPr>
          <w:color w:val="000000"/>
        </w:rPr>
        <w:t xml:space="preserve">Таблица </w:t>
      </w:r>
      <w:r>
        <w:rPr>
          <w:color w:val="000000"/>
        </w:rPr>
        <w:t>1s.1</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в рамках модели двух последовательных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6"/>
        <w:gridCol w:w="1204"/>
        <w:gridCol w:w="1260"/>
        <w:gridCol w:w="1177"/>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0,52798</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0,04576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0,00132</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0,00319</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48,5</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-503,9</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7,08E-10</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0,40462</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0,00329</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0,00170</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0,04266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61,2</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-533,8</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2,85E-09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0,95173</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0,06082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0,00071</w:t>
            </w:r>
          </w:p>
        </w:tc>
        <w:tc>
          <w:tcPr>
            <w:tcW w:w="150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0,00274</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32,7</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-454,0</w:t>
            </w:r>
          </w:p>
        </w:tc>
        <w:tc>
          <w:tcPr>
            <w:tcW w:w="1177"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1,30E-08</w:t>
            </w:r>
          </w:p>
        </w:tc>
      </w:tr>
    </w:tbl>
    <w:p>
      <w:pPr>
        <w:pStyle w:val="Normal"/>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2s.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t>О-C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pPr>
      <w:r>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3s. LS-MS Спектры продуктов разложения ДС</w:t>
      </w:r>
    </w:p>
    <w:p>
      <w:pPr>
        <w:pStyle w:val="Style20"/>
        <w:rPr/>
      </w:pPr>
      <w:r>
        <w:rPr/>
        <w:t xml:space="preserve">Исходные файлы спектров LS-MS находятся в каталоге - </w:t>
      </w:r>
      <w:r>
        <w:rPr>
          <w:i/>
          <w:iCs/>
          <w:u w:val="single"/>
        </w:rPr>
        <w:t>Supporting/LC-MS</w:t>
      </w:r>
      <w:r>
        <w:rPr/>
        <w:t>. Для просмотра и анализа файлов можно использовать свободное программное обеспечение OpenMS (</w:t>
      </w:r>
      <w:hyperlink r:id="rId48">
        <w:r>
          <w:rPr>
            <w:rStyle w:val="Style13"/>
          </w:rPr>
          <w:t>https://www.openms.de/</w:t>
        </w:r>
      </w:hyperlink>
      <w:r>
        <w:rPr/>
        <w:t xml:space="preserve">). </w:t>
      </w:r>
    </w:p>
    <w:p>
      <w:pPr>
        <w:pStyle w:val="Style20"/>
        <w:rPr/>
      </w:pPr>
      <w:r>
        <w:rPr/>
      </w:r>
    </w:p>
    <w:p>
      <w:pPr>
        <w:pStyle w:val="Normal"/>
        <w:tabs>
          <w:tab w:val="left" w:pos="0" w:leader="none"/>
        </w:tabs>
        <w:ind w:left="0" w:right="0" w:hanging="0"/>
        <w:jc w:val="center"/>
        <w:rPr>
          <w:b/>
          <w:b/>
          <w:bCs/>
        </w:rPr>
      </w:pPr>
      <w:r>
        <w:rPr>
          <w:b/>
          <w:bCs/>
        </w:rPr>
        <w:t>Приложение 4s. Результаты квантовохимических расчетов</w:t>
      </w:r>
    </w:p>
    <w:p>
      <w:pPr>
        <w:pStyle w:val="Normal"/>
        <w:tabs>
          <w:tab w:val="left" w:pos="225" w:leader="none"/>
          <w:tab w:val="left" w:pos="510" w:leader="none"/>
        </w:tabs>
        <w:spacing w:before="0" w:after="113"/>
        <w:ind w:left="720" w:right="0" w:hanging="0"/>
        <w:rPr/>
      </w:pPr>
      <w:r>
        <w:rPr/>
        <w:t xml:space="preserve">Выходные файлы квантовохимических расчетов находятся в каталоге -  </w:t>
      </w:r>
      <w:r>
        <w:rPr>
          <w:i/>
          <w:iCs/>
          <w:u w:val="single"/>
        </w:rPr>
        <w:t>Supporting/Quant/Out</w:t>
      </w:r>
      <w:r>
        <w:rPr/>
        <w:t xml:space="preserve">. Оптимизированная геометрия - </w:t>
      </w:r>
      <w:r>
        <w:rPr>
          <w:i/>
          <w:iCs/>
          <w:u w:val="single"/>
        </w:rPr>
        <w:t>Supporting/Quant/Mol</w:t>
      </w:r>
      <w:r>
        <w:rPr/>
        <w:t>.</w:t>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9"/>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fvd" w:date="2019-01-08T23:18:00Z" w:initials="f">
    <w:p>
      <w:r>
        <w:rPr>
          <w:rFonts w:eastAsia="DejaVu Sans" w:cs="DejaVu Sans"/>
          <w:color w:val="auto"/>
          <w:lang w:val="en-US" w:eastAsia="en-US" w:bidi="en-US"/>
        </w:rPr>
        <w:t xml:space="preserve">Это мой вариант абстракта. </w:t>
      </w:r>
    </w:p>
  </w:comment>
  <w:comment w:id="1" w:author="Александр Александрович Бондарев" w:date="2019-01-10T15:19:39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(08.01.2019, 23:18): "..."</w:t>
      </w:r>
    </w:p>
    <w:p>
      <w:r>
        <w:rPr>
          <w:rFonts w:eastAsia="DejaVu Sans" w:cs="DejaVu Sans"/>
          <w:color w:val="auto"/>
          <w:sz w:val="20"/>
          <w:lang w:val="ru-RU" w:eastAsia="ru-RU" w:bidi="ar-SA"/>
        </w:rPr>
        <w:t>Оставим Ваш вариант.</w:t>
      </w:r>
    </w:p>
  </w:comment>
  <w:comment w:id="2" w:author="fvd" w:date="2019-01-07T16:38:00Z" w:initials="f">
    <w:p>
      <w:r>
        <w:rPr>
          <w:rFonts w:eastAsia="DejaVu Sans" w:cs="DejaVu Sans"/>
          <w:color w:val="auto"/>
          <w:lang w:val="en-US" w:eastAsia="en-US" w:bidi="en-US"/>
        </w:rPr>
        <w:t>Стоит сказать об используемых количеств веществ. Материал, объем кюветы ?</w:t>
      </w:r>
    </w:p>
  </w:comment>
  <w:comment w:id="3" w:author="Александр Александрович Бондарев" w:date="2019-01-10T15:20:18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(07.01.2019, 16:38): "..."</w:t>
      </w:r>
    </w:p>
    <w:p>
      <w:r>
        <w:rPr>
          <w:rFonts w:eastAsia="DejaVu Sans" w:cs="DejaVu Sans"/>
          <w:color w:val="auto"/>
          <w:sz w:val="20"/>
          <w:lang w:val="ru-RU" w:eastAsia="ru-RU" w:bidi="ar-SA"/>
        </w:rPr>
        <w:t>Добавил.</w:t>
      </w:r>
    </w:p>
  </w:comment>
  <w:comment w:id="4" w:author="fvd" w:date="2019-01-07T16:08:00Z" w:initials="f">
    <w:p>
      <w:r>
        <w:rPr>
          <w:rFonts w:eastAsia="DejaVu Sans" w:cs="DejaVu Sans"/>
          <w:color w:val="auto"/>
          <w:lang w:val="en-US" w:eastAsia="en-US" w:bidi="en-US"/>
        </w:rPr>
        <w:t xml:space="preserve">Можно ли так писать, если при 85 град и даже 75 значения для </w:t>
      </w:r>
      <w:r>
        <w:rPr>
          <w:rFonts w:eastAsia="DejaVu Sans" w:cs="DejaVu Sans"/>
          <w:b/>
          <w:color w:val="auto"/>
          <w:lang w:val="en-US" w:eastAsia="en-US" w:bidi="en-US"/>
        </w:rPr>
        <w:t>1с</w:t>
      </w:r>
      <w:r>
        <w:rPr>
          <w:rFonts w:eastAsia="DejaVu Sans" w:cs="DejaVu Sans"/>
          <w:color w:val="auto"/>
          <w:lang w:val="en-US" w:eastAsia="en-US" w:bidi="en-US"/>
        </w:rPr>
        <w:t xml:space="preserve"> сильно отличаются 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 Вот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точно не отличаются между собой. Может быть, точнее написать: «….1с, 2, 3 почти не зависят от природы аниона при температурах 75 град».</w:t>
      </w:r>
    </w:p>
  </w:comment>
  <w:comment w:id="5" w:author="Александр Александрович Бондарев" w:date="2019-01-10T15:21:57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(07.01.2019, 16:08): "..."</w:t>
      </w:r>
    </w:p>
    <w:p>
      <w:r>
        <w:rPr>
          <w:rFonts w:eastAsia="DejaVu Sans" w:cs="DejaVu Sans"/>
          <w:color w:val="auto"/>
          <w:sz w:val="20"/>
          <w:lang w:val="ru-RU" w:eastAsia="ru-RU" w:bidi="ar-SA"/>
        </w:rPr>
        <w:t>Описал более корректно и подробно. Более крутой характер температурной зависимости для трифлата означает, что при уменьшении температуры скорость этой реакции разложения будет также уменьшается быстрее, чем для тозилата и тетрафторбората.</w:t>
      </w:r>
    </w:p>
  </w:comment>
  <w:comment w:id="6" w:author="fvd" w:date="2019-01-07T16:25:00Z" w:initials="f">
    <w:p>
      <w:r>
        <w:rPr>
          <w:rFonts w:eastAsia="DejaVu Sans" w:cs="DejaVu Sans"/>
          <w:color w:val="auto"/>
          <w:lang w:val="en-US" w:eastAsia="en-US" w:bidi="en-US"/>
        </w:rPr>
        <w:t>Это не совсем верно, если сравнить 1</w:t>
      </w:r>
      <w:r>
        <w:rPr>
          <w:rFonts w:eastAsia="DejaVu Sans" w:cs="DejaVu Sans"/>
          <w:color w:val="auto"/>
          <w:lang w:eastAsia="en-US" w:bidi="en-US" w:val="en-US"/>
        </w:rPr>
        <w:t>d</w:t>
      </w:r>
      <w:r>
        <w:rPr>
          <w:rFonts w:eastAsia="DejaVu Sans" w:cs="DejaVu Sans"/>
          <w:color w:val="auto"/>
          <w:lang w:val="en-US" w:eastAsia="en-US" w:bidi="en-US"/>
        </w:rPr>
        <w:t xml:space="preserve"> и1</w:t>
      </w:r>
      <w:r>
        <w:rPr>
          <w:rFonts w:eastAsia="DejaVu Sans" w:cs="DejaVu Sans"/>
          <w:color w:val="auto"/>
          <w:lang w:eastAsia="en-US" w:bidi="en-US" w:val="en-US"/>
        </w:rPr>
        <w:t>a</w:t>
      </w:r>
    </w:p>
  </w:comment>
  <w:comment w:id="7" w:author="Александр Александрович Бондарев" w:date="2019-01-10T15:25:04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(07.01.2019, 16:25): "..."</w:t>
      </w:r>
    </w:p>
    <w:p>
      <w:r>
        <w:rPr>
          <w:rFonts w:eastAsia="DejaVu Sans" w:cs="DejaVu Sans"/>
          <w:color w:val="auto"/>
          <w:sz w:val="20"/>
          <w:lang w:val="ru-RU" w:eastAsia="ru-RU" w:bidi="ar-SA"/>
        </w:rPr>
        <w:t>Убрал некорректный вывод.</w:t>
      </w:r>
    </w:p>
  </w:comment>
  <w:comment w:id="8" w:author="fvd" w:date="2019-01-07T16:33:00Z" w:initials="f">
    <w:p>
      <w:r>
        <w:rPr>
          <w:rFonts w:eastAsia="DejaVu Sans" w:cs="DejaVu Sans"/>
          <w:color w:val="auto"/>
          <w:lang w:val="en-US" w:eastAsia="en-US" w:bidi="en-US"/>
        </w:rPr>
        <w:t>Саша, а какую ты брал концентрацию Ао, если соли твердые ?</w:t>
      </w:r>
    </w:p>
  </w:comment>
  <w:comment w:id="9" w:author="Александр Александрович Бондарев" w:date="2019-01-10T15:25:28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(07.01.2019, 16:33): "..."</w:t>
      </w:r>
    </w:p>
    <w:p>
      <w:r>
        <w:rPr>
          <w:rFonts w:eastAsia="DejaVu Sans" w:cs="DejaVu Sans"/>
          <w:color w:val="auto"/>
          <w:sz w:val="20"/>
          <w:lang w:val="ru-RU" w:eastAsia="ru-RU" w:bidi="ar-SA"/>
        </w:rPr>
        <w:t>Для твердофазных реакций  размерность моль/г (величина обратная молярной массы), такие единицы используются при обработке в программе TAM Assistant для моделирования кинетики (поставляется вместе с калориметром)</w:t>
      </w:r>
    </w:p>
  </w:comment>
  <w:comment w:id="10" w:author="fvd" w:date="2019-01-07T16:46:00Z" w:initials="f">
    <w:p>
      <w:r>
        <w:rPr>
          <w:rFonts w:eastAsia="DejaVu Sans" w:cs="DejaVu Sans"/>
          <w:color w:val="auto"/>
          <w:lang w:val="en-US" w:eastAsia="en-US" w:bidi="en-US"/>
        </w:rPr>
        <w:t>А откуда виден этот эндотермический процесс ? есть ли цифры?</w:t>
      </w:r>
    </w:p>
  </w:comment>
  <w:comment w:id="11" w:author="Александр Александрович Бондарев" w:date="2019-01-10T15:33:32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(07.01.2019, 16:46): "..."</w:t>
      </w:r>
    </w:p>
    <w:p>
      <w:r>
        <w:rPr>
          <w:rFonts w:eastAsia="DejaVu Sans" w:cs="DejaVu Sans"/>
          <w:color w:val="auto"/>
          <w:sz w:val="20"/>
          <w:lang w:val="ru-RU" w:eastAsia="ru-RU" w:bidi="ar-SA"/>
        </w:rPr>
        <w:t xml:space="preserve">Сделал более подробное объяснение. Адекватные значения есть в таблице 1 (результаты ДСК) и в приложении 1s (деконволюция при моделировании двумя процессами). </w:t>
      </w:r>
    </w:p>
    <w:p>
      <w:r>
        <w:rPr>
          <w:rFonts w:eastAsia="DejaVu Sans" w:cs="DejaVu Sans"/>
          <w:color w:val="auto"/>
          <w:sz w:val="20"/>
          <w:lang w:val="ru-RU" w:eastAsia="ru-RU" w:bidi="ar-SA"/>
        </w:rPr>
        <w:t xml:space="preserve">Для соли </w:t>
      </w:r>
      <w:r>
        <w:rPr>
          <w:rFonts w:eastAsia="DejaVu Sans" w:cs="DejaVu Sans"/>
          <w:b/>
          <w:color w:val="auto"/>
          <w:sz w:val="20"/>
          <w:lang w:val="ru-RU" w:eastAsia="ru-RU" w:bidi="ar-SA"/>
        </w:rPr>
        <w:t>1d</w:t>
      </w:r>
      <w:r>
        <w:rPr>
          <w:rFonts w:eastAsia="DejaVu Sans" w:cs="DejaVu Sans"/>
          <w:color w:val="auto"/>
          <w:sz w:val="20"/>
          <w:lang w:val="ru-RU" w:eastAsia="ru-RU" w:bidi="ar-SA"/>
        </w:rPr>
        <w:t xml:space="preserve"> (метокси) убрал результаты деконволюции, более адекватно описывает кинетику обычное автокаталитическое уравнение.</w:t>
      </w:r>
    </w:p>
  </w:comment>
  <w:comment w:id="12" w:author="Александр Александрович Бондарев" w:date="2019-01-10T16:54:31Z" w:initials="БАА">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ru-RU"/>
        </w:rPr>
        <w:t>Этот фрагмент перенесен из выводов, как итог  калориметрического исследования.</w:t>
      </w:r>
    </w:p>
  </w:comment>
  <w:comment w:id="13" w:author="fvd" w:date="2019-01-08T21:05:00Z" w:initials="f">
    <w:p>
      <w:r>
        <w:rPr>
          <w:rFonts w:eastAsia="DejaVu Sans" w:cs="DejaVu Sans"/>
          <w:color w:val="auto"/>
          <w:lang w:val="en-US" w:eastAsia="en-US" w:bidi="en-US"/>
        </w:rPr>
        <w:t xml:space="preserve">А по </w:t>
      </w:r>
      <w:r>
        <w:rPr>
          <w:rFonts w:eastAsia="DejaVu Sans" w:cs="DejaVu Sans"/>
          <w:b/>
          <w:color w:val="auto"/>
          <w:lang w:val="en-US" w:eastAsia="en-US" w:bidi="en-US"/>
        </w:rPr>
        <w:t>1</w:t>
      </w:r>
      <w:r>
        <w:rPr>
          <w:rFonts w:eastAsia="DejaVu Sans" w:cs="DejaVu Sans"/>
          <w:b/>
          <w:color w:val="auto"/>
          <w:lang w:eastAsia="en-US" w:bidi="en-US" w:val="en-US"/>
        </w:rPr>
        <w:t>d</w:t>
      </w:r>
      <w:r>
        <w:rPr>
          <w:rFonts w:eastAsia="DejaVu Sans" w:cs="DejaVu Sans"/>
          <w:color w:val="auto"/>
          <w:lang w:val="en-US" w:eastAsia="en-US" w:bidi="en-US"/>
        </w:rPr>
        <w:t xml:space="preserve"> нет данных ?</w:t>
      </w:r>
    </w:p>
  </w:comment>
  <w:comment w:id="14" w:author="Александр Александрович Бондарев" w:date="2019-01-10T16:00:31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(08.01.2019, 21:05): "..."</w:t>
      </w:r>
    </w:p>
    <w:p>
      <w:r>
        <w:rPr>
          <w:rFonts w:eastAsia="DejaVu Sans" w:cs="DejaVu Sans"/>
          <w:color w:val="auto"/>
          <w:sz w:val="20"/>
          <w:lang w:val="ru-RU" w:eastAsia="ru-RU" w:bidi="ar-SA"/>
        </w:rPr>
        <w:t xml:space="preserve">Даннные ГХ есть и  поддтверждают образование эфира (по схеме 3) для </w:t>
      </w:r>
      <w:r>
        <w:rPr>
          <w:rFonts w:eastAsia="DejaVu Sans" w:cs="DejaVu Sans"/>
          <w:b/>
          <w:color w:val="auto"/>
          <w:sz w:val="20"/>
          <w:lang w:val="ru-RU" w:eastAsia="ru-RU" w:bidi="ar-SA"/>
        </w:rPr>
        <w:t>1d</w:t>
      </w:r>
      <w:r>
        <w:rPr>
          <w:rFonts w:eastAsia="DejaVu Sans" w:cs="DejaVu Sans"/>
          <w:color w:val="auto"/>
          <w:sz w:val="20"/>
          <w:lang w:val="ru-RU" w:eastAsia="ru-RU" w:bidi="ar-SA"/>
        </w:rPr>
        <w:t>. Исправил ошибку.</w:t>
      </w:r>
    </w:p>
  </w:comment>
  <w:comment w:id="15" w:author="fvd" w:date="2019-01-08T21:15:00Z" w:initials="f">
    <w:p>
      <w:r>
        <w:rPr>
          <w:rFonts w:eastAsia="DejaVu Sans" w:cs="DejaVu Sans"/>
          <w:color w:val="auto"/>
          <w:lang w:val="en-US" w:eastAsia="en-US" w:bidi="en-US"/>
        </w:rPr>
        <w:t xml:space="preserve">Здесь я попытался перефразировать твои мысли. Не уверен, что получилось сильно лучше. На твое усмотрение. </w:t>
      </w:r>
    </w:p>
  </w:comment>
  <w:comment w:id="16" w:author="Александр Александрович Бондарев" w:date="2019-01-10T14:46:50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(08.01.2019, 21:15): "..."</w:t>
      </w:r>
    </w:p>
    <w:p>
      <w:r>
        <w:rPr>
          <w:rFonts w:eastAsia="DejaVu Sans" w:cs="DejaVu Sans"/>
          <w:color w:val="auto"/>
          <w:sz w:val="20"/>
          <w:lang w:val="ru-RU" w:eastAsia="ru-RU" w:bidi="ar-SA"/>
        </w:rPr>
        <w:t>Возьмем Ваш более корректный вариант, только  исправил схему (5) включил в нее схематичную структуру полимерного продукта.</w:t>
      </w:r>
    </w:p>
  </w:comment>
  <w:comment w:id="17" w:author="Александр Александрович Бондарев" w:date="2019-01-10T15:16:31Z" w:initials="БАА">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bidi="ar-SA" w:eastAsia="ru-RU" w:val="ru-RU"/>
        </w:rPr>
        <w:t>Изменил схему и ссылку на нее в вашем варианте описания.</w:t>
      </w:r>
    </w:p>
  </w:comment>
  <w:comment w:id="18" w:author="fvd" w:date="2019-01-08T15:46:00Z" w:initials="f">
    <w:p>
      <w:r>
        <w:rPr>
          <w:rFonts w:eastAsia="DejaVu Sans" w:cs="DejaVu Sans"/>
          <w:color w:val="auto"/>
          <w:lang w:val="en-US" w:eastAsia="en-US" w:bidi="en-US"/>
        </w:rPr>
        <w:t>Положителдьное значение  величины ?</w:t>
      </w:r>
    </w:p>
  </w:comment>
  <w:comment w:id="19" w:author="Александр Александрович Бондарев" w:date="2019-01-10T14:00:31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(08.01.2019, 15:46): "..."</w:t>
      </w:r>
    </w:p>
    <w:p>
      <w:r>
        <w:rPr>
          <w:rFonts w:eastAsia="DejaVu Sans" w:cs="DejaVu Sans"/>
          <w:color w:val="auto"/>
          <w:sz w:val="20"/>
          <w:lang w:val="ru-RU" w:eastAsia="ru-RU" w:bidi="ar-SA"/>
        </w:rPr>
        <w:t>Исправил, была опечатка.</w:t>
      </w:r>
    </w:p>
  </w:comment>
  <w:comment w:id="20" w:author="fvd" w:date="2019-01-08T16:19:00Z" w:initials="f">
    <w:p>
      <w:r>
        <w:rPr>
          <w:rFonts w:eastAsia="DejaVu Sans" w:cs="DejaVu Sans"/>
          <w:color w:val="auto"/>
          <w:lang w:val="en-US" w:eastAsia="en-US" w:bidi="en-US"/>
        </w:rPr>
        <w:t>Саша, ты проводил расчеты и для более высоких температур. Интересно, эти значения более близки к экспериментальным ? Если да, то, может быть, стоит привести их ?</w:t>
      </w:r>
    </w:p>
  </w:comment>
  <w:comment w:id="21" w:author="Александр Александрович Бондарев" w:date="2019-01-10T14:36:13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(08.01.2019, 16:19): "..."</w:t>
      </w:r>
    </w:p>
    <w:p>
      <w:r>
        <w:rPr>
          <w:rFonts w:eastAsia="DejaVu Sans" w:cs="DejaVu Sans"/>
          <w:color w:val="auto"/>
          <w:sz w:val="20"/>
          <w:lang w:val="ru-RU" w:eastAsia="ru-RU" w:bidi="ar-SA"/>
        </w:rPr>
        <w:t>В скобках приведены значения энтальпии при 80 градусах. Энтальпия практически от температуры не зависит (немного меняется энергия Гиббса из-за энтропийной составляющей), к сожалению термодинамические поправки мы можем считать только для газовой фазы.</w:t>
      </w:r>
    </w:p>
  </w:comment>
  <w:comment w:id="22" w:author="fvd" w:date="2019-01-09T12:50:00Z" w:initials="f">
    <w:p>
      <w:r>
        <w:rPr>
          <w:rFonts w:eastAsia="DejaVu Sans" w:cs="DejaVu Sans"/>
          <w:color w:val="auto"/>
          <w:lang w:val="en-US" w:eastAsia="en-US" w:bidi="en-US"/>
        </w:rPr>
        <w:t>Я написал другой вариант заключения. Получилось покороче, но не слишком хорошо. Посмотри. Давай еще пошлифуем</w:t>
      </w:r>
    </w:p>
  </w:comment>
  <w:comment w:id="23" w:author="Александр Александрович Бондарев" w:date="2019-01-10T16:59:06Z" w:initials="БАА">
    <w:p>
      <w:r>
        <w:rPr>
          <w:rFonts w:eastAsia="Times New Roman" w:cs="Times New Roman" w:ascii="Times New Roman" w:hAnsi="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bidi="ar-SA" w:eastAsia="ru-RU" w:val="ru-RU"/>
        </w:rPr>
        <w:t>Ответ на fvd (09.01.2019, 12:50): "..."</w:t>
      </w:r>
    </w:p>
    <w:p>
      <w:r>
        <w:rPr>
          <w:rFonts w:eastAsia="DejaVu Sans" w:cs="DejaVu Sans"/>
          <w:color w:val="auto"/>
          <w:sz w:val="20"/>
          <w:lang w:val="ru-RU" w:eastAsia="ru-RU" w:bidi="ar-SA"/>
        </w:rPr>
        <w:t>Часть выводов предыдущего варианта перенес в конец раздела калориметрии. Часть оставил в дополнении к Вашему варианту.</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Symbol">
    <w:charset w:val="01"/>
    <w:family w:val="roman"/>
    <w:pitch w:val="variable"/>
  </w:font>
  <w:font w:name="Free Times">
    <w:charset w:val="01"/>
    <w:family w:val="roman"/>
    <w:pitch w:val="variable"/>
  </w:font>
  <w:font w:name="FreeSans">
    <w:charset w:val="01"/>
    <w:family w:val="auto"/>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1</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10.01.19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isplayBackgroundShape/>
  <w:embedSystemFonts/>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19"/>
    <w:qFormat/>
    <w:pPr>
      <w:numPr>
        <w:ilvl w:val="0"/>
        <w:numId w:val="1"/>
      </w:numPr>
      <w:spacing w:before="170" w:after="113"/>
      <w:jc w:val="left"/>
      <w:outlineLvl w:val="0"/>
      <w:outlineLvl w:val="0"/>
    </w:pPr>
    <w:rPr>
      <w:b/>
      <w:caps/>
      <w:color w:val="669900"/>
      <w:szCs w:val="36"/>
    </w:rPr>
  </w:style>
  <w:style w:type="paragraph" w:styleId="2">
    <w:name w:val="Heading 2"/>
    <w:basedOn w:val="Style19"/>
    <w:qFormat/>
    <w:pPr>
      <w:numPr>
        <w:ilvl w:val="1"/>
        <w:numId w:val="1"/>
      </w:numPr>
      <w:spacing w:before="113" w:after="57"/>
      <w:ind w:left="0" w:right="0" w:firstLine="397"/>
      <w:jc w:val="left"/>
      <w:outlineLvl w:val="1"/>
      <w:outlineLvl w:val="1"/>
    </w:pPr>
    <w:rPr>
      <w:b/>
      <w:sz w:val="24"/>
      <w:szCs w:val="32"/>
    </w:rPr>
  </w:style>
  <w:style w:type="paragraph" w:styleId="3">
    <w:name w:val="Heading 3"/>
    <w:basedOn w:val="Style19"/>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tyle18">
    <w:name w:val="Цитата"/>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Style19">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7">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left="0" w:right="0" w:firstLine="567"/>
    </w:pPr>
    <w:rPr>
      <w:rFonts w:eastAsia="FreeSans"/>
      <w:lang w:eastAsia="hi-IN"/>
    </w:rPr>
  </w:style>
  <w:style w:type="paragraph" w:styleId="Annotationtext">
    <w:name w:val="annotation text"/>
    <w:basedOn w:val="Normal"/>
    <w:qFormat/>
    <w:pPr>
      <w:spacing w:lineRule="auto" w:line="240"/>
      <w:ind w:left="0" w:right="0" w:firstLine="567"/>
    </w:pPr>
    <w:rPr>
      <w:rFonts w:eastAsia="FreeSans"/>
      <w:sz w:val="20"/>
      <w:lang w:eastAsia="hi-IN"/>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0" w:cs="Liberation Serif"/>
      <w:b/>
      <w:color w:val="000000"/>
      <w:sz w:val="24"/>
      <w:szCs w:val="24"/>
      <w:lang w:eastAsia="ar-SA" w:val="ru-RU"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footer" Target="footer1.xm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2442</TotalTime>
  <Application>LibreOffice/5.2.7.2$Linux_X86_64 LibreOffice_project/20m0$Build-2</Application>
  <Pages>35</Pages>
  <Words>6330</Words>
  <Characters>41648</Characters>
  <CharactersWithSpaces>47559</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2019-01-10T18:51:09Z</dcterms:modified>
  <cp:revision>800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