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pPr>
      <w:commentRangeStart w:id="0"/>
      <w:r>
        <w:rPr>
          <w:lang w:val="en-US"/>
        </w:rPr>
        <w:t>The first study of the thermal and storage stability of arenediazonium triflates in comparison with 4-nitrobenzenediazonium tosylate and tetrafluoroborate by calorimetric methods</w:t>
      </w:r>
      <w:commentRangeEnd w:id="0"/>
      <w:r>
        <w:commentReference w:id="0"/>
      </w:r>
      <w:r>
        <w:rPr>
          <w:lang w:val="en-US"/>
        </w:rPr>
      </w:r>
    </w:p>
    <w:p>
      <w:pPr>
        <w:pStyle w:val="Normal"/>
        <w:rPr>
          <w:lang w:val="en-US"/>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lang w:val="en-US"/>
        </w:rPr>
      </w:pPr>
      <w:r>
        <w:rPr>
          <w:vertAlign w:val="superscript"/>
          <w:lang w:val="en-US"/>
        </w:rPr>
        <w:t>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1"/>
        <w:numPr>
          <w:ilvl w:val="0"/>
          <w:numId w:val="2"/>
        </w:numPr>
        <w:ind w:left="0" w:firstLine="397"/>
        <w:rPr/>
      </w:pPr>
      <w:r>
        <w:rPr>
          <w:lang w:val="en-US"/>
        </w:rPr>
        <w:t xml:space="preserve">  </w:t>
      </w:r>
      <w:r>
        <w:rPr/>
        <w:t>Abstract</w:t>
      </w:r>
    </w:p>
    <w:p>
      <w:pPr>
        <w:pStyle w:val="Normal"/>
        <w:ind w:firstLine="510"/>
        <w:rPr/>
      </w:pPr>
      <w:r>
        <w:rPr/>
        <w:t>Впервые методом изотермической потоковой калориметрии и DSC/</w:t>
      </w:r>
      <w:r>
        <w:rPr>
          <w:lang w:val="en-US"/>
        </w:rPr>
        <w:t>TGA</w:t>
      </w:r>
      <w:r>
        <w:rPr/>
        <w:t xml:space="preserve"> определены энергии 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rP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изотермической потоковой калориметрии более адекватно отражает энергетику процессов термического разложения диазониевых солей и их стабильность при хранении в нормальных условиях, чем метод DSC/</w:t>
      </w:r>
      <w:r>
        <w:rPr>
          <w:lang w:val="en-US"/>
        </w:rPr>
        <w:t>TGA</w:t>
      </w:r>
      <w:r>
        <w:rPr/>
        <w:t>.</w:t>
      </w:r>
    </w:p>
    <w:p>
      <w:pPr>
        <w:pStyle w:val="1"/>
        <w:numPr>
          <w:ilvl w:val="0"/>
          <w:numId w:val="4"/>
        </w:numPr>
        <w:rPr/>
      </w:pPr>
      <w:r>
        <w:rPr/>
        <w:t>Introduction</w:t>
      </w:r>
    </w:p>
    <w:p>
      <w:pPr>
        <w:pStyle w:val="Normal"/>
        <w:numPr>
          <w:ilvl w:val="0"/>
          <w:numId w:val="3"/>
        </w:numPr>
        <w:ind w:left="0" w:firstLine="397"/>
        <w:rPr/>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numPr>
          <w:ilvl w:val="0"/>
          <w:numId w:val="3"/>
        </w:numPr>
        <w:ind w:left="0" w:firstLine="397"/>
        <w:rPr/>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pPr>
        <w:pStyle w:val="Normal"/>
        <w:numPr>
          <w:ilvl w:val="0"/>
          <w:numId w:val="3"/>
        </w:numPr>
        <w:ind w:left="0" w:firstLine="397"/>
        <w:rPr/>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eastAsia="Symbol" w:cs="Symbol" w:ascii="Symbol" w:hAnsi="Symbol"/>
        </w:rPr>
        <w:t></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rPr/>
      </w:pPr>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w:t>
      </w:r>
      <w:r>
        <w:rPr>
          <w:lang w:val="en-US"/>
        </w:rPr>
        <w:t>DSC/TGA</w:t>
      </w:r>
      <w:r>
        <w:rPr>
          <w:rFonts w:eastAsia="Times New Roman" w:cs="Times New Roman"/>
          <w:lang w:val="en-US"/>
        </w:rPr>
        <w:t xml:space="preserve">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w:t>
      </w:r>
      <w:r>
        <w:rPr>
          <w:rFonts w:eastAsia="Times New Roman" w:cs="Times New Roman"/>
          <w:highlight w:val="yellow"/>
        </w:rPr>
        <w:t xml:space="preserve">Кроме того, метод </w:t>
      </w:r>
      <w:r>
        <w:rPr/>
        <w:t>DSC/</w:t>
      </w:r>
      <w:r>
        <w:rPr>
          <w:lang w:val="en-US"/>
        </w:rPr>
        <w:t>TGA</w:t>
      </w:r>
      <w:r>
        <w:rPr>
          <w:rFonts w:eastAsia="Times New Roman" w:cs="Times New Roman"/>
          <w:highlight w:val="yellow"/>
        </w:rPr>
        <w:t xml:space="preserve"> позволяет определить энергии термического разложения при повышенных температурах, но не дает информации о разложении </w:t>
      </w:r>
      <w:r>
        <w:rPr>
          <w:rFonts w:eastAsia="Times New Roman" w:cs="Times New Roman"/>
          <w:highlight w:val="yellow"/>
          <w:lang w:val="en-US"/>
        </w:rPr>
        <w:t>DS</w:t>
      </w:r>
      <w:r>
        <w:rPr>
          <w:rFonts w:eastAsia="Times New Roman" w:cs="Times New Roman"/>
          <w:highlight w:val="yellow"/>
        </w:rPr>
        <w:t xml:space="preserve"> при хранении в нормальных условиях</w:t>
      </w:r>
      <w:r>
        <w:rPr>
          <w:rFonts w:eastAsia="Times New Roman" w:cs="Times New Roman"/>
        </w:rPr>
        <w:t xml:space="preserve">.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pPr>
        <w:pStyle w:val="Normal"/>
        <w:numPr>
          <w:ilvl w:val="0"/>
          <w:numId w:val="3"/>
        </w:numPr>
        <w:ind w:left="0" w:firstLine="397"/>
        <w:rPr/>
      </w:pPr>
      <w:r>
        <w:rPr>
          <w:rFonts w:eastAsia="Times New Roman" w:cs="Times New Roman"/>
          <w:highlight w:val="yellow"/>
        </w:rPr>
        <w:t xml:space="preserve">Важно отметить, что процессы разложения </w:t>
      </w:r>
      <w:r>
        <w:rPr>
          <w:rFonts w:eastAsia="Times New Roman" w:cs="Times New Roman"/>
          <w:highlight w:val="yellow"/>
          <w:lang w:val="en-US"/>
        </w:rPr>
        <w:t>DS</w:t>
      </w:r>
      <w:r>
        <w:rPr>
          <w:rFonts w:eastAsia="Times New Roman" w:cs="Times New Roman"/>
          <w:highlight w:val="yellow"/>
        </w:rPr>
        <w:t xml:space="preserve"> в растворах давно и интенсивно исследуются (см., например, [1</w:t>
      </w:r>
      <w:r>
        <w:rPr>
          <w:rFonts w:eastAsia="Times New Roman" w:cs="Times New Roman"/>
          <w:highlight w:val="yellow"/>
          <w:lang w:val="en-US"/>
        </w:rPr>
        <w:t>a</w:t>
      </w:r>
      <w:r>
        <w:rPr>
          <w:rFonts w:eastAsia="Times New Roman" w:cs="Times New Roman"/>
          <w:highlight w:val="yellow"/>
        </w:rPr>
        <w:t>,</w:t>
      </w:r>
      <w:r>
        <w:rPr>
          <w:rFonts w:eastAsia="Times New Roman" w:cs="Times New Roman"/>
          <w:highlight w:val="yellow"/>
          <w:lang w:val="en-US"/>
        </w:rPr>
        <w:t>g</w:t>
      </w:r>
      <w:r>
        <w:rPr>
          <w:rFonts w:eastAsia="Times New Roman" w:cs="Times New Roman"/>
          <w:highlight w:val="yellow"/>
        </w:rPr>
        <w:t>]), но в противоположность этому отсутствуют</w:t>
      </w:r>
      <w:r>
        <w:rPr>
          <w:rFonts w:eastAsia="Times New Roman" w:cs="Times New Roman"/>
        </w:rPr>
        <w:t xml:space="preserve"> общепринятые процедуры измерений стабильности и безопасности DS в сухом состоянии.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xml:space="preserve">] определены энергии термического разложения и детонационной чувствительности арендиазоний хлоридов, замечено, что в ряду </w:t>
      </w:r>
      <w:r>
        <w:rPr>
          <w:rFonts w:eastAsia="Times New Roman" w:cs="Times New Roman"/>
          <w:i/>
        </w:rPr>
        <w:t>орто</w:t>
      </w:r>
      <w:r>
        <w:rPr>
          <w:rFonts w:eastAsia="Times New Roman" w:cs="Times New Roman"/>
        </w:rPr>
        <w:t xml:space="preserve">-, </w:t>
      </w:r>
      <w:r>
        <w:rPr>
          <w:rFonts w:eastAsia="Times New Roman" w:cs="Times New Roman"/>
          <w:i/>
        </w:rPr>
        <w:t>мета</w:t>
      </w:r>
      <w:r>
        <w:rPr>
          <w:rFonts w:eastAsia="Times New Roman" w:cs="Times New Roman"/>
        </w:rPr>
        <w:t xml:space="preserve">- и </w:t>
      </w:r>
      <w:r>
        <w:rPr>
          <w:rFonts w:eastAsia="Times New Roman" w:cs="Times New Roman"/>
          <w:i/>
        </w:rPr>
        <w:t>пара</w:t>
      </w:r>
      <w:r>
        <w:rPr>
          <w:rFonts w:eastAsia="Times New Roman" w:cs="Times New Roman"/>
        </w:rPr>
        <w:t>-производных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определенные методами DSC/TGA,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numPr>
          <w:ilvl w:val="0"/>
          <w:numId w:val="3"/>
        </w:numPr>
        <w:ind w:left="0" w:firstLine="397"/>
        <w:rPr/>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и изотермической потоковой калориметрии, 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pPr>
        <w:pStyle w:val="Normal"/>
        <w:numPr>
          <w:ilvl w:val="3"/>
          <w:numId w:val="3"/>
        </w:numPr>
        <w:ind w:left="0" w:firstLine="397"/>
        <w:rPr/>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firstLine="397"/>
        <w:rPr/>
      </w:pPr>
      <w:r>
        <w:rPr/>
        <w:t xml:space="preserve">  </w:t>
      </w:r>
      <w:r>
        <w:rPr/>
        <w:t>MATERIALS AND METHODS</w:t>
      </w:r>
      <w:r>
        <w:rPr>
          <w:bCs/>
          <w:lang w:val="en-US"/>
        </w:rPr>
        <w:t xml:space="preserve"> </w:t>
      </w:r>
    </w:p>
    <w:p>
      <w:pPr>
        <w:pStyle w:val="ListParagraph"/>
        <w:numPr>
          <w:ilvl w:val="3"/>
          <w:numId w:val="3"/>
        </w:numPr>
        <w:tabs>
          <w:tab w:val="left" w:pos="450" w:leader="none"/>
        </w:tabs>
        <w:ind w:left="0" w:firstLine="397"/>
        <w:rPr/>
      </w:pPr>
      <w:r>
        <w:rPr>
          <w:rFonts w:cs="Times New Roman" w:ascii="Times New Roman" w:hAnsi="Times New Roman"/>
        </w:rPr>
        <w:t xml:space="preserve">Arenediazonium triflates </w:t>
      </w:r>
      <w:r>
        <w:rPr>
          <w:rFonts w:cs="Times New Roman" w:ascii="Times New Roman" w:hAnsi="Times New Roman"/>
          <w:b/>
          <w:bCs/>
        </w:rPr>
        <w:t>1a-d</w:t>
      </w:r>
      <w:r>
        <w:rPr>
          <w:rFonts w:cs="Times New Roman" w:ascii="Times New Roman" w:hAnsi="Times New Roman"/>
        </w:rPr>
        <w:t xml:space="preserve"> and 4-nitrobenzenediazonium tosylate </w:t>
      </w:r>
      <w:r>
        <w:rPr>
          <w:rFonts w:cs="Times New Roman" w:ascii="Times New Roman" w:hAnsi="Times New Roman"/>
          <w:b/>
          <w:bCs/>
        </w:rPr>
        <w:t>2</w:t>
      </w:r>
      <w:r>
        <w:rPr>
          <w:rFonts w:cs="Times New Roman" w:ascii="Times New Roman" w:hAnsi="Times New Roman"/>
        </w:rPr>
        <w:t xml:space="preserve"> были получены известными методами [3a,b]. 4-Nitrobenzenediazonium tetrafluoroborate </w:t>
      </w:r>
      <w:r>
        <w:rPr>
          <w:rFonts w:cs="Times New Roman" w:ascii="Times New Roman" w:hAnsi="Times New Roman"/>
          <w:b/>
          <w:bCs/>
        </w:rPr>
        <w:t>3</w:t>
      </w:r>
      <w:r>
        <w:rPr>
          <w:rFonts w:cs="Times New Roman" w:ascii="Times New Roman" w:hAnsi="Times New Roman"/>
        </w:rPr>
        <w:t xml:space="preserve"> представлял собой коммерческий образец (Aldrich CAS №</w:t>
      </w:r>
      <w:r>
        <w:rPr>
          <w:rFonts w:cs="Times New Roman" w:ascii="Times New Roman" w:hAnsi="Times New Roman"/>
          <w:highlight w:val="white"/>
        </w:rPr>
        <w:t xml:space="preserve"> </w:t>
      </w:r>
      <w:r>
        <w:rPr>
          <w:rFonts w:cs="Times New Roman" w:ascii="Times New Roman" w:hAnsi="Times New Roman"/>
        </w:rPr>
        <w:t>456-27-9).</w:t>
      </w:r>
    </w:p>
    <w:p>
      <w:pPr>
        <w:pStyle w:val="ListParagraph"/>
        <w:numPr>
          <w:ilvl w:val="3"/>
          <w:numId w:val="3"/>
        </w:numPr>
        <w:ind w:lef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1"/>
        <w:gridCol w:w="787"/>
      </w:tblGrid>
      <w:tr>
        <w:trPr/>
        <w:tc>
          <w:tcPr>
            <w:tcW w:w="3400" w:type="dxa"/>
            <w:tcBorders/>
            <w:shd w:color="auto" w:fill="FFFFFF" w:val="clear"/>
          </w:tcPr>
          <w:p>
            <w:pPr>
              <w:pStyle w:val="Style24"/>
              <w:ind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1a</w:t>
            </w:r>
          </w:p>
        </w:tc>
        <w:tc>
          <w:tcPr>
            <w:tcW w:w="4201" w:type="dxa"/>
            <w:tcBorders/>
            <w:shd w:color="auto" w:fill="FFFFFF" w:val="clear"/>
          </w:tcPr>
          <w:p>
            <w:pPr>
              <w:pStyle w:val="Style24"/>
              <w:ind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1d</w:t>
            </w:r>
          </w:p>
        </w:tc>
      </w:tr>
      <w:tr>
        <w:trPr/>
        <w:tc>
          <w:tcPr>
            <w:tcW w:w="3400" w:type="dxa"/>
            <w:tcBorders/>
            <w:shd w:color="auto" w:fill="FFFFFF" w:val="clear"/>
          </w:tcPr>
          <w:p>
            <w:pPr>
              <w:pStyle w:val="Style24"/>
              <w:ind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1b</w:t>
            </w:r>
          </w:p>
        </w:tc>
        <w:tc>
          <w:tcPr>
            <w:tcW w:w="4201" w:type="dxa"/>
            <w:tcBorders/>
            <w:shd w:color="auto" w:fill="FFFFFF" w:val="clear"/>
          </w:tcPr>
          <w:p>
            <w:pPr>
              <w:pStyle w:val="Style24"/>
              <w:ind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2</w:t>
            </w:r>
          </w:p>
        </w:tc>
      </w:tr>
      <w:tr>
        <w:trPr/>
        <w:tc>
          <w:tcPr>
            <w:tcW w:w="3400" w:type="dxa"/>
            <w:tcBorders/>
            <w:shd w:color="auto" w:fill="FFFFFF" w:val="clear"/>
          </w:tcPr>
          <w:p>
            <w:pPr>
              <w:pStyle w:val="Style24"/>
              <w:ind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rPr>
            </w:pPr>
            <w:r>
              <w:rPr>
                <w:b/>
                <w:bCs/>
              </w:rPr>
              <w:t>1c</w:t>
            </w:r>
          </w:p>
        </w:tc>
        <w:tc>
          <w:tcPr>
            <w:tcW w:w="4201" w:type="dxa"/>
            <w:tcBorders/>
            <w:shd w:color="auto" w:fill="FFFFFF" w:val="clear"/>
          </w:tcPr>
          <w:p>
            <w:pPr>
              <w:pStyle w:val="Style24"/>
              <w:ind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7" w:type="dxa"/>
            <w:tcBorders/>
            <w:shd w:color="auto" w:fill="FFFFFF" w:val="clear"/>
          </w:tcPr>
          <w:p>
            <w:pPr>
              <w:pStyle w:val="Style24"/>
              <w:ind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rPr/>
      </w:pPr>
      <w:r>
        <w:rPr/>
        <w:t>Исследования DSC/</w:t>
      </w:r>
      <w:r>
        <w:rPr>
          <w:lang w:val="en-US"/>
        </w:rPr>
        <w:t>TGA</w:t>
      </w:r>
      <w:r>
        <w:rPr/>
        <w:t xml:space="preserve">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образцы солей массой 10 мг помещались в стеклянный стакан находящийся в стандартной ампуле калориметра (Ampoule Hast 1mL) изготовленной из сплава </w:t>
      </w:r>
      <w:r>
        <w:rPr>
          <w:i/>
          <w:lang w:val="en-US"/>
        </w:rPr>
        <w:t>Hastelloy</w:t>
      </w:r>
      <w:r>
        <w:rPr/>
        <w:t xml:space="preserve"> объемом 1 мл,  вакуумировали, затем заполняли азотом, аргоном либо воздухом в соответствии с условиями эксперимента.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К полученным продуктам добавляли водный раствор KI для перевода неразложившихся диазониевых солей в соответствующие летучие арилиодиды [3a,b], продукты были экстрагированы этилацетатом и профильтрованы через слой силикагеля.</w:t>
      </w:r>
    </w:p>
    <w:p>
      <w:pPr>
        <w:pStyle w:val="Normal"/>
        <w:rPr/>
      </w:pPr>
      <w:r>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rPr/>
        <w:t>. Объем вводимой пробы 5 мкл. Для обработки и интегрирования масс-спектров использован программный комплекс OpenMS 2.0 [10a,b].</w:t>
      </w:r>
    </w:p>
    <w:p>
      <w:pPr>
        <w:pStyle w:val="Normal"/>
        <w:rPr>
          <w:lang w:val="en-US"/>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rPr>
        <w:t xml:space="preserve"> [11]</w:t>
      </w:r>
      <w:r>
        <w:rPr/>
        <w:t xml:space="preserve">.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характер исследуемых структур. Затем рассчитывали колебательные частоты и использовали термодинамические поправки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w:t>
      </w:r>
    </w:p>
    <w:p>
      <w:pPr>
        <w:pStyle w:val="1"/>
        <w:numPr>
          <w:ilvl w:val="0"/>
          <w:numId w:val="2"/>
        </w:numPr>
        <w:ind w:left="0" w:firstLine="397"/>
        <w:rPr/>
      </w:pPr>
      <w:r>
        <w:rPr/>
        <w:t xml:space="preserve">  </w:t>
      </w:r>
      <w:r>
        <w:rPr/>
        <w:t>RESULTS AND DISCUSSION</w:t>
      </w:r>
    </w:p>
    <w:p>
      <w:pPr>
        <w:pStyle w:val="2"/>
        <w:numPr>
          <w:ilvl w:val="1"/>
          <w:numId w:val="2"/>
        </w:numPr>
        <w:ind w:left="0" w:firstLine="397"/>
        <w:rPr/>
      </w:pPr>
      <w:r>
        <w:rPr>
          <w:bCs/>
          <w:lang w:val="en-US"/>
        </w:rPr>
        <w:t>DSC</w:t>
      </w:r>
      <w:r>
        <w:rPr>
          <w:bCs/>
        </w:rPr>
        <w:t>/</w:t>
      </w:r>
      <w:r>
        <w:rPr>
          <w:bCs/>
          <w:lang w:val="en-US"/>
        </w:rPr>
        <w:t>TGA</w:t>
      </w:r>
      <w:r>
        <w:rPr>
          <w:bCs/>
        </w:rPr>
        <w:t xml:space="preserve"> </w:t>
      </w:r>
      <w:r>
        <w:rPr>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В случае солей </w:t>
      </w:r>
      <w:r>
        <w:rPr>
          <w:b/>
          <w:bCs/>
        </w:rPr>
        <w:t>1a</w:t>
      </w:r>
      <w:r>
        <w:rPr/>
        <w:t xml:space="preserve">, </w:t>
      </w:r>
      <w:r>
        <w:rPr>
          <w:b/>
          <w:bCs/>
        </w:rPr>
        <w:t>1b</w:t>
      </w:r>
      <w:r>
        <w:rPr/>
        <w:t xml:space="preserve">, </w:t>
      </w:r>
      <w:r>
        <w:rPr>
          <w:b/>
          <w:bCs/>
        </w:rPr>
        <w:t>1d</w:t>
      </w:r>
      <w:r>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hanging="0"/>
        <w:jc w:val="right"/>
        <w:rPr/>
      </w:pPr>
      <w:r>
        <w:rPr/>
        <w:t xml:space="preserve">Таблица 1. </w:t>
      </w:r>
    </w:p>
    <w:p>
      <w:pPr>
        <w:pStyle w:val="Normal"/>
        <w:ind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TGA</w:t>
      </w:r>
      <w:r>
        <w:rPr/>
        <w:t xml:space="preserve"> экспериментах</w:t>
      </w:r>
    </w:p>
    <w:tbl>
      <w:tblPr>
        <w:tblW w:w="5000" w:type="pct"/>
        <w:jc w:val="left"/>
        <w:tblInd w:w="10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val="0000" w:noVBand="0" w:noHBand="0" w:lastColumn="0" w:firstColumn="0" w:lastRow="0" w:firstRow="0"/>
      </w:tblPr>
      <w:tblGrid>
        <w:gridCol w:w="2773"/>
        <w:gridCol w:w="1026"/>
        <w:gridCol w:w="2487"/>
        <w:gridCol w:w="912"/>
        <w:gridCol w:w="2440"/>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bCs/>
                <w:color w:val="000000"/>
              </w:rPr>
            </w:pPr>
            <w:r>
              <w:rPr>
                <w:bCs/>
                <w:color w:val="000000"/>
              </w:rPr>
              <w:t>Diazonium salts</w:t>
            </w:r>
          </w:p>
        </w:tc>
        <w:tc>
          <w:tcPr>
            <w:tcW w:w="351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pPr>
            <w:r>
              <w:rPr/>
              <w:t>Endotherm process</w:t>
            </w:r>
          </w:p>
        </w:tc>
        <w:tc>
          <w:tcPr>
            <w:tcW w:w="335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t>Exotherm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rPr/>
            </w:pPr>
            <w:r>
              <w:rPr/>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pPr>
            <w:r>
              <w:rPr>
                <w:bCs/>
              </w:rPr>
              <w:t>Т</w:t>
            </w:r>
            <w:r>
              <w:rPr>
                <w:bCs/>
                <w:lang w:val="en-US"/>
              </w:rPr>
              <w:t xml:space="preserve">, </w:t>
            </w:r>
            <w:r>
              <w:rPr>
                <w:bCs/>
                <w:vertAlign w:val="superscript"/>
              </w:rPr>
              <w:t>0</w:t>
            </w:r>
            <w:r>
              <w:rPr>
                <w:bCs/>
              </w:rPr>
              <w:t>C</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pPr>
            <w:r>
              <w:rPr>
                <w:rFonts w:ascii="Symbol" w:hAnsi="Symbol"/>
                <w:bCs/>
                <w:sz w:val="16"/>
                <w:szCs w:val="16"/>
              </w:rPr>
              <w:t></w:t>
            </w:r>
            <w:r>
              <w:rPr>
                <w:bCs/>
              </w:rPr>
              <w:t>Н,</w:t>
            </w:r>
            <w:r>
              <w:rPr>
                <w:bCs/>
                <w:sz w:val="22"/>
                <w:szCs w:val="22"/>
              </w:rPr>
              <w:t xml:space="preserve">  </w:t>
            </w:r>
            <w:r>
              <w:rPr>
                <w:bCs/>
                <w:sz w:val="22"/>
                <w:szCs w:val="22"/>
                <w:lang w:val="en-US"/>
              </w:rPr>
              <w:t>J</w:t>
            </w:r>
            <w:r>
              <w:rPr>
                <w:bCs/>
                <w:sz w:val="22"/>
                <w:szCs w:val="22"/>
              </w:rPr>
              <w:t>/g (</w:t>
            </w:r>
            <w:r>
              <w:rPr>
                <w:bCs/>
                <w:sz w:val="22"/>
                <w:szCs w:val="22"/>
                <w:lang w:val="en-US"/>
              </w:rPr>
              <w:t>kJ</w:t>
            </w:r>
            <w:r>
              <w:rPr>
                <w:bCs/>
                <w:sz w:val="22"/>
                <w:szCs w:val="22"/>
              </w:rPr>
              <w:t>/</w:t>
            </w:r>
            <w:r>
              <w:rPr>
                <w:bCs/>
                <w:sz w:val="22"/>
                <w:szCs w:val="22"/>
                <w:lang w:val="en-US"/>
              </w:rPr>
              <w:t>mol</w:t>
            </w:r>
            <w:r>
              <w:rPr>
                <w:bCs/>
                <w:sz w:val="22"/>
                <w:szCs w:val="22"/>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bCs/>
              </w:rPr>
              <w:t>Т</w:t>
            </w:r>
            <w:r>
              <w:rPr>
                <w:bCs/>
                <w:lang w:val="en-US"/>
              </w:rPr>
              <w:t xml:space="preserve">, </w:t>
            </w:r>
            <w:r>
              <w:rPr>
                <w:bCs/>
                <w:vertAlign w:val="superscript"/>
              </w:rPr>
              <w:t>0</w:t>
            </w:r>
            <w:r>
              <w:rPr>
                <w:bCs/>
              </w:rPr>
              <w:t>C</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rFonts w:ascii="Symbol" w:hAnsi="Symbol"/>
                <w:bCs/>
                <w:sz w:val="16"/>
                <w:szCs w:val="16"/>
              </w:rPr>
              <w:t></w:t>
            </w:r>
            <w:r>
              <w:rPr>
                <w:bCs/>
              </w:rPr>
              <w:t>Н</w:t>
            </w:r>
            <w:r>
              <w:rPr>
                <w:bCs/>
                <w:sz w:val="22"/>
                <w:szCs w:val="22"/>
              </w:rPr>
              <w:t xml:space="preserve">, </w:t>
            </w:r>
            <w:r>
              <w:rPr>
                <w:bCs/>
                <w:sz w:val="22"/>
                <w:szCs w:val="22"/>
                <w:lang w:val="en-US"/>
              </w:rPr>
              <w:t>J</w:t>
            </w:r>
            <w:r>
              <w:rPr>
                <w:bCs/>
                <w:sz w:val="22"/>
                <w:szCs w:val="22"/>
              </w:rPr>
              <w:t>/g (</w:t>
            </w:r>
            <w:r>
              <w:rPr>
                <w:bCs/>
                <w:sz w:val="22"/>
                <w:szCs w:val="22"/>
                <w:lang w:val="en-US"/>
              </w:rPr>
              <w:t>kJ</w:t>
            </w:r>
            <w:r>
              <w:rPr>
                <w:bCs/>
                <w:sz w:val="22"/>
                <w:szCs w:val="22"/>
              </w:rPr>
              <w:t>/</w:t>
            </w:r>
            <w:r>
              <w:rPr>
                <w:bCs/>
                <w:sz w:val="22"/>
                <w:szCs w:val="22"/>
                <w:lang w:val="en-US"/>
              </w:rPr>
              <w:t>mol</w:t>
            </w:r>
            <w:r>
              <w:rPr>
                <w:bCs/>
                <w:sz w:val="22"/>
                <w:szCs w:val="22"/>
              </w:rPr>
              <w:t>)</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104.1</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102.5</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color w:val="000000"/>
                <w:szCs w:val="28"/>
                <w:lang w:val="en-US"/>
              </w:rPr>
              <w:t>-840.4</w:t>
            </w:r>
            <w:r>
              <w:rPr>
                <w:color w:val="000000"/>
                <w:szCs w:val="28"/>
              </w:rPr>
              <w:t xml:space="preserve">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color w:val="000000"/>
                <w:szCs w:val="28"/>
                <w:lang w:val="en-US"/>
              </w:rPr>
              <w:t>-219.9</w:t>
            </w:r>
            <w:r>
              <w:rPr>
                <w:color w:val="000000"/>
                <w:szCs w:val="28"/>
              </w:rPr>
              <w:t xml:space="preserve">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88.4</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rPr>
            </w:pPr>
            <w:r>
              <w:rPr>
                <w:color w:val="000000"/>
                <w:szCs w:val="28"/>
              </w:rPr>
              <w:t>136.6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pPr>
            <w:r>
              <w:rPr>
                <w:color w:val="000000"/>
                <w:szCs w:val="28"/>
              </w:rPr>
              <w:t>-328.9 (-</w:t>
            </w:r>
            <w:r>
              <w:rPr>
                <w:color w:val="000000"/>
                <w:szCs w:val="28"/>
                <w:lang w:val="en-US"/>
              </w:rPr>
              <w:t>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lang w:val="en-US"/>
              </w:rPr>
            </w:pPr>
            <w:r>
              <w:rPr>
                <w:color w:val="000000"/>
                <w:szCs w:val="28"/>
                <w:lang w:val="en-US"/>
              </w:rPr>
              <w:t>-</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lang w:val="en-US"/>
              </w:rPr>
            </w:pPr>
            <w:r>
              <w:rPr>
                <w:color w:val="000000"/>
                <w:szCs w:val="28"/>
                <w:lang w:val="en-US"/>
              </w:rPr>
              <w:t>33.7</w:t>
            </w:r>
          </w:p>
        </w:tc>
        <w:tc>
          <w:tcPr>
            <w:tcW w:w="24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tcPr>
          <w:p>
            <w:pPr>
              <w:pStyle w:val="Normal"/>
              <w:spacing w:lineRule="auto" w:line="240"/>
              <w:ind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98"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pPr>
      <w:r>
        <w:rP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a</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pPr>
      <w:r>
        <w:rP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b</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pPr>
      <w:r>
        <w:rP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pPr>
      <w:r>
        <w:rP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d</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pPr>
      <w:r>
        <w:rP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rPr/>
        <w:t xml:space="preserve"> методом </w:t>
      </w:r>
      <w:r>
        <w:rPr>
          <w:lang w:val="en-US"/>
        </w:rPr>
        <w:t>DSC</w:t>
      </w:r>
      <w:r>
        <w:rPr/>
        <w:t>/</w:t>
      </w:r>
      <w:r>
        <w:rPr>
          <w:lang w:val="en-US"/>
        </w:rPr>
        <w:t>TGA</w:t>
      </w:r>
    </w:p>
    <w:p>
      <w:pPr>
        <w:pStyle w:val="Normal"/>
        <w:ind w:hanging="0"/>
        <w:jc w:val="center"/>
        <w:rPr/>
      </w:pPr>
      <w:r>
        <w:rPr/>
      </w:r>
    </w:p>
    <w:p>
      <w:pPr>
        <w:pStyle w:val="Normal"/>
        <w:ind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pPr>
      <w:r>
        <w:rP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Pr>
          <w:color w:val="000000"/>
          <w:szCs w:val="28"/>
        </w:rPr>
        <w:t xml:space="preserve"> </w:t>
      </w:r>
      <w:r>
        <w:rPr>
          <w:b/>
          <w:bCs/>
          <w:color w:val="000000"/>
          <w:szCs w:val="28"/>
        </w:rPr>
        <w:t>3</w:t>
      </w:r>
      <w:r>
        <w:rPr/>
        <w:t xml:space="preserve"> методом </w:t>
      </w:r>
      <w:r>
        <w:rPr>
          <w:lang w:val="en-US"/>
        </w:rPr>
        <w:t>DSC</w:t>
      </w:r>
      <w:r>
        <w:rPr/>
        <w:t>/</w:t>
      </w:r>
      <w:r>
        <w:rPr>
          <w:lang w:val="en-US"/>
        </w:rPr>
        <w:t>TGA</w:t>
      </w:r>
    </w:p>
    <w:p>
      <w:pPr>
        <w:pStyle w:val="Normal"/>
        <w:ind w:firstLine="567"/>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rPr>
        <w:t></w:t>
      </w:r>
      <w:r>
        <w:rPr/>
        <w:t>H</w:t>
      </w:r>
      <w:r>
        <w:rPr>
          <w:vertAlign w:val="subscript"/>
        </w:rPr>
        <w:t>exoterm</w:t>
      </w:r>
      <w:r>
        <w:rPr/>
        <w:t xml:space="preserve">. 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firstLine="397"/>
        <w:rPr/>
      </w:pPr>
      <w:r>
        <w:rPr/>
        <w:t>Изотермическая потоковая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7a].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разложения, и начальные концентрации продукта аппроксимированные по уравнению 2 для изотермического разложения образцов трех синтетических партий, полученных в идентичных условиях (samples 1-3), а также образцов, очищенных однократным и двукратным осаждением образца 3 из растворов в уксусной кислоте эфиром (</w:t>
      </w:r>
      <w:r>
        <w:rPr>
          <w:lang w:val="en-US"/>
        </w:rPr>
        <w:t>repricipitation</w:t>
      </w:r>
      <w:r>
        <w:rPr/>
        <w:t xml:space="preserve"> 1 </w:t>
      </w:r>
      <w:r>
        <w:rPr>
          <w:lang w:val="en-US"/>
        </w:rPr>
        <w:t>and</w:t>
      </w:r>
      <w:r>
        <w:rPr/>
        <w:t xml:space="preserve"> 2).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степени очистки образца, хотя существует небольшая 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качественных и статистически значимых различий при разложении в атмосфере азота, воздуха и аргона. Дальнейшие исследования </w:t>
      </w:r>
      <w:r>
        <w:rPr>
          <w:rFonts w:eastAsia="Times New Roman" w:cs="Times New Roman"/>
        </w:rPr>
        <w:t xml:space="preserve">изотермической </w:t>
      </w:r>
      <w:r>
        <w:rPr/>
        <w:t>потоковой калориметрии проводились в атмосфере азота и после однократного переосаждения (r</w:t>
      </w:r>
      <w:r>
        <w:rPr>
          <w:lang w:val="en-US"/>
        </w:rPr>
        <w:t>epricipitation</w:t>
      </w:r>
      <w:r>
        <w:rPr/>
        <w:t xml:space="preserve">) исходных </w:t>
      </w:r>
      <w:r>
        <w:rPr>
          <w:lang w:val="en-US"/>
        </w:rPr>
        <w:t>DS</w:t>
      </w:r>
      <w:r>
        <w:rPr/>
        <w:t>.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ind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ind w:hanging="0"/>
        <w:jc w:val="center"/>
        <w:rPr/>
      </w:pPr>
      <w:r>
        <w:rPr/>
        <w:t>зависимости от полученной партии и числа переосаждений при температуре 85 </w:t>
      </w:r>
      <w:r>
        <w:rPr>
          <w:rFonts w:cs="Times New Roman" w:ascii="Times New Roman" w:hAnsi="Times New Roman"/>
          <w:vertAlign w:val="superscript"/>
        </w:rPr>
        <w:t>o</w:t>
      </w:r>
      <w:r>
        <w:rPr/>
        <w:t>С</w:t>
      </w:r>
    </w:p>
    <w:p>
      <w:pPr>
        <w:pStyle w:val="Normal"/>
        <w:ind w:hanging="0"/>
        <w:jc w:val="center"/>
        <w:rPr/>
      </w:pPr>
      <w:r>
        <w:rPr/>
        <w:t>(где k - константа скорости, С</w:t>
      </w:r>
      <w:r>
        <w:rPr>
          <w:vertAlign w:val="subscript"/>
        </w:rPr>
        <w:t>0</w:t>
      </w:r>
      <w:r>
        <w:rPr/>
        <w:t xml:space="preserve"> — начальная концентрация продукта по уравнению 2, </w:t>
      </w:r>
    </w:p>
    <w:p>
      <w:pPr>
        <w:pStyle w:val="Normal"/>
        <w:ind w:hanging="0"/>
        <w:jc w:val="center"/>
        <w:rPr/>
      </w:pPr>
      <w:r>
        <w:rPr>
          <w:rFonts w:ascii="Symbol" w:hAnsi="Symbol"/>
          <w:sz w:val="16"/>
          <w:szCs w:val="16"/>
        </w:rPr>
        <w:t></w:t>
      </w:r>
      <w:r>
        <w:rPr/>
        <w:t>H - интегральная энтальпия, P</w:t>
      </w:r>
      <w:r>
        <w:rPr>
          <w:vertAlign w:val="subscript"/>
        </w:rPr>
        <w:t>0</w:t>
      </w:r>
      <w:r>
        <w:rPr/>
        <w:t xml:space="preserve"> — величина начального теплового потока) </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noVBand="0" w:noHBand="0" w:lastColumn="0" w:firstColumn="0" w:lastRow="0" w:firstRow="0"/>
      </w:tblPr>
      <w:tblGrid>
        <w:gridCol w:w="4363"/>
        <w:gridCol w:w="1926"/>
        <w:gridCol w:w="1475"/>
        <w:gridCol w:w="1391"/>
      </w:tblGrid>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Sample</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Symbol" w:hAnsi="Symbol"/>
                <w:b/>
                <w:sz w:val="16"/>
                <w:szCs w:val="16"/>
              </w:rPr>
              <w:t></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sz w:val="22"/>
                <w:szCs w:val="22"/>
              </w:rPr>
              <w:t>,</w:t>
            </w:r>
            <w:r>
              <w:rPr>
                <w:rFonts w:cs="Arial" w:ascii="Free Times" w:hAnsi="Free Times"/>
                <w:b/>
                <w:sz w:val="22"/>
                <w:szCs w:val="22"/>
                <w:vertAlign w:val="subscript"/>
              </w:rPr>
              <w:t xml:space="preserve"> </w:t>
            </w:r>
            <w:r>
              <w:rPr>
                <w:rFonts w:cs="Times New Roman" w:ascii="Free Times" w:hAnsi="Free Times"/>
                <w:b/>
                <w:sz w:val="22"/>
                <w:szCs w:val="22"/>
              </w:rPr>
              <w:t>mW/g</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8"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926"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Sample 1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234.2 ± 3.0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31.2 ± 8.1</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2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243.6 ± 20.7</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12.7 ± 3.5</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3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235.5 ± 7.0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10.1 ± 3.5</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8"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926"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3 Air,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229.0 ± 28.9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8.7 ± 8.5</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3 Argon,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242.3 ± 8.0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 xml:space="preserve">12.8 ± 2.4 </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spacing w:lineRule="auto" w:line="240"/>
              <w:ind w:hanging="0"/>
              <w:jc w:val="center"/>
              <w:rPr>
                <w:rFonts w:ascii="Free Times" w:hAnsi="Free Times" w:cs="Arial"/>
                <w:sz w:val="22"/>
                <w:szCs w:val="22"/>
              </w:rPr>
            </w:pPr>
            <w:r>
              <w:rPr>
                <w:rFonts w:cs="Arial" w:ascii="Free Times" w:hAnsi="Free Times"/>
                <w:sz w:val="22"/>
                <w:szCs w:val="22"/>
              </w:rPr>
              <w:t xml:space="preserve">Sample 2, 3 Nitrogen, </w:t>
            </w:r>
          </w:p>
          <w:p>
            <w:pPr>
              <w:pStyle w:val="Style24"/>
              <w:spacing w:lineRule="auto" w:line="240"/>
              <w:ind w:hanging="0"/>
              <w:jc w:val="center"/>
              <w:rPr/>
            </w:pPr>
            <w:r>
              <w:rPr>
                <w:rFonts w:cs="Arial" w:ascii="Free Times" w:hAnsi="Free Times"/>
                <w:sz w:val="22"/>
                <w:szCs w:val="22"/>
              </w:rPr>
              <w:t xml:space="preserve">(source, </w:t>
            </w:r>
            <w:r>
              <w:rPr>
                <w:rFonts w:cs="Arial" w:ascii="Free Times" w:hAnsi="Free Times"/>
                <w:sz w:val="22"/>
                <w:szCs w:val="22"/>
                <w:lang w:val="en-US"/>
              </w:rPr>
              <w:t>repricipitation</w:t>
            </w:r>
            <w:r>
              <w:rPr>
                <w:rFonts w:cs="Arial" w:ascii="Free Times" w:hAnsi="Free Times"/>
                <w:sz w:val="22"/>
                <w:szCs w:val="22"/>
              </w:rPr>
              <w:t xml:space="preserve"> 1, 2)</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238.9 ± 7.8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11.2 ± 2.3</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8" w:type="dxa"/>
            </w:tcMar>
            <w:vAlign w:val="center"/>
          </w:tcPr>
          <w:p>
            <w:pPr>
              <w:pStyle w:val="Style24"/>
              <w:ind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source</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241.7 ± 16.2</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12.0 ± 2.0</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235.1 ± 17.9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10.2 ± 6.3</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238.1 ± 6.8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sz w:val="22"/>
                <w:szCs w:val="22"/>
              </w:rPr>
            </w:pPr>
            <w:r>
              <w:rPr>
                <w:rFonts w:cs="Arial" w:ascii="Free Times" w:hAnsi="Free Times"/>
                <w:sz w:val="22"/>
                <w:szCs w:val="22"/>
              </w:rPr>
              <w:t>11.3 ± 2.3</w:t>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5" w:type="dxa"/>
            </w:tcMar>
            <w:vAlign w:val="center"/>
          </w:tcPr>
          <w:p>
            <w:pPr>
              <w:pStyle w:val="Style24"/>
              <w:ind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General statistics</w:t>
            </w:r>
          </w:p>
        </w:tc>
        <w:tc>
          <w:tcPr>
            <w:tcW w:w="1926"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53"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237.7 ± 4.6</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53" w:type="dxa"/>
            </w:tcMar>
            <w:vAlign w:val="center"/>
          </w:tcPr>
          <w:p>
            <w:pPr>
              <w:pStyle w:val="Style24"/>
              <w:ind w:hanging="0"/>
              <w:jc w:val="center"/>
              <w:rPr>
                <w:rFonts w:ascii="Free Times" w:hAnsi="Free Times" w:cs="Arial"/>
                <w:b/>
                <w:b/>
                <w:sz w:val="22"/>
                <w:szCs w:val="22"/>
              </w:rPr>
            </w:pPr>
            <w:r>
              <w:rPr>
                <w:rFonts w:cs="Arial" w:ascii="Free Times" w:hAnsi="Free Times"/>
                <w:b/>
                <w:sz w:val="22"/>
                <w:szCs w:val="22"/>
              </w:rPr>
              <w:t>13.8 ± 3.3</w:t>
            </w:r>
          </w:p>
        </w:tc>
      </w:tr>
    </w:tbl>
    <w:p>
      <w:pPr>
        <w:pStyle w:val="Normal"/>
        <w:jc w:val="center"/>
        <w:rPr>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Полученные значения максимального теплового потока для 4-нитробензолдиазониевых солей </w:t>
      </w:r>
      <w:r>
        <w:rPr>
          <w:b/>
          <w:bCs/>
        </w:rPr>
        <w:t>1</w:t>
      </w:r>
      <w:r>
        <w:rPr>
          <w:b/>
          <w:bCs/>
          <w:lang w:val="en-US"/>
        </w:rPr>
        <w:t>c</w:t>
      </w:r>
      <w:r>
        <w:rPr>
          <w:b/>
          <w:bCs/>
        </w:rPr>
        <w:t>, 2, 3</w:t>
      </w:r>
      <w:r>
        <w:rPr/>
        <w:t xml:space="preserve"> почти не зависят от аниона при температуре 75 </w:t>
      </w:r>
      <w:r>
        <w:rPr>
          <w:vertAlign w:val="superscript"/>
        </w:rPr>
        <w:t>о</w:t>
      </w:r>
      <w:r>
        <w:rPr/>
        <w:t>С. Следует заметить, что температурная зависимость величины P</w:t>
      </w:r>
      <w:r>
        <w:rPr>
          <w:vertAlign w:val="subscript"/>
        </w:rPr>
        <w:t>max</w:t>
      </w:r>
      <w:r>
        <w:rPr/>
        <w:t xml:space="preserve"> для трифлатной соли </w:t>
      </w:r>
      <w:r>
        <w:rPr>
          <w:b/>
          <w:bCs/>
        </w:rPr>
        <w:t>1c</w:t>
      </w:r>
      <w:r>
        <w:rPr/>
        <w:t xml:space="preserve"> имеет более крутой характер и при температурах 80 </w:t>
      </w:r>
      <w:r>
        <w:rPr>
          <w:vertAlign w:val="superscript"/>
        </w:rPr>
        <w:t>о</w:t>
      </w:r>
      <w:r>
        <w:rPr/>
        <w:t>С и 85 </w:t>
      </w:r>
      <w:r>
        <w:rPr>
          <w:vertAlign w:val="superscript"/>
        </w:rPr>
        <w:t>о</w:t>
      </w:r>
      <w:r>
        <w:rPr/>
        <w:t xml:space="preserve">С значения максимального теплового потока для соли </w:t>
      </w:r>
      <w:r>
        <w:rPr>
          <w:b/>
          <w:bCs/>
        </w:rPr>
        <w:t>1c</w:t>
      </w:r>
      <w:r>
        <w:rPr/>
        <w:t xml:space="preserve"> значительно выше, чем для солей </w:t>
      </w:r>
      <w:r>
        <w:rPr>
          <w:b/>
          <w:bCs/>
        </w:rPr>
        <w:t>2</w:t>
      </w:r>
      <w:r>
        <w:rPr/>
        <w:t xml:space="preserve"> и </w:t>
      </w:r>
      <w:r>
        <w:rPr>
          <w:b/>
          <w:bCs/>
        </w:rPr>
        <w:t>3</w:t>
      </w:r>
      <w:r>
        <w:rPr/>
        <w:t xml:space="preserve">.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w:t>
      </w:r>
      <w:r>
        <w:rPr>
          <w:vertAlign w:val="subscript"/>
        </w:rPr>
        <w:t>max</w:t>
      </w:r>
      <w:r>
        <w:rPr/>
        <w:t xml:space="preserve"> в сравнении с 4-nitroderivative </w:t>
      </w:r>
      <w:r>
        <w:rPr>
          <w:b/>
          <w:bCs/>
        </w:rPr>
        <w:t>1c</w:t>
      </w:r>
      <w:r>
        <w:rPr/>
        <w:t xml:space="preserve">. Среди nitrobenzenediazonium triflates </w:t>
      </w:r>
      <w:r>
        <w:rPr>
          <w:b/>
          <w:bCs/>
        </w:rPr>
        <w:t xml:space="preserve">1a-c </w:t>
      </w:r>
      <w:r>
        <w:rPr/>
        <w:t xml:space="preserve">наблюдается уменьшение величины максимального теплового потока в ряду </w:t>
      </w:r>
      <w:r>
        <w:rPr>
          <w:i/>
        </w:rPr>
        <w:t>пара</w:t>
      </w:r>
      <w:r>
        <w:rPr/>
        <w:t xml:space="preserve">- </w:t>
      </w:r>
      <w:r>
        <w:rPr>
          <w:b/>
          <w:bCs/>
        </w:rPr>
        <w:t>1c</w:t>
      </w:r>
      <w:r>
        <w:rPr/>
        <w:t> &gt; </w:t>
      </w:r>
      <w:r>
        <w:rPr>
          <w:i/>
        </w:rPr>
        <w:t>мета</w:t>
      </w:r>
      <w:r>
        <w:rPr/>
        <w:t xml:space="preserve">- </w:t>
      </w:r>
      <w:r>
        <w:rPr>
          <w:b/>
          <w:bCs/>
        </w:rPr>
        <w:t>1b</w:t>
      </w:r>
      <w:r>
        <w:rPr/>
        <w:t> &gt; </w:t>
      </w:r>
      <w:r>
        <w:rPr>
          <w:i/>
        </w:rPr>
        <w:t>орто</w:t>
      </w:r>
      <w:r>
        <w:rPr/>
        <w:t xml:space="preserve">- </w:t>
      </w:r>
      <w:r>
        <w:rPr>
          <w:b/>
          <w:bCs/>
        </w:rPr>
        <w:t>1a</w:t>
      </w:r>
      <w:r>
        <w:rPr/>
        <w:t xml:space="preserve"> замещенных. </w:t>
      </w:r>
      <w:r>
        <w:rPr>
          <w:color w:val="000000"/>
        </w:rPr>
        <w:t xml:space="preserve">Величины </w:t>
      </w:r>
      <w:r>
        <w:rPr/>
        <w:t>P</w:t>
      </w:r>
      <w:r>
        <w:rPr>
          <w:vertAlign w:val="subscript"/>
        </w:rPr>
        <w:t>max</w:t>
      </w:r>
      <w:r>
        <w:rPr>
          <w:color w:val="000000"/>
        </w:rPr>
        <w:t xml:space="preserve">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ind w:hanging="0"/>
        <w:jc w:val="center"/>
        <w:rPr/>
      </w:pPr>
      <w:r>
        <w:rPr>
          <w:rFonts w:ascii="Standard Symbols L" w:hAnsi="Standard Symbols L"/>
          <w:sz w:val="16"/>
          <w:szCs w:val="16"/>
        </w:rPr>
        <w:t>(</w:t>
      </w:r>
      <w:r>
        <w:rPr>
          <w:rFonts w:ascii="Symbol" w:hAnsi="Symbol"/>
          <w:sz w:val="16"/>
          <w:szCs w:val="16"/>
        </w:rPr>
        <w:t></w:t>
      </w:r>
      <w:r>
        <w:rPr/>
        <w:t>H интегральная энтальпия, P</w:t>
      </w:r>
      <w:r>
        <w:rPr>
          <w:vertAlign w:val="subscript"/>
        </w:rPr>
        <w:t>max</w:t>
      </w:r>
      <w:r>
        <w:rPr/>
        <w:t xml:space="preserve">  величина максимального теплового потока)</w:t>
      </w:r>
    </w:p>
    <w:tbl>
      <w:tblPr>
        <w:tblW w:w="9640"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2811"/>
        <w:gridCol w:w="1082"/>
        <w:gridCol w:w="1083"/>
        <w:gridCol w:w="1108"/>
        <w:gridCol w:w="1"/>
        <w:gridCol w:w="1162"/>
        <w:gridCol w:w="1152"/>
        <w:gridCol w:w="1240"/>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5"/>
              <w:spacing w:lineRule="auto" w:line="240"/>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4" w:type="dxa"/>
            <w:gridSpan w:val="4"/>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5"/>
              <w:spacing w:lineRule="auto" w:line="240"/>
              <w:ind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4"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Normal"/>
              <w:rPr/>
            </w:pPr>
            <w:r>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80</w:t>
            </w:r>
            <w:r>
              <w:rPr>
                <w:rFonts w:cs="Times New Roman" w:ascii="Times New Roman" w:hAnsi="Times New Roman"/>
                <w:vertAlign w:val="superscript"/>
              </w:rPr>
              <w:t>o</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85</w:t>
            </w:r>
            <w:r>
              <w:rPr>
                <w:rFonts w:cs="Times New Roman" w:ascii="Times New Roman" w:hAnsi="Times New Roman"/>
                <w:vertAlign w:val="superscript"/>
              </w:rPr>
              <w:t>o</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80</w:t>
            </w:r>
            <w:r>
              <w:rPr>
                <w:rFonts w:cs="Times New Roman" w:ascii="Times New Roman" w:hAnsi="Times New Roman"/>
                <w:vertAlign w:val="superscript"/>
              </w:rPr>
              <w:t>o</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396.0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225.4</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14.15</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235.1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250.0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47.89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183.2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color w:val="000000"/>
              </w:rPr>
            </w:pPr>
            <w:r>
              <w:rPr>
                <w:rFonts w:cs="Times New Roman" w:ascii="Times New Roman" w:hAnsi="Times New Roman"/>
                <w:color w:val="000000"/>
              </w:rPr>
              <w:t>106.0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2.97</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232.4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231.0 </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34.82</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 xml:space="preserve">156.0 </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147.0</w:t>
            </w:r>
          </w:p>
        </w:tc>
        <w:tc>
          <w:tcPr>
            <w:tcW w:w="1163" w:type="dxa"/>
            <w:gridSpan w:val="2"/>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31.63</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Pr>
          <w:vertAlign w:val="subscript"/>
        </w:rPr>
        <w:t>0</w:t>
      </w:r>
      <w:r>
        <w:rPr/>
        <w:t>, P</w:t>
      </w:r>
      <w:r>
        <w:rPr>
          <w:vertAlign w:val="subscript"/>
        </w:rPr>
        <w:t>max</w:t>
      </w:r>
      <w:r>
        <w:rPr/>
        <w:t xml:space="preserve"> - величины начального и максимального тепловых потоков в уравнении автокаталитической реакции 2. Кинетические параметры уравнения 2 аппроксимирующие экспериментальные зависимости тепловых потоков  для солей </w:t>
      </w:r>
      <w:r>
        <w:rPr>
          <w:b/>
          <w:bCs/>
        </w:rPr>
        <w:t>1a-1d, 2, 3</w:t>
      </w:r>
      <w:r>
        <w:rP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ind w:hanging="0"/>
        <w:jc w:val="center"/>
        <w:rPr/>
      </w:pPr>
      <w:r>
        <w:rPr>
          <w:highlight w:val="white"/>
        </w:rPr>
        <w:t xml:space="preserve">(где </w:t>
      </w:r>
      <w:r>
        <w:rPr>
          <w:i/>
          <w:iCs/>
        </w:rPr>
        <w:t>A</w:t>
      </w:r>
      <w:r>
        <w:rPr>
          <w:vertAlign w:val="subscript"/>
        </w:rPr>
        <w:t>0</w:t>
      </w:r>
      <w:r>
        <w:rPr/>
        <w:t xml:space="preserve"> - начальная концентрация исходной ДС,  для твердофазных реакций выражается в моль/г (величина обратная молярной массе);  </w:t>
      </w:r>
      <w:r>
        <w:rPr>
          <w:i/>
          <w:iCs/>
        </w:rPr>
        <w:t>С</w:t>
      </w:r>
      <w:r>
        <w:rPr>
          <w:vertAlign w:val="subscript"/>
        </w:rPr>
        <w:t>0</w:t>
      </w:r>
      <w:r>
        <w:rPr/>
        <w:t xml:space="preserve">, </w:t>
      </w:r>
      <w:r>
        <w:rPr>
          <w:i/>
          <w:iCs/>
        </w:rPr>
        <w:t>С</w:t>
      </w:r>
      <w:r>
        <w:rPr/>
        <w:t xml:space="preserve"> - начальная и текущая концентрации продуктов, [моль/г]; </w:t>
      </w:r>
      <w:r>
        <w:rPr>
          <w:i/>
          <w:iCs/>
        </w:rPr>
        <w:t>k</w:t>
      </w:r>
      <w:r>
        <w:rPr/>
        <w:t xml:space="preserve"> </w:t>
      </w:r>
      <w:r>
        <w:rPr>
          <w:highlight w:val="white"/>
        </w:rPr>
        <w:t xml:space="preserve">-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Pr/>
        <w:t xml:space="preserve">исследуемых процессов </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pPr>
        <w:pStyle w:val="Normal"/>
        <w:ind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hanging="0"/>
        <w:jc w:val="center"/>
        <w:rPr/>
      </w:pPr>
      <w:r>
        <w:rPr/>
      </w:r>
    </w:p>
    <w:p>
      <w:pPr>
        <w:pStyle w:val="Normal"/>
        <w:tabs>
          <w:tab w:val="center" w:pos="218" w:leader="none"/>
        </w:tabs>
        <w:spacing w:before="0" w:after="113"/>
        <w:rPr/>
      </w:pPr>
      <w:r>
        <w:rPr/>
        <w:t xml:space="preserve">Экспериментальные кривые теплового потока в изотермическом эксперименте для соли </w:t>
      </w:r>
      <w:r>
        <w:rPr>
          <w:b/>
          <w:bCs/>
        </w:rPr>
        <w:t>1a</w:t>
      </w:r>
      <w:r>
        <w:rPr/>
        <w:t xml:space="preserve"> имеют имеют более сложный характер и отличается от кривых характерных для автокаталитического процесса. На начальном этапе наблюдается уменьшение теплового потока (преобладание скорости эндотермического процесса) с последующим возрастанием (преобладанием экзотермического процесса), наличие эндотермического процесса  согласуется с данными </w:t>
      </w:r>
      <w:r>
        <w:rPr>
          <w:lang w:val="en-US"/>
        </w:rPr>
        <w:t>DSC</w:t>
      </w:r>
      <w:r>
        <w:rPr/>
        <w:t>/</w:t>
      </w:r>
      <w:r>
        <w:rPr>
          <w:lang w:val="en-US"/>
        </w:rPr>
        <w:t>TGA</w:t>
      </w:r>
      <w:r>
        <w:rPr/>
        <w:t xml:space="preserve"> (таблица 1). Мы описали кинетику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солей </w:t>
      </w:r>
      <w:r>
        <w:rPr>
          <w:b/>
          <w:bCs/>
        </w:rPr>
        <w:t>1-3</w:t>
      </w:r>
      <w:r>
        <w:rPr/>
        <w:t xml:space="preserve"> приведены параметры аппроксимации кинетики тепловыделения одним автокаталитическим процессом, соответствующим основной экзотермической стадии, которая определяет основные характеристики безопасности и устойчивости </w:t>
      </w:r>
      <w:r>
        <w:rPr>
          <w:lang w:val="en-US"/>
        </w:rPr>
        <w:t>DS</w:t>
      </w:r>
      <w:r>
        <w:rPr/>
        <w:t>.</w:t>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5"/>
              <w:spacing w:lineRule="auto" w:line="240"/>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P</w:t>
            </w:r>
            <w:r>
              <w:rPr>
                <w:vertAlign w:val="subscript"/>
              </w:rPr>
              <w:t>0</w:t>
            </w:r>
            <w:r>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80</w:t>
            </w:r>
            <w:r>
              <w:rPr>
                <w:vertAlign w:val="superscript"/>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spacing w:lineRule="auto" w:line="240"/>
              <w:ind w:hanging="0"/>
              <w:jc w:val="center"/>
              <w:rPr/>
            </w:pPr>
            <w:r>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spacing w:lineRule="auto" w:line="240"/>
              <w:ind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noBreakHyphen/>
        <w:t xml:space="preserve">метоксифенилдиазония </w:t>
      </w:r>
      <w:r>
        <w:rPr>
          <w:b/>
          <w:color w:val="000000"/>
        </w:rPr>
        <w:t>1d</w:t>
      </w:r>
      <w:r>
        <w:rPr>
          <w:color w:val="000000"/>
        </w:rPr>
        <w:t xml:space="preserve"> - 5.37 mW/g (рисунок 8).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8.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t xml:space="preserve"> – 45 ч., значительно менее стабильны мета- </w:t>
      </w:r>
      <w:r>
        <w:rPr>
          <w:b/>
          <w:bCs/>
        </w:rPr>
        <w:t>1</w:t>
      </w:r>
      <w:r>
        <w:rPr>
          <w:b/>
          <w:bCs/>
          <w:lang w:val="en-US"/>
        </w:rPr>
        <w:t>b</w:t>
      </w:r>
      <w:r>
        <w:rPr/>
        <w:t xml:space="preserve"> – 11 ч.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9.</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hanging="0"/>
        <w:jc w:val="right"/>
        <w:rPr/>
      </w:pPr>
      <w:r>
        <w:rPr/>
      </w:r>
      <w:r>
        <w:br w:type="page"/>
      </w:r>
    </w:p>
    <w:p>
      <w:pPr>
        <w:pStyle w:val="Normal"/>
        <w:tabs>
          <w:tab w:val="left" w:pos="0" w:leader="none"/>
        </w:tabs>
        <w:ind w:hanging="0"/>
        <w:jc w:val="right"/>
        <w:rPr/>
      </w:pPr>
      <w:r>
        <w:rPr/>
        <w:t xml:space="preserve">Таблица 5 </w:t>
      </w:r>
    </w:p>
    <w:p>
      <w:pPr>
        <w:pStyle w:val="Normal"/>
        <w:tabs>
          <w:tab w:val="left" w:pos="0" w:leader="none"/>
        </w:tabs>
        <w:ind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497"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5"/>
              <w:ind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vAlign w:val="center"/>
          </w:tcPr>
          <w:p>
            <w:pPr>
              <w:pStyle w:val="Style24"/>
              <w:ind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vAlign w:val="center"/>
          </w:tcPr>
          <w:p>
            <w:pPr>
              <w:pStyle w:val="Style24"/>
              <w:ind w:hanging="0"/>
              <w:jc w:val="center"/>
              <w:rPr>
                <w:rFonts w:cs="Liberation Serif"/>
              </w:rPr>
            </w:pPr>
            <w:r>
              <w:rPr>
                <w:rFonts w:cs="Liberation Serif"/>
              </w:rPr>
              <w:t>140.3</w:t>
            </w:r>
          </w:p>
        </w:tc>
      </w:tr>
    </w:tbl>
    <w:p>
      <w:pPr>
        <w:pStyle w:val="Normal"/>
        <w:rPr/>
      </w:pPr>
      <w:r>
        <w:rPr/>
      </w:r>
    </w:p>
    <w:p>
      <w:pPr>
        <w:pStyle w:val="Normal"/>
        <w:tabs>
          <w:tab w:val="left" w:pos="0" w:leader="none"/>
        </w:tabs>
        <w:ind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hanging="0"/>
        <w:jc w:val="center"/>
        <w:rPr/>
      </w:pPr>
      <w:r>
        <w:rPr>
          <w:color w:val="000000"/>
        </w:rPr>
        <w:t xml:space="preserve">Рисунок 10.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w:t>
      </w:r>
      <w:r>
        <w:rPr>
          <w:lang w:val="en-US"/>
        </w:rPr>
        <w:t>DSC</w:t>
      </w:r>
      <w:r>
        <w:rPr/>
        <w:t>/</w:t>
      </w:r>
      <w:r>
        <w:rPr>
          <w:lang w:val="en-US"/>
        </w:rPr>
        <w:t>TGA</w:t>
      </w:r>
      <w:r>
        <w:rPr>
          <w:color w:val="000000"/>
        </w:rPr>
        <w:t xml:space="preserve">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pPr>
        <w:pStyle w:val="Normal"/>
        <w:rPr/>
      </w:pPr>
      <w:r>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t xml:space="preserve">Рисунок 11. Тепловые потоки (P) </w:t>
      </w:r>
      <w:r>
        <w:rPr>
          <w:color w:val="000000"/>
        </w:rPr>
        <w:t>рассчитанные на основе моделирования  кинетических кривых</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pPr>
      <w:r>
        <w:rPr/>
        <w:t xml:space="preserve">Рисунок 12. Тепловые потоки (P) рассчитанные на основе моделирования  кинетических кривых разложения 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w:t>
      </w:r>
    </w:p>
    <w:p>
      <w:pPr>
        <w:pStyle w:val="Normal"/>
        <w:tabs>
          <w:tab w:val="left" w:pos="0" w:leader="none"/>
        </w:tabs>
        <w:ind w:hanging="0"/>
        <w:jc w:val="center"/>
        <w:rPr/>
      </w:pPr>
      <w:r>
        <w:rPr/>
        <w:t>4-нитробензолдиазония при 25 </w:t>
      </w:r>
      <w:r>
        <w:rPr>
          <w:vertAlign w:val="superscript"/>
        </w:rPr>
        <w:t>о</w:t>
      </w:r>
      <w:r>
        <w:rPr/>
        <w:t>С</w:t>
      </w:r>
    </w:p>
    <w:p>
      <w:pPr>
        <w:pStyle w:val="Normal"/>
        <w:tabs>
          <w:tab w:val="left" w:pos="0" w:leader="none"/>
        </w:tabs>
        <w:ind w:hanging="0"/>
        <w:jc w:val="center"/>
        <w:rPr>
          <w:color w:val="000000"/>
          <w:sz w:val="12"/>
          <w:szCs w:val="12"/>
          <w:highlight w:val="green"/>
        </w:rPr>
      </w:pPr>
      <w:r>
        <w:rPr>
          <w:color w:val="000000"/>
          <w:sz w:val="12"/>
          <w:szCs w:val="12"/>
          <w:highlight w:val="green"/>
        </w:rPr>
      </w:r>
    </w:p>
    <w:p>
      <w:pPr>
        <w:pStyle w:val="Normal"/>
        <w:tabs>
          <w:tab w:val="center" w:pos="218" w:leader="none"/>
        </w:tabs>
        <w:rPr/>
      </w:pPr>
      <w:r>
        <w:rPr/>
        <w:t xml:space="preserve">Проведение только </w:t>
      </w:r>
      <w:r>
        <w:rPr>
          <w:lang w:val="en-US"/>
        </w:rPr>
        <w:t>DSC</w:t>
      </w:r>
      <w:r>
        <w:rPr/>
        <w:t>/</w:t>
      </w:r>
      <w:r>
        <w:rPr>
          <w:lang w:val="en-US"/>
        </w:rPr>
        <w:t>TGA</w:t>
      </w:r>
      <w:r>
        <w:rPr/>
        <w:t xml:space="preserve"> исследований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w:t>
      </w:r>
      <w:r>
        <w:rPr>
          <w:lang w:val="en-US"/>
        </w:rPr>
        <w:t>DSC</w:t>
      </w:r>
      <w:r>
        <w:rPr/>
        <w:t>/</w:t>
      </w:r>
      <w:r>
        <w:rPr>
          <w:lang w:val="en-US"/>
        </w:rPr>
        <w:t>TGA</w:t>
      </w:r>
      <w:r>
        <w:rPr/>
        <w:t xml:space="preserve"> исследованиях разложение </w:t>
      </w:r>
      <w:r>
        <w:rPr>
          <w:lang w:val="en-US"/>
        </w:rPr>
        <w:t>DS</w:t>
      </w:r>
      <w:r>
        <w:rPr/>
        <w:t xml:space="preserve"> происходит при различных температурах, что затрудняет анализ и сравнение полученных данных.</w:t>
      </w:r>
      <w:commentRangeStart w:id="1"/>
      <w:r>
        <w:rPr>
          <w:highlight w:val="green"/>
        </w:rPr>
        <w:t xml:space="preserve"> </w:t>
      </w:r>
      <w:r>
        <w:rPr>
          <w:highlight w:val="green"/>
        </w:rPr>
      </w:r>
      <w:commentRangeEnd w:id="1"/>
      <w:r>
        <w:commentReference w:id="1"/>
      </w:r>
      <w:r>
        <w:rPr>
          <w:highlight w:val="green"/>
        </w:rPr>
        <w:commentReference w:id="2"/>
      </w:r>
      <w:r>
        <w:rPr/>
        <w:t>Исследование термической стабильности следует дополнять более подробным изучением кинетики методом и</w:t>
      </w:r>
      <w:r>
        <w:rPr>
          <w:rFonts w:eastAsia="Times New Roman" w:cs="Times New Roman"/>
        </w:rPr>
        <w:t xml:space="preserve">зотермической </w:t>
      </w:r>
      <w:r>
        <w:rPr/>
        <w:t>потоковой калориметрии, с определением величин максимальных тепловых потоков, периодов полураспада, энергий активации и аппроксимацией кинетики на нормальные условия.</w:t>
      </w:r>
    </w:p>
    <w:p>
      <w:pPr>
        <w:pStyle w:val="Normal"/>
        <w:tabs>
          <w:tab w:val="center" w:pos="218" w:leader="none"/>
        </w:tabs>
        <w:rPr/>
      </w:pPr>
      <w:r>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pPr>
      <w:r>
        <w:rPr/>
        <w:t xml:space="preserve">По результатам </w:t>
      </w:r>
      <w:r>
        <w:rPr>
          <w:rFonts w:eastAsia="Times New Roman" w:cs="Times New Roman"/>
        </w:rPr>
        <w:t xml:space="preserve">изотермической </w:t>
      </w:r>
      <w:r>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w:t>
      </w:r>
      <w:r>
        <w:rPr/>
        <w:t>6</w:t>
      </w:r>
      <w:r>
        <w:rPr/>
        <w:t>]. В случае трифлата 2-нитрофенилдиазония выделяющаяся энергия -1300 Дж/г превышает допустимое значение.</w:t>
      </w:r>
    </w:p>
    <w:p>
      <w:pPr>
        <w:pStyle w:val="2"/>
        <w:numPr>
          <w:ilvl w:val="1"/>
          <w:numId w:val="2"/>
        </w:numPr>
        <w:ind w:left="0" w:firstLine="397"/>
        <w:rPr/>
      </w:pPr>
      <w:r>
        <w:rPr>
          <w:bCs/>
          <w:lang w:val="en-US"/>
        </w:rPr>
        <w:t>GC</w:t>
      </w:r>
      <w:r>
        <w:rPr>
          <w:bCs/>
        </w:rPr>
        <w:t>-</w:t>
      </w:r>
      <w:r>
        <w:rPr>
          <w:bCs/>
          <w:lang w:val="en-US"/>
        </w:rPr>
        <w:t>MS</w:t>
      </w:r>
      <w:r>
        <w:rPr>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и тозилатов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t xml:space="preserve">, </w:t>
      </w:r>
      <w:r>
        <w:rPr>
          <w:b/>
        </w:rPr>
        <w:t>1c</w:t>
      </w:r>
      <w:r>
        <w:rPr/>
        <w:t xml:space="preserve">, </w:t>
      </w:r>
      <w:r>
        <w:rPr>
          <w:b/>
        </w:rPr>
        <w:t>1d</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rPr/>
        <w:t xml:space="preserve">В общем, для солей </w:t>
      </w:r>
      <w:r>
        <w:rPr>
          <w:b/>
          <w:bCs/>
        </w:rPr>
        <w:t>1b</w:t>
      </w:r>
      <w:r>
        <w:rPr/>
        <w:t>-</w:t>
      </w:r>
      <w:r>
        <w:rPr>
          <w:b/>
          <w:bCs/>
        </w:rPr>
        <w:t>d</w:t>
      </w:r>
      <w:r>
        <w:rPr/>
        <w:t xml:space="preserve">, </w:t>
      </w:r>
      <w:r>
        <w:rPr>
          <w:b/>
          <w:bCs/>
        </w:rPr>
        <w:t>2</w:t>
      </w:r>
      <w:r>
        <w:rPr/>
        <w:t xml:space="preserve">, </w:t>
      </w:r>
      <w:r>
        <w:rPr>
          <w:b/>
          <w:bCs/>
        </w:rPr>
        <w:t>3</w:t>
      </w:r>
      <w:r>
        <w:rP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pPr>
        <w:pStyle w:val="Normal"/>
        <w:ind w:hanging="0"/>
        <w:rPr/>
      </w:pPr>
      <w:r>
        <w:rPr/>
      </w:r>
    </w:p>
    <w:p>
      <w:pPr>
        <w:pStyle w:val="Normal"/>
        <w:ind w:hanging="0"/>
        <w:jc w:val="center"/>
        <w:rPr/>
      </w:pPr>
      <w:r>
        <w:rPr/>
        <w:drawing>
          <wp:inline distT="0" distB="0" distL="0" distR="0">
            <wp:extent cx="4704715" cy="727710"/>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3"/>
                    <a:stretch>
                      <a:fillRect/>
                    </a:stretch>
                  </pic:blipFill>
                  <pic:spPr bwMode="auto">
                    <a:xfrm>
                      <a:off x="0" y="0"/>
                      <a:ext cx="4704715" cy="727710"/>
                    </a:xfrm>
                    <a:prstGeom prst="rect">
                      <a:avLst/>
                    </a:prstGeom>
                  </pic:spPr>
                </pic:pic>
              </a:graphicData>
            </a:graphic>
          </wp:inline>
        </w:drawing>
      </w:r>
    </w:p>
    <w:p>
      <w:pPr>
        <w:pStyle w:val="Normal"/>
        <w:spacing w:before="0" w:after="113"/>
        <w:ind w:hanging="0"/>
        <w:jc w:val="center"/>
        <w:rPr>
          <w:rFonts w:ascii="FreeSans" w:hAnsi="FreeSans"/>
          <w:sz w:val="22"/>
          <w:szCs w:val="22"/>
        </w:rPr>
      </w:pPr>
      <w:r>
        <w:rPr>
          <w:rFonts w:ascii="FreeSans" w:hAnsi="FreeSans"/>
          <w:sz w:val="22"/>
          <w:szCs w:val="22"/>
          <w:lang w:val="en-US" w:eastAsia="ru-RU" w:bidi="ar-SA"/>
        </w:rPr>
        <w:t>Nu</w:t>
      </w:r>
      <w:r>
        <w:rPr>
          <w:rFonts w:ascii="FreeSans" w:hAnsi="FreeSans"/>
          <w:sz w:val="22"/>
          <w:szCs w:val="22"/>
          <w:lang w:eastAsia="ru-RU" w:bidi="ar-SA"/>
        </w:rPr>
        <w:t xml:space="preserve"> = </w:t>
      </w:r>
      <w:r>
        <w:rPr>
          <w:rFonts w:ascii="FreeSans" w:hAnsi="FreeSans"/>
          <w:sz w:val="22"/>
          <w:szCs w:val="22"/>
          <w:lang w:val="en-US" w:eastAsia="ru-RU" w:bidi="ar-SA"/>
        </w:rPr>
        <w:t>F</w:t>
      </w:r>
      <w:r>
        <w:rPr>
          <w:rFonts w:ascii="FreeSans" w:hAnsi="FreeSans"/>
          <w:sz w:val="22"/>
          <w:szCs w:val="22"/>
          <w:lang w:eastAsia="ru-RU" w:bidi="ar-SA"/>
        </w:rPr>
        <w:t xml:space="preserve">, </w:t>
      </w:r>
      <w:r>
        <w:rPr>
          <w:rFonts w:ascii="FreeSans" w:hAnsi="FreeSans"/>
          <w:sz w:val="22"/>
          <w:szCs w:val="22"/>
          <w:lang w:val="en-US" w:eastAsia="ru-RU" w:bidi="ar-SA"/>
        </w:rPr>
        <w:t>TsO</w:t>
      </w:r>
      <w:r>
        <w:rPr>
          <w:rFonts w:ascii="FreeSans" w:hAnsi="FreeSans"/>
          <w:sz w:val="22"/>
          <w:szCs w:val="22"/>
          <w:lang w:eastAsia="ru-RU" w:bidi="ar-SA"/>
        </w:rPr>
        <w:t xml:space="preserve">, </w:t>
      </w:r>
      <w:r>
        <w:rPr>
          <w:rFonts w:ascii="FreeSans" w:hAnsi="FreeSans"/>
          <w:sz w:val="22"/>
          <w:szCs w:val="22"/>
          <w:lang w:val="en-US" w:eastAsia="ru-RU" w:bidi="ar-SA"/>
        </w:rPr>
        <w:t>TfO</w:t>
      </w:r>
    </w:p>
    <w:p>
      <w:pPr>
        <w:pStyle w:val="Normal"/>
        <w:rPr/>
      </w:pPr>
      <w:r>
        <w:rPr/>
        <w:t xml:space="preserve">Совершенно иной процесс проходит при разложении соли </w:t>
      </w:r>
      <w:r>
        <w:rPr>
          <w:b/>
        </w:rPr>
        <w:t>1</w:t>
      </w:r>
      <w:r>
        <w:rPr>
          <w:b/>
          <w:lang w:val="en-US"/>
        </w:rPr>
        <w:t>a</w:t>
      </w:r>
      <w:r>
        <w:rPr/>
        <w:t xml:space="preserve"> с нитро-группой в </w:t>
      </w:r>
      <w:r>
        <w:rPr>
          <w:i/>
        </w:rPr>
        <w:t>орто</w:t>
      </w:r>
      <w:r>
        <w:rP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rP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pPr>
        <w:pStyle w:val="Normal"/>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jc w:val="left"/>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pPr>
            <w:r>
              <w:rPr/>
              <w:t xml:space="preserve">Цепочка </w:t>
            </w:r>
            <w:r>
              <w:rPr>
                <w:lang w:val="en-US"/>
              </w:rPr>
              <w:t>P</w:t>
            </w:r>
            <w:r>
              <w:rP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47"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7" w:type="dxa"/>
            </w:tcMar>
          </w:tcPr>
          <w:p>
            <w:pPr>
              <w:pStyle w:val="Style24"/>
              <w:ind w:hanging="0"/>
              <w:jc w:val="center"/>
              <w:rP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color w:val="000000"/>
              </w:rPr>
            </w:pPr>
            <w:r>
              <w:rPr>
                <w:color w:val="000000"/>
              </w:rPr>
            </w:r>
          </w:p>
          <w:p>
            <w:pPr>
              <w:pStyle w:val="Style24"/>
              <w:ind w:hanging="0"/>
              <w:jc w:val="center"/>
              <w:rP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hanging="0"/>
              <w:jc w:val="center"/>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rPr>
      </w:pPr>
      <w:r>
        <w:rPr>
          <w:color w:val="000000"/>
        </w:rPr>
      </w:r>
    </w:p>
    <w:p>
      <w:pPr>
        <w:pStyle w:val="Normal"/>
        <w:rPr/>
      </w:pPr>
      <w:r>
        <w:rPr>
          <w:color w:val="000000"/>
        </w:rPr>
        <w:t xml:space="preserve">Наличие смолообразных продуктов вероятно связано с процессами полимеризации, эти полимерные продукты обнаружены в спектрах продуктов разложения ДС </w:t>
      </w:r>
      <w:r>
        <w:rPr>
          <w:b/>
          <w:bCs/>
          <w:color w:val="000000"/>
        </w:rPr>
        <w:t>1a</w:t>
      </w:r>
      <w:r>
        <w:rPr>
          <w:color w:val="000000"/>
        </w:rPr>
        <w:t xml:space="preserve">. </w:t>
      </w:r>
      <w:r>
        <w:rPr/>
        <w:t xml:space="preserve">Различия молекулярных масс образующихся полимерных продуктов разложения соли </w:t>
      </w:r>
      <w:r>
        <w:rPr>
          <w:b/>
          <w:bCs/>
          <w:color w:val="000000"/>
        </w:rPr>
        <w:t>1a</w:t>
      </w:r>
      <w:r>
        <w:rPr/>
        <w:t xml:space="preserve"> точно на величины </w:t>
      </w:r>
      <w:r>
        <w:rPr>
          <w:rFonts w:ascii="Symbol" w:hAnsi="Symbol"/>
          <w:color w:val="000000"/>
          <w:sz w:val="20"/>
          <w:szCs w:val="20"/>
        </w:rPr>
        <w:t></w:t>
      </w:r>
      <w:r>
        <w:rPr>
          <w:color w:val="000000"/>
        </w:rPr>
        <w:t>M/Z=121.0, отвечающих 1-nitrocyclohexa-1,3-dien-5-yne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 xml:space="preserve">], заставляют полагать, что данный интермедиат является основной мономерной строительной единицей. Его первичное образование из исходной диазониевой соли </w:t>
      </w:r>
      <w:r>
        <w:rPr>
          <w:b/>
          <w:bCs/>
          <w:color w:val="000000"/>
        </w:rPr>
        <w:t>1a</w:t>
      </w:r>
      <w:r>
        <w:rPr>
          <w:color w:val="000000"/>
        </w:rPr>
        <w:t xml:space="preserve"> может быть представлено уравнением 4. </w:t>
      </w:r>
    </w:p>
    <w:p>
      <w:pPr>
        <w:pStyle w:val="Normal"/>
        <w:tabs>
          <w:tab w:val="left" w:pos="0" w:leader="none"/>
        </w:tabs>
        <w:ind w:hanging="0"/>
        <w:jc w:val="center"/>
        <w:rPr/>
      </w:pPr>
      <w:r>
        <w:rPr/>
        <w:drawing>
          <wp:inline distT="0" distB="0" distL="0" distR="0">
            <wp:extent cx="3842385" cy="1675765"/>
            <wp:effectExtent l="0" t="0" r="0" b="0"/>
            <wp:docPr id="2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descr=""/>
                    <pic:cNvPicPr>
                      <a:picLocks noChangeAspect="1" noChangeArrowheads="1"/>
                    </pic:cNvPicPr>
                  </pic:nvPicPr>
                  <pic:blipFill>
                    <a:blip r:embed="rId24"/>
                    <a:stretch>
                      <a:fillRect/>
                    </a:stretch>
                  </pic:blipFill>
                  <pic:spPr bwMode="auto">
                    <a:xfrm>
                      <a:off x="0" y="0"/>
                      <a:ext cx="3842385" cy="1675765"/>
                    </a:xfrm>
                    <a:prstGeom prst="rect">
                      <a:avLst/>
                    </a:prstGeom>
                  </pic:spPr>
                </pic:pic>
              </a:graphicData>
            </a:graphic>
          </wp:inline>
        </w:drawing>
      </w:r>
      <w:r>
        <w:rPr/>
        <w:t xml:space="preserve"> </w:t>
      </w:r>
    </w:p>
    <w:p>
      <w:pPr>
        <w:pStyle w:val="Normal"/>
        <w:rPr/>
      </w:pPr>
      <w:r>
        <w:rPr>
          <w:color w:val="000000"/>
        </w:rPr>
        <w:t xml:space="preserve">Дальнейший процесс полимеризации (роста цепи) с участием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 xml:space="preserve">2 </w:t>
      </w:r>
      <w:r>
        <w:rPr>
          <w:color w:val="000000"/>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Pr>
          <w:b/>
          <w:bCs/>
          <w:color w:val="000000"/>
        </w:rPr>
        <w:t>1a</w:t>
      </w:r>
      <w:r>
        <w:rPr>
          <w:color w:val="000000"/>
        </w:rPr>
        <w:t xml:space="preserve"> может быть представлено структурой в схеме 5. </w:t>
      </w:r>
    </w:p>
    <w:p>
      <w:pPr>
        <w:pStyle w:val="Normal"/>
        <w:rPr/>
      </w:pPr>
      <w:r>
        <w:rPr/>
        <w:t xml:space="preserve">Важно, что обнаруженная особенность разложения соли </w:t>
      </w:r>
      <w:r>
        <w:rPr>
          <w:b/>
          <w:bCs/>
          <w:color w:val="000000"/>
        </w:rPr>
        <w:t>1a</w:t>
      </w:r>
      <w:r>
        <w:rPr>
          <w:bCs/>
          <w:color w:val="000000"/>
        </w:rPr>
        <w:t>, в частности, с</w:t>
      </w:r>
      <w:r>
        <w:rPr>
          <w:b/>
          <w:bCs/>
          <w:color w:val="000000"/>
        </w:rPr>
        <w:t xml:space="preserve"> </w:t>
      </w:r>
      <w:r>
        <w:rPr>
          <w:bCs/>
          <w:color w:val="000000"/>
        </w:rPr>
        <w:t xml:space="preserve">образованием нейтрального бензинового интермедиата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 xml:space="preserve">2 </w:t>
      </w:r>
      <w:r>
        <w:rPr>
          <w:color w:val="000000"/>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vertAlign w:val="superscript"/>
        </w:rPr>
        <w:t>+</w:t>
      </w:r>
      <w:r>
        <w:rPr>
          <w:color w:val="000000"/>
        </w:rPr>
        <w:t xml:space="preserve"> 2-</w:t>
      </w:r>
      <w:r>
        <w:rPr>
          <w:color w:val="000000"/>
          <w:lang w:val="en-US"/>
        </w:rPr>
        <w:t>nitrobenzene</w:t>
      </w:r>
      <w:r>
        <w:rPr>
          <w:color w:val="000000"/>
        </w:rPr>
        <w:t>-1-</w:t>
      </w:r>
      <w:r>
        <w:rPr>
          <w:color w:val="000000"/>
          <w:lang w:val="en-US"/>
        </w:rPr>
        <w:t>ylium</w:t>
      </w:r>
      <w:r>
        <w:rPr>
          <w:color w:val="000000"/>
        </w:rPr>
        <w:t xml:space="preserve"> в сравнении с остальными исследуемыми диазониевыми солями из-за соседства электроноакцепторной </w:t>
      </w:r>
      <w:r>
        <w:rPr>
          <w:color w:val="000000"/>
          <w:lang w:val="en-US"/>
        </w:rPr>
        <w:t>NO</w:t>
      </w:r>
      <w:r>
        <w:rPr>
          <w:color w:val="000000"/>
          <w:vertAlign w:val="subscript"/>
        </w:rPr>
        <w:t>2</w:t>
      </w:r>
      <w:r>
        <w:rPr>
          <w:color w:val="000000"/>
        </w:rPr>
        <w:t xml:space="preserve"> группы и карбокатионного центра.</w:t>
      </w:r>
    </w:p>
    <w:p>
      <w:pPr>
        <w:pStyle w:val="Normal"/>
        <w:tabs>
          <w:tab w:val="left" w:pos="0" w:leader="none"/>
        </w:tabs>
        <w:ind w:hanging="0"/>
        <w:jc w:val="left"/>
        <w:rPr/>
      </w:pPr>
      <w:r>
        <w:rPr/>
      </w:r>
    </w:p>
    <w:p>
      <w:pPr>
        <w:pStyle w:val="2"/>
        <w:numPr>
          <w:ilvl w:val="1"/>
          <w:numId w:val="2"/>
        </w:numPr>
        <w:ind w:left="0" w:firstLine="397"/>
        <w:rPr/>
      </w:pPr>
      <w:r>
        <w:rPr/>
        <w:t>Квантовохимические исследования</w:t>
      </w:r>
    </w:p>
    <w:p>
      <w:pPr>
        <w:pStyle w:val="Normal"/>
        <w:rPr/>
      </w:pPr>
      <w:r>
        <w:rP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rPr/>
        <w:t>/</w:t>
      </w:r>
      <w:r>
        <w:rPr>
          <w:lang w:val="en-US"/>
        </w:rPr>
        <w:t>TGA</w:t>
      </w:r>
      <w:r>
        <w:rPr/>
        <w:t xml:space="preserve">,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48"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pPr>
            <w:r>
              <w:rPr>
                <w:rFonts w:cs="Standard Symbols L" w:ascii="Symbol" w:hAnsi="Symbo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highlight w:val="green"/>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4257"/>
        <w:gridCol w:w="1810"/>
        <w:gridCol w:w="784"/>
        <w:gridCol w:w="839"/>
        <w:gridCol w:w="841"/>
        <w:gridCol w:w="1"/>
        <w:gridCol w:w="1242"/>
      </w:tblGrid>
      <w:tr>
        <w:trPr/>
        <w:tc>
          <w:tcPr>
            <w:tcW w:w="425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sz w:val="22"/>
                <w:szCs w:val="22"/>
              </w:rPr>
              <w:t>Теоретическое</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sz w:val="22"/>
                <w:szCs w:val="22"/>
              </w:rPr>
            </w:pPr>
            <w:r>
              <w:rPr>
                <w:sz w:val="22"/>
                <w:szCs w:val="22"/>
              </w:rPr>
              <w:t>Потоковая калориметрия</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sz w:val="22"/>
                <w:szCs w:val="22"/>
              </w:rPr>
            </w:pPr>
            <w:r>
              <w:rPr>
                <w:sz w:val="22"/>
                <w:szCs w:val="22"/>
              </w:rPr>
              <w:t>ТГ/ДСК</w:t>
            </w:r>
          </w:p>
        </w:tc>
      </w:tr>
      <w:tr>
        <w:trPr/>
        <w:tc>
          <w:tcPr>
            <w:tcW w:w="425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rPr/>
            </w:pPr>
            <w:r>
              <w:rPr/>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w:t>
            </w: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pPr>
            <w:r>
              <w:rPr>
                <w:rFonts w:cs="Standard Symbols L" w:ascii="Symbol" w:hAnsi="Symbo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-414</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-386</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-396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-228</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-230</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-225</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rPr>
            </w:pPr>
            <w:r>
              <w:rPr>
                <w:rFonts w:ascii="Free Times" w:hAnsi="Free Times"/>
                <w:sz w:val="22"/>
                <w:szCs w:val="22"/>
              </w:rPr>
              <w:t>-238.5</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-200</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-235</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-250</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rPr>
            </w:pPr>
            <w:r>
              <w:rPr>
                <w:rFonts w:ascii="Free Times" w:hAnsi="Free Times"/>
                <w:sz w:val="22"/>
                <w:szCs w:val="22"/>
              </w:rPr>
              <w:t>-65.8</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-183</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-183</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-106</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rPr>
            </w:pPr>
            <w:r>
              <w:rPr>
                <w:rFonts w:ascii="Free Times" w:hAnsi="Free Times"/>
                <w:sz w:val="22"/>
                <w:szCs w:val="22"/>
              </w:rPr>
              <w:t>-64.5</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-253</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-232</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-231</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rPr>
            </w:pPr>
            <w:r>
              <w:rPr>
                <w:rFonts w:ascii="Free Times" w:hAnsi="Free Times"/>
                <w:sz w:val="22"/>
                <w:szCs w:val="22"/>
              </w:rPr>
              <w:t>-117.3</w:t>
            </w:r>
          </w:p>
        </w:tc>
      </w:tr>
      <w:tr>
        <w:trPr/>
        <w:tc>
          <w:tcPr>
            <w:tcW w:w="4257"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-173</w:t>
            </w:r>
          </w:p>
        </w:tc>
        <w:tc>
          <w:tcPr>
            <w:tcW w:w="83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-156</w:t>
            </w:r>
          </w:p>
        </w:tc>
        <w:tc>
          <w:tcPr>
            <w:tcW w:w="841"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tcPr>
          <w:p>
            <w:pPr>
              <w:pStyle w:val="Normal"/>
              <w:ind w:hanging="0"/>
              <w:jc w:val="center"/>
              <w:rPr>
                <w:rFonts w:ascii="Free Times" w:hAnsi="Free Times"/>
                <w:sz w:val="22"/>
                <w:szCs w:val="22"/>
              </w:rPr>
            </w:pPr>
            <w:r>
              <w:rPr>
                <w:rFonts w:ascii="Free Times" w:hAnsi="Free Times"/>
                <w:sz w:val="22"/>
                <w:szCs w:val="22"/>
              </w:rPr>
              <w:t>-147</w:t>
            </w:r>
          </w:p>
        </w:tc>
        <w:tc>
          <w:tcPr>
            <w:tcW w:w="12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rPr>
        <w:t xml:space="preserve">изотермической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rPr/>
        <w:t>-</w:t>
      </w:r>
      <w:r>
        <w:rPr>
          <w:lang w:val="en-US"/>
        </w:rPr>
        <w:t>MS</w:t>
      </w:r>
      <w:r>
        <w:rPr/>
        <w:t xml:space="preserve"> и LC-MS, которые показывают, что при разложении соли </w:t>
      </w:r>
      <w:r>
        <w:rPr>
          <w:b/>
        </w:rPr>
        <w:t>1a</w:t>
      </w:r>
      <w:r>
        <w:rP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rPr/>
        <w:t>, а разложение проходит по иному маршруту (схемы 4 и 5).</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rPr/>
        <w:t>потоковой калориметрии (табл. 8).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firstLine="397"/>
        <w:rPr/>
      </w:pPr>
      <w:r>
        <w:rPr/>
        <w:t xml:space="preserve">  </w:t>
      </w:r>
      <w:r>
        <w:rPr/>
        <w:t>CONCLUSIONS</w:t>
      </w:r>
    </w:p>
    <w:p>
      <w:pPr>
        <w:pStyle w:val="Normal"/>
        <w:tabs>
          <w:tab w:val="center" w:pos="218" w:leader="none"/>
        </w:tabs>
        <w:rPr/>
      </w:pPr>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 xml:space="preserve">потоковой калориметрии позволило определить термодинамику и кинетику их разложения и количественно оценить стабильность сухих ДС при хранении в нормальных условиях. Установлено влияние заместителей в диазоний-катионе и природы анионов на процессы термолиза изученных </w:t>
      </w:r>
      <w:r>
        <w:rPr>
          <w:highlight w:val="yellow"/>
          <w:lang w:val="en-US"/>
        </w:rPr>
        <w:t>DS</w:t>
      </w:r>
      <w:r>
        <w:rPr>
          <w:highlight w:val="yellow"/>
        </w:rPr>
        <w:t>.</w:t>
      </w:r>
      <w:commentRangeStart w:id="3"/>
      <w:r>
        <w:rPr>
          <w:highlight w:val="yellow"/>
        </w:rPr>
        <w:t xml:space="preserve"> </w:t>
      </w:r>
      <w:commentRangeEnd w:id="3"/>
      <w:r>
        <w:commentReference w:id="3"/>
      </w:r>
      <w:r>
        <w:rPr>
          <w:highlight w:val="yellow"/>
        </w:rPr>
      </w:r>
    </w:p>
    <w:p>
      <w:pPr>
        <w:pStyle w:val="Normal"/>
        <w:tabs>
          <w:tab w:val="center" w:pos="218" w:leader="none"/>
        </w:tabs>
        <w:rPr/>
      </w:pPr>
      <w:r>
        <w:rPr>
          <w:highlight w:val="yellow"/>
        </w:rPr>
        <w:t xml:space="preserve">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 xml:space="preserve">потоковой калориметрии для всех изученных 3- и 4-замещенных диазониевых солей </w:t>
      </w:r>
      <w:r>
        <w:rPr>
          <w:b/>
          <w:highlight w:val="yellow"/>
        </w:rPr>
        <w:t>1</w:t>
      </w:r>
      <w:r>
        <w:rPr>
          <w:b/>
          <w:highlight w:val="yellow"/>
          <w:lang w:val="en-US"/>
        </w:rPr>
        <w:t>b</w:t>
      </w:r>
      <w:r>
        <w:rPr>
          <w:b/>
          <w:highlight w:val="yellow"/>
        </w:rPr>
        <w:t>-</w:t>
      </w:r>
      <w:r>
        <w:rPr>
          <w:b/>
          <w:highlight w:val="yellow"/>
          <w:lang w:val="en-US"/>
        </w:rPr>
        <w:t>d</w:t>
      </w:r>
      <w:r>
        <w:rPr>
          <w:b/>
          <w:highlight w:val="yellow"/>
        </w:rPr>
        <w:t>, 2, 3</w:t>
      </w:r>
      <w:r>
        <w:rPr>
          <w:highlight w:val="yellow"/>
        </w:rPr>
        <w:t xml:space="preserve">. Доминирующим при этом маршрутом разложения является отщепление азота с образованием </w:t>
      </w:r>
      <w:r>
        <w:rPr>
          <w:highlight w:val="yellow"/>
          <w:lang w:val="en-US"/>
        </w:rPr>
        <w:t>benzene</w:t>
      </w:r>
      <w:r>
        <w:rPr>
          <w:highlight w:val="yellow"/>
        </w:rPr>
        <w:t>-1-</w:t>
      </w:r>
      <w:r>
        <w:rPr>
          <w:highlight w:val="yellow"/>
          <w:lang w:val="en-US"/>
        </w:rPr>
        <w:t>ylium</w:t>
      </w:r>
      <w:r>
        <w:rPr>
          <w:highlight w:val="yellow"/>
        </w:rPr>
        <w:t xml:space="preserve"> ионов с последующим захватом ими соответствующих анионов. Совершенно иной процесс происходит при термолизе 2-нитробензолдиазоний трифлата </w:t>
      </w:r>
      <w:r>
        <w:rPr>
          <w:b/>
          <w:highlight w:val="yellow"/>
        </w:rPr>
        <w:t>1</w:t>
      </w:r>
      <w:r>
        <w:rPr>
          <w:b/>
          <w:highlight w:val="yellow"/>
          <w:lang w:val="en-US"/>
        </w:rPr>
        <w:t>a</w:t>
      </w:r>
      <w:r>
        <w:rPr>
          <w:highlight w:val="yellow"/>
        </w:rPr>
        <w:t>. В этом случае образуются продукты полимерной природы, вероятно, через первичное генерирование 1-nitrocyclohexa-1,3-dien-5-yne.</w:t>
      </w:r>
      <w:r>
        <w:rPr/>
        <w:t xml:space="preserve"> </w:t>
      </w:r>
    </w:p>
    <w:p>
      <w:pPr>
        <w:pStyle w:val="1"/>
        <w:numPr>
          <w:ilvl w:val="0"/>
          <w:numId w:val="2"/>
        </w:numPr>
        <w:ind w:left="0" w:firstLine="397"/>
        <w:rPr/>
      </w:pPr>
      <w:r>
        <w:rPr/>
        <w:t xml:space="preserve">  </w:t>
      </w:r>
      <w:r>
        <w:rPr/>
        <w:t>ASSOCIATED CONTENT</w:t>
      </w:r>
    </w:p>
    <w:p>
      <w:pPr>
        <w:pStyle w:val="1"/>
        <w:numPr>
          <w:ilvl w:val="0"/>
          <w:numId w:val="2"/>
        </w:numPr>
        <w:ind w:left="0" w:firstLine="397"/>
        <w:rPr/>
      </w:pPr>
      <w:r>
        <w:rPr/>
        <w:t xml:space="preserve">  </w:t>
      </w:r>
      <w:r>
        <w:rPr/>
        <w:t>AUTHOR INFORMATION</w:t>
      </w:r>
    </w:p>
    <w:p>
      <w:pPr>
        <w:pStyle w:val="1"/>
        <w:numPr>
          <w:ilvl w:val="0"/>
          <w:numId w:val="2"/>
        </w:numPr>
        <w:ind w:left="0" w:firstLine="397"/>
        <w:rPr/>
      </w:pPr>
      <w:r>
        <w:rPr/>
        <w:t xml:space="preserve">  </w:t>
      </w:r>
      <w:r>
        <w:rPr/>
        <w:t>ACKNOWLEDGMENTS</w:t>
      </w:r>
    </w:p>
    <w:p>
      <w:pPr>
        <w:pStyle w:val="1"/>
        <w:numPr>
          <w:ilvl w:val="0"/>
          <w:numId w:val="2"/>
        </w:numPr>
        <w:ind w:left="0" w:firstLine="397"/>
        <w:rPr/>
      </w:pPr>
      <w:bookmarkStart w:id="0" w:name="__DdeLink__3772_1353889819"/>
      <w:r>
        <w:rPr/>
        <w:t xml:space="preserve">  </w:t>
      </w:r>
      <w:r>
        <w:rPr/>
        <w:t>REFERENCES</w:t>
      </w:r>
      <w:bookmarkEnd w:id="0"/>
      <w:r>
        <w:rPr/>
        <w:t xml:space="preserve"> (fINAL)</w:t>
      </w:r>
    </w:p>
    <w:p>
      <w:pPr>
        <w:pStyle w:val="Normal"/>
        <w:numPr>
          <w:ilvl w:val="0"/>
          <w:numId w:val="5"/>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5"/>
        </w:numPr>
        <w:tabs>
          <w:tab w:val="center" w:pos="218" w:leader="none"/>
        </w:tabs>
        <w:spacing w:lineRule="auto" w:line="312" w:before="0" w:after="57"/>
        <w:ind w:left="0" w:firstLine="283"/>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5"/>
        </w:numPr>
        <w:tabs>
          <w:tab w:val="center" w:pos="218" w:leader="none"/>
        </w:tabs>
        <w:spacing w:before="0" w:after="57"/>
        <w:ind w:left="0" w:firstLine="283"/>
        <w:rPr/>
      </w:pPr>
      <w:r>
        <w:rPr>
          <w:rFonts w:eastAsia="Times New Roman" w:cs="Times New Roman" w:ascii="FreeSerif" w:hAnsi="FreeSerif"/>
        </w:rPr>
        <w:t xml:space="preserve">(a) Filimonov V. D., Trusova M.E., Postnikov P.S., Krasnokutskaya E.A., Lee Y.M., Hwang H.Y., Kim H., Ki-Whan Chi. </w:t>
      </w:r>
      <w:r>
        <w:rPr>
          <w:rFonts w:eastAsia="Times New Roman" w:cs="Times New Roman" w:ascii="FreeSerif" w:hAnsi="FreeSerif"/>
          <w:lang w:val="en-US"/>
        </w:rPr>
        <w:t xml:space="preserve">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 xml:space="preserve">Bull. </w:t>
      </w:r>
      <w:r>
        <w:rPr>
          <w:rFonts w:eastAsia="Times New Roman" w:cs="Times New Roman" w:ascii="FreeSerif" w:hAnsi="FreeSerif"/>
          <w:i/>
        </w:rPr>
        <w:t>Korean Chem. Soc</w:t>
      </w:r>
      <w:r>
        <w:rPr>
          <w:rFonts w:eastAsia="Times New Roman" w:cs="Times New Roman" w:ascii="FreeSerif" w:hAnsi="FreeSerif"/>
        </w:rPr>
        <w:t xml:space="preserve">. </w:t>
      </w:r>
      <w:r>
        <w:rPr>
          <w:rFonts w:eastAsia="Times New Roman" w:cs="Times New Roman" w:ascii="FreeSerif" w:hAnsi="FreeSerif"/>
          <w:b/>
        </w:rPr>
        <w:t>2011</w:t>
      </w:r>
      <w:r>
        <w:rPr>
          <w:rFonts w:eastAsia="Times New Roman" w:cs="Times New Roman" w:ascii="FreeSerif" w:hAnsi="FreeSerif"/>
        </w:rPr>
        <w:t xml:space="preserve">, </w:t>
      </w:r>
      <w:r>
        <w:rPr>
          <w:rFonts w:eastAsia="Times New Roman" w:cs="Times New Roman" w:ascii="FreeSerif" w:hAnsi="FreeSerif"/>
          <w:i/>
        </w:rPr>
        <w:t>32</w:t>
      </w:r>
      <w:r>
        <w:rPr>
          <w:rFonts w:eastAsia="Times New Roman" w:cs="Times New Roman" w:ascii="FreeSerif" w:hAnsi="FreeSerif"/>
        </w:rPr>
        <w:t>, 2970.</w:t>
      </w:r>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rPr>
        <w:t xml:space="preserve">Commun. </w:t>
      </w:r>
      <w:r>
        <w:rPr>
          <w:rFonts w:eastAsia="Times New Roman" w:cs="Times New Roman" w:ascii="FreeSerif" w:hAnsi="FreeSerif"/>
          <w:color w:val="FF0000"/>
        </w:rPr>
        <w:t>title</w:t>
      </w:r>
      <w:r>
        <w:rPr>
          <w:rFonts w:eastAsia="Times New Roman" w:cs="Times New Roman" w:ascii="FreeSerif" w:hAnsi="FreeSerif"/>
        </w:rPr>
        <w:t xml:space="preserve"> 2013, 49, 6289.</w:t>
      </w:r>
    </w:p>
    <w:p>
      <w:pPr>
        <w:pStyle w:val="Normal"/>
        <w:numPr>
          <w:ilvl w:val="0"/>
          <w:numId w:val="5"/>
        </w:numPr>
        <w:tabs>
          <w:tab w:val="center" w:pos="218" w:leader="none"/>
        </w:tabs>
        <w:spacing w:before="0" w:after="57"/>
        <w:ind w:left="0" w:firstLine="283"/>
        <w:rPr/>
      </w:pPr>
      <w:hyperlink r:id="rId26">
        <w:r>
          <w:rPr>
            <w:rStyle w:val="Style13"/>
            <w:rFonts w:eastAsia="Calibri" w:cs="Calibri" w:ascii="FreeSerif" w:hAnsi="FreeSerif"/>
            <w:color w:val="0000FF"/>
          </w:rPr>
          <w:t>http://www.unece.org/trans/danger/danger.html</w:t>
        </w:r>
      </w:hyperlink>
    </w:p>
    <w:p>
      <w:pPr>
        <w:pStyle w:val="Normal"/>
        <w:numPr>
          <w:ilvl w:val="0"/>
          <w:numId w:val="5"/>
        </w:numPr>
        <w:tabs>
          <w:tab w:val="center" w:pos="218" w:leader="none"/>
        </w:tabs>
        <w:spacing w:before="0" w:after="57"/>
        <w:ind w:left="0" w:firstLine="283"/>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5"/>
        </w:numPr>
        <w:tabs>
          <w:tab w:val="center" w:pos="218" w:leader="none"/>
        </w:tabs>
        <w:spacing w:before="0" w:after="57"/>
        <w:ind w:left="0" w:firstLine="283"/>
        <w:rPr/>
      </w:pPr>
      <w:r>
        <w:rPr>
          <w:highlight w:val="yellow"/>
          <w:lang w:val="en-US"/>
        </w:rPr>
        <w:t xml:space="preserve">P. Guillaume, M. Rat, S. Wilker, G. Pantel, Microcalorimetric and Chemical Studies of Propellants Proc. </w:t>
      </w:r>
      <w:r>
        <w:rPr>
          <w:highlight w:val="yellow"/>
        </w:rPr>
        <w:t>Int Annu. Conf. ICT 29, 133 (1998).</w:t>
      </w:r>
    </w:p>
    <w:p>
      <w:pPr>
        <w:pStyle w:val="Normal"/>
        <w:numPr>
          <w:ilvl w:val="0"/>
          <w:numId w:val="5"/>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5"/>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5"/>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numPr>
          <w:ilvl w:val="0"/>
          <w:numId w:val="0"/>
        </w:numPr>
        <w:tabs>
          <w:tab w:val="center" w:pos="218" w:leader="none"/>
        </w:tabs>
        <w:spacing w:before="0" w:after="57"/>
        <w:ind w:left="720" w:hanging="0"/>
        <w:rPr>
          <w:rStyle w:val="Style18"/>
          <w:lang w:val="en-US"/>
        </w:rPr>
      </w:pPr>
      <w:r>
        <w:rPr>
          <w:lang w:val="en-US"/>
        </w:rPr>
      </w:r>
      <w:r>
        <w:br w:type="page"/>
      </w:r>
    </w:p>
    <w:p>
      <w:pPr>
        <w:pStyle w:val="1"/>
        <w:numPr>
          <w:ilvl w:val="0"/>
          <w:numId w:val="2"/>
        </w:numPr>
        <w:ind w:left="0" w:firstLine="397"/>
        <w:rPr/>
      </w:pPr>
      <w:r>
        <w:rPr/>
        <w:t>Supporting</w:t>
      </w:r>
    </w:p>
    <w:p>
      <w:pPr>
        <w:pStyle w:val="Normal"/>
        <w:tabs>
          <w:tab w:val="left" w:pos="225" w:leader="none"/>
          <w:tab w:val="left" w:pos="510" w:leader="none"/>
        </w:tabs>
        <w:spacing w:before="0" w:after="113"/>
        <w:ind w:left="720" w:hanging="0"/>
        <w:jc w:val="center"/>
        <w:rPr>
          <w:b/>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rPr/>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pPr>
        <w:pStyle w:val="Normal"/>
        <w:tabs>
          <w:tab w:val="center" w:pos="218" w:leader="none"/>
        </w:tabs>
        <w:rPr/>
      </w:pPr>
      <w:r>
        <w:rPr>
          <w:color w:val="000000"/>
        </w:rPr>
        <w:t xml:space="preserve">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[1a] реализованный в  разработанной нами компьютерной программы [1b], а также </w:t>
      </w:r>
      <w:bookmarkStart w:id="1" w:name="firstHeading"/>
      <w:bookmarkEnd w:id="1"/>
      <w:r>
        <w:rPr>
          <w:color w:val="000000"/>
          <w:lang w:val="en-US"/>
        </w:rPr>
        <w:t>Nelder</w:t>
      </w:r>
      <w:r>
        <w:rPr>
          <w:color w:val="000000"/>
        </w:rPr>
        <w:t>–</w:t>
      </w:r>
      <w:r>
        <w:rPr>
          <w:color w:val="000000"/>
          <w:lang w:val="en-US"/>
        </w:rPr>
        <w:t>Mead</w:t>
      </w:r>
      <w:r>
        <w:rPr>
          <w:color w:val="000000"/>
        </w:rPr>
        <w:t xml:space="preserve"> [1</w:t>
      </w:r>
      <w:r>
        <w:rPr>
          <w:color w:val="000000"/>
          <w:lang w:val="en-US"/>
        </w:rPr>
        <w:t>c</w:t>
      </w:r>
      <w:r>
        <w:rPr>
          <w:color w:val="000000"/>
        </w:rPr>
        <w:t>] методом реализованом в программном пакете статистического анализа и обработки R statistics [</w:t>
      </w:r>
      <w:r>
        <w:rPr>
          <w:color w:val="000000"/>
        </w:rPr>
        <w:t>2</w:t>
      </w:r>
      <w:r>
        <w:rPr>
          <w:color w:val="000000"/>
        </w:rPr>
        <w:t>]. Исходные значения для первого приближения были взяты из данных ДСК-ТГА, для эндотермической реакции.</w:t>
      </w:r>
      <w:r>
        <w:rPr/>
        <w:t xml:space="preserve"> На рисунке 1s.1-6 приведены результаты деконволюции.  Модель </w:t>
      </w:r>
      <w:r>
        <w:rPr>
          <w:rFonts w:ascii="Times New Roman" w:hAnsi="Times New Roman"/>
          <w:color w:val="000000"/>
          <w:szCs w:val="28"/>
        </w:rPr>
        <w:t xml:space="preserve">двух независимых автокаталитических процессов описывает эксперименталые зависимости более точно. </w:t>
      </w:r>
    </w:p>
    <w:p>
      <w:pPr>
        <w:pStyle w:val="Normal"/>
        <w:spacing w:before="113" w:after="0"/>
        <w:jc w:val="right"/>
        <w:rPr>
          <w:color w:val="000000"/>
        </w:rPr>
      </w:pPr>
      <w:r>
        <w:rPr>
          <w:color w:val="000000"/>
        </w:rPr>
        <w:t>Таблица 1s.1.</w:t>
      </w:r>
    </w:p>
    <w:p>
      <w:pPr>
        <w:pStyle w:val="Normal"/>
        <w:ind w:hanging="0"/>
        <w:jc w:val="center"/>
        <w:rPr/>
      </w:pPr>
      <w:r>
        <w:rPr/>
        <w:t xml:space="preserve">Результат деконволюции теплового потока изотермического разложения </w:t>
      </w:r>
    </w:p>
    <w:p>
      <w:pPr>
        <w:pStyle w:val="Normal"/>
        <w:ind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color w:val="000000"/>
          <w:szCs w:val="28"/>
        </w:rPr>
        <w:t xml:space="preserve"> в рамках модели двух </w:t>
      </w:r>
    </w:p>
    <w:p>
      <w:pPr>
        <w:pStyle w:val="Normal"/>
        <w:ind w:hanging="0"/>
        <w:jc w:val="center"/>
        <w:rPr>
          <w:rFonts w:ascii="Times New Roman" w:hAnsi="Times New Roman"/>
          <w:color w:val="000000"/>
          <w:szCs w:val="28"/>
          <w:lang w:val="en-US"/>
        </w:rPr>
      </w:pPr>
      <w:r>
        <w:rPr>
          <w:rFonts w:ascii="Times New Roman" w:hAnsi="Times New Roman"/>
          <w:color w:val="000000"/>
          <w:szCs w:val="28"/>
          <w:lang w:val="en-US"/>
        </w:rPr>
        <w:t>независимых автокаталитических процессов</w:t>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626"/>
        <w:gridCol w:w="1296"/>
        <w:gridCol w:w="1219"/>
        <w:gridCol w:w="1347"/>
        <w:gridCol w:w="1507"/>
        <w:gridCol w:w="1204"/>
        <w:gridCol w:w="1260"/>
        <w:gridCol w:w="1177"/>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T </w:t>
            </w:r>
            <w:r>
              <w:rPr>
                <w:b/>
                <w:bCs/>
                <w:vertAlign w:val="superscript"/>
              </w:rPr>
              <w:t>о</w:t>
            </w:r>
            <w:r>
              <w:rPr>
                <w:b/>
                <w:bCs/>
              </w:rPr>
              <w:t>С</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1</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02</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1</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2</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b/>
                <w:b/>
                <w:bCs/>
              </w:rPr>
            </w:pPr>
            <w:r>
              <w:rPr>
                <w:b/>
                <w:bC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75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0.52798</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0.04576</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0.00132</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0.00319</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48.5</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-503.9</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7.08E-10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80</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0.40462</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0.00329</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0.00170</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0.04266</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61.2</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-533.8</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2.85E-09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85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0.95173</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0.06082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0.00071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0.00274</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32.7</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-454.0</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1.30E-08</w:t>
            </w:r>
          </w:p>
        </w:tc>
      </w:tr>
    </w:tbl>
    <w:p>
      <w:pPr>
        <w:pStyle w:val="Normal"/>
        <w:tabs>
          <w:tab w:val="center" w:pos="218" w:leader="none"/>
        </w:tabs>
        <w:rPr/>
      </w:pPr>
      <w:r>
        <w:rPr/>
      </w:r>
    </w:p>
    <w:p>
      <w:pPr>
        <w:pStyle w:val="Normal"/>
        <w:spacing w:before="113" w:after="0"/>
        <w:jc w:val="right"/>
        <w:rPr>
          <w:color w:val="000000"/>
        </w:rPr>
      </w:pPr>
      <w:r>
        <w:rPr>
          <w:color w:val="000000"/>
        </w:rPr>
        <w:t>Таблица 1s.2.</w:t>
      </w:r>
    </w:p>
    <w:p>
      <w:pPr>
        <w:pStyle w:val="Normal"/>
        <w:ind w:hanging="0"/>
        <w:jc w:val="center"/>
        <w:rPr/>
      </w:pPr>
      <w:r>
        <w:rPr/>
        <w:t xml:space="preserve">Результат деконволюции теплового потока изотермического разложения </w:t>
      </w:r>
    </w:p>
    <w:p>
      <w:pPr>
        <w:pStyle w:val="Normal"/>
        <w:ind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color w:val="000000"/>
          <w:szCs w:val="28"/>
        </w:rPr>
        <w:t xml:space="preserve"> в рамках модели двух </w:t>
      </w:r>
    </w:p>
    <w:p>
      <w:pPr>
        <w:pStyle w:val="Normal"/>
        <w:ind w:hanging="0"/>
        <w:jc w:val="center"/>
        <w:rPr>
          <w:rFonts w:ascii="Times New Roman" w:hAnsi="Times New Roman"/>
          <w:color w:val="000000"/>
          <w:szCs w:val="28"/>
          <w:lang w:val="en-US"/>
        </w:rPr>
      </w:pPr>
      <w:r>
        <w:rPr>
          <w:rFonts w:ascii="Times New Roman" w:hAnsi="Times New Roman"/>
          <w:color w:val="000000"/>
          <w:szCs w:val="28"/>
          <w:lang w:val="en-US"/>
        </w:rPr>
        <w:t>последовательных автокаталитических процессов</w:t>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626"/>
        <w:gridCol w:w="1296"/>
        <w:gridCol w:w="1219"/>
        <w:gridCol w:w="1347"/>
        <w:gridCol w:w="1507"/>
        <w:gridCol w:w="1204"/>
        <w:gridCol w:w="1260"/>
        <w:gridCol w:w="1177"/>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T </w:t>
            </w:r>
            <w:r>
              <w:rPr>
                <w:b/>
                <w:bCs/>
                <w:vertAlign w:val="superscript"/>
              </w:rPr>
              <w:t>о</w:t>
            </w:r>
            <w:r>
              <w:rPr>
                <w:b/>
                <w:bCs/>
              </w:rPr>
              <w:t>С</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1</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02</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1</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2</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b/>
                <w:b/>
                <w:bCs/>
              </w:rPr>
            </w:pPr>
            <w:r>
              <w:rPr>
                <w:b/>
                <w:bC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75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0.61811</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0.07356</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0.00136</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0.00163</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29.6</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-498.6</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right"/>
              <w:rPr/>
            </w:pPr>
            <w:r>
              <w:rPr/>
              <w:t>1.32E-09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80</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42.54001</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0.08002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0.03752</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0.00106</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29.8</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-413.8</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right"/>
              <w:rPr/>
            </w:pPr>
            <w:r>
              <w:rPr/>
              <w:t>2.16E-08</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85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1.19776</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0.07472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0.00061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0.00207</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25.1</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right"/>
              <w:rPr/>
            </w:pPr>
            <w:r>
              <w:rPr/>
              <w:t>-459.1</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right"/>
              <w:rPr/>
            </w:pPr>
            <w:r>
              <w:rPr/>
              <w:t>1.65E-08</w:t>
            </w:r>
          </w:p>
        </w:tc>
      </w:tr>
    </w:tbl>
    <w:p>
      <w:pPr>
        <w:pStyle w:val="Normal"/>
        <w:tabs>
          <w:tab w:val="center" w:pos="218" w:leader="none"/>
        </w:tabs>
        <w:rPr/>
      </w:pPr>
      <w:r>
        <w:rPr/>
      </w:r>
    </w:p>
    <w:p>
      <w:pPr>
        <w:pStyle w:val="Normal"/>
        <w:spacing w:lineRule="auto" w:line="240"/>
        <w:ind w:hanging="0"/>
        <w:jc w:val="center"/>
        <w:rPr>
          <w:sz w:val="12"/>
          <w:szCs w:val="12"/>
        </w:rPr>
      </w:pPr>
      <w:r>
        <w:rPr>
          <w:sz w:val="12"/>
          <w:szCs w:val="12"/>
        </w:rPr>
      </w:r>
    </w:p>
    <w:p>
      <w:pPr>
        <w:pStyle w:val="Normal"/>
        <w:ind w:hanging="0"/>
        <w:jc w:val="center"/>
        <w:rPr/>
      </w:pPr>
      <w:r>
        <w:rPr/>
        <w:drawing>
          <wp:inline distT="0" distB="0" distL="0" distR="0">
            <wp:extent cx="4411345" cy="4009390"/>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411345" cy="4009390"/>
                    </a:xfrm>
                    <a:prstGeom prst="rect">
                      <a:avLst/>
                    </a:prstGeom>
                  </pic:spPr>
                </pic:pic>
              </a:graphicData>
            </a:graphic>
          </wp:inline>
        </w:drawing>
      </w:r>
    </w:p>
    <w:p>
      <w:pPr>
        <w:pStyle w:val="Normal"/>
        <w:ind w:hanging="0"/>
        <w:jc w:val="center"/>
        <w:rPr/>
      </w:pPr>
      <w:r>
        <w:rP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hanging="0"/>
        <w:jc w:val="center"/>
        <w:rPr/>
      </w:pPr>
      <w:r>
        <w:rPr/>
        <w:t>в рамках модели двух независимых автокаталитических процессов</w:t>
      </w:r>
    </w:p>
    <w:p>
      <w:pPr>
        <w:pStyle w:val="Normal"/>
        <w:ind w:hanging="0"/>
        <w:jc w:val="center"/>
        <w:rPr>
          <w:color w:val="000000"/>
        </w:rPr>
      </w:pPr>
      <w:r>
        <w:rPr>
          <w:color w:val="000000"/>
        </w:rPr>
      </w:r>
    </w:p>
    <w:p>
      <w:pPr>
        <w:pStyle w:val="Normal"/>
        <w:ind w:hanging="0"/>
        <w:jc w:val="center"/>
        <w:rPr>
          <w:color w:val="000000"/>
        </w:rPr>
      </w:pPr>
      <w:r>
        <w:rPr>
          <w:color w:val="000000"/>
        </w:rPr>
      </w:r>
    </w:p>
    <w:p>
      <w:pPr>
        <w:pStyle w:val="Normal"/>
        <w:ind w:hanging="0"/>
        <w:jc w:val="center"/>
        <w:rPr/>
      </w:pPr>
      <w:r>
        <w:rPr/>
        <w:drawing>
          <wp:inline distT="0" distB="0" distL="0" distR="0">
            <wp:extent cx="4218940" cy="383476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218940" cy="3834765"/>
                    </a:xfrm>
                    <a:prstGeom prst="rect">
                      <a:avLst/>
                    </a:prstGeom>
                  </pic:spPr>
                </pic:pic>
              </a:graphicData>
            </a:graphic>
          </wp:inline>
        </w:drawing>
      </w:r>
    </w:p>
    <w:p>
      <w:pPr>
        <w:pStyle w:val="Normal"/>
        <w:ind w:hanging="0"/>
        <w:jc w:val="center"/>
        <w:rPr/>
      </w:pPr>
      <w:r>
        <w:rP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hanging="0"/>
        <w:jc w:val="center"/>
        <w:rPr/>
      </w:pPr>
      <w:r>
        <w:rPr/>
        <w:t>в рамках модели двух независимых автокаталитических процессов</w:t>
      </w:r>
    </w:p>
    <w:p>
      <w:pPr>
        <w:pStyle w:val="Normal"/>
        <w:ind w:hanging="0"/>
        <w:jc w:val="center"/>
        <w:rPr>
          <w:color w:val="000000"/>
        </w:rPr>
      </w:pPr>
      <w:r>
        <w:rPr>
          <w:color w:val="000000"/>
        </w:rPr>
      </w:r>
    </w:p>
    <w:p>
      <w:pPr>
        <w:pStyle w:val="Normal"/>
        <w:ind w:hanging="0"/>
        <w:jc w:val="center"/>
        <w:rPr/>
      </w:pPr>
      <w:r>
        <w:rPr/>
        <w:drawing>
          <wp:inline distT="0" distB="0" distL="0" distR="0">
            <wp:extent cx="4120515" cy="374523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hanging="0"/>
        <w:jc w:val="center"/>
        <w:rPr/>
      </w:pPr>
      <w:r>
        <w:rPr/>
        <w:t xml:space="preserve"> </w:t>
      </w:r>
      <w:r>
        <w:rPr/>
        <w:t>в рамках модели двух независимых автокаталитических процессов</w:t>
      </w:r>
    </w:p>
    <w:p>
      <w:pPr>
        <w:pStyle w:val="Normal"/>
        <w:ind w:hanging="0"/>
        <w:jc w:val="center"/>
        <w:rPr/>
      </w:pPr>
      <w:r>
        <w:rPr/>
      </w:r>
    </w:p>
    <w:p>
      <w:pPr>
        <w:pStyle w:val="Normal"/>
        <w:ind w:hanging="0"/>
        <w:jc w:val="center"/>
        <w:rPr/>
      </w:pPr>
      <w:r>
        <w:rPr/>
        <w:drawing>
          <wp:inline distT="0" distB="0" distL="0" distR="0">
            <wp:extent cx="4411345" cy="4009390"/>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411345" cy="4009390"/>
                    </a:xfrm>
                    <a:prstGeom prst="rect">
                      <a:avLst/>
                    </a:prstGeom>
                  </pic:spPr>
                </pic:pic>
              </a:graphicData>
            </a:graphic>
          </wp:inline>
        </w:drawing>
      </w:r>
    </w:p>
    <w:p>
      <w:pPr>
        <w:pStyle w:val="Normal"/>
        <w:ind w:hanging="0"/>
        <w:jc w:val="center"/>
        <w:rPr/>
      </w:pPr>
      <w:r>
        <w:rPr/>
        <w:t xml:space="preserve">Рисунок 1s.4.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hanging="0"/>
        <w:jc w:val="center"/>
        <w:rPr/>
      </w:pPr>
      <w:r>
        <w:rPr/>
        <w:t>в рамках модели двух последовательных автокаталитических процессов</w:t>
      </w:r>
    </w:p>
    <w:p>
      <w:pPr>
        <w:pStyle w:val="Normal"/>
        <w:ind w:hanging="0"/>
        <w:jc w:val="center"/>
        <w:rPr>
          <w:color w:val="000000"/>
        </w:rPr>
      </w:pPr>
      <w:r>
        <w:rPr>
          <w:color w:val="000000"/>
        </w:rPr>
      </w:r>
    </w:p>
    <w:p>
      <w:pPr>
        <w:pStyle w:val="1"/>
        <w:numPr>
          <w:ilvl w:val="0"/>
          <w:numId w:val="1"/>
        </w:numPr>
        <w:ind w:left="0" w:firstLine="397"/>
        <w:jc w:val="left"/>
        <w:rPr>
          <w:color w:val="000000"/>
        </w:rPr>
      </w:pPr>
      <w:r>
        <w:rPr>
          <w:color w:val="000000"/>
        </w:rPr>
        <w:t xml:space="preserve">  </w:t>
      </w:r>
      <w:r>
        <w:rPr>
          <w:color w:val="000000"/>
        </w:rPr>
        <w:t>REFERENCES</w:t>
      </w:r>
    </w:p>
    <w:p>
      <w:pPr>
        <w:pStyle w:val="Normal"/>
        <w:numPr>
          <w:ilvl w:val="0"/>
          <w:numId w:val="6"/>
        </w:numPr>
        <w:tabs>
          <w:tab w:val="center" w:pos="218" w:leader="none"/>
        </w:tabs>
        <w:spacing w:before="0" w:after="57"/>
        <w:ind w:left="0" w:firstLine="283"/>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Style18"/>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Style18"/>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6"/>
        </w:numPr>
        <w:tabs>
          <w:tab w:val="center" w:pos="218" w:leader="none"/>
        </w:tabs>
        <w:spacing w:before="0" w:after="57"/>
        <w:ind w:left="0" w:firstLine="283"/>
        <w:rPr/>
      </w:pPr>
      <w:r>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3"/>
        <w:numPr>
          <w:ilvl w:val="2"/>
          <w:numId w:val="3"/>
        </w:numPr>
        <w:ind w:left="0" w:firstLine="567"/>
        <w:jc w:val="center"/>
        <w:rPr>
          <w:color w:val="000000"/>
          <w:lang w:val="en-US"/>
        </w:rPr>
      </w:pPr>
      <w:r>
        <w:rPr>
          <w:color w:val="000000"/>
          <w:lang w:val="en-US"/>
        </w:rPr>
      </w:r>
    </w:p>
    <w:p>
      <w:pPr>
        <w:pStyle w:val="Normal"/>
        <w:ind w:hanging="0"/>
        <w:jc w:val="center"/>
        <w:rPr/>
      </w:pPr>
      <w:r>
        <w:rPr/>
        <w:drawing>
          <wp:inline distT="0" distB="0" distL="0" distR="0">
            <wp:extent cx="4218940" cy="383476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218940" cy="3834765"/>
                    </a:xfrm>
                    <a:prstGeom prst="rect">
                      <a:avLst/>
                    </a:prstGeom>
                  </pic:spPr>
                </pic:pic>
              </a:graphicData>
            </a:graphic>
          </wp:inline>
        </w:drawing>
      </w:r>
    </w:p>
    <w:p>
      <w:pPr>
        <w:pStyle w:val="Normal"/>
        <w:ind w:hanging="0"/>
        <w:jc w:val="center"/>
        <w:rPr/>
      </w:pPr>
      <w:r>
        <w:rPr/>
        <w:t xml:space="preserve">Рисунок 1s.5.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hanging="0"/>
        <w:jc w:val="center"/>
        <w:rPr/>
      </w:pPr>
      <w:r>
        <w:rPr/>
        <w:t>в рамках модели двух последовательных автокаталитических процессов</w:t>
      </w:r>
    </w:p>
    <w:p>
      <w:pPr>
        <w:pStyle w:val="Normal"/>
        <w:ind w:hanging="0"/>
        <w:jc w:val="center"/>
        <w:rPr>
          <w:color w:val="000000"/>
        </w:rPr>
      </w:pPr>
      <w:r>
        <w:rPr>
          <w:color w:val="000000"/>
        </w:rPr>
      </w:r>
    </w:p>
    <w:p>
      <w:pPr>
        <w:pStyle w:val="Normal"/>
        <w:ind w:hanging="0"/>
        <w:jc w:val="center"/>
        <w:rPr/>
      </w:pPr>
      <w:r>
        <w:rPr/>
        <w:drawing>
          <wp:inline distT="0" distB="0" distL="0" distR="0">
            <wp:extent cx="4120515" cy="3745230"/>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120515" cy="3745230"/>
                    </a:xfrm>
                    <a:prstGeom prst="rect">
                      <a:avLst/>
                    </a:prstGeom>
                  </pic:spPr>
                </pic:pic>
              </a:graphicData>
            </a:graphic>
          </wp:inline>
        </w:drawing>
      </w:r>
    </w:p>
    <w:p>
      <w:pPr>
        <w:pStyle w:val="Normal"/>
        <w:ind w:hanging="0"/>
        <w:jc w:val="center"/>
        <w:rPr/>
      </w:pPr>
      <w:r>
        <w:rPr/>
        <w:t xml:space="preserve">Рисунок 1s.6.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hanging="0"/>
        <w:jc w:val="center"/>
        <w:rPr/>
      </w:pPr>
      <w:r>
        <w:rPr/>
        <w:t xml:space="preserve"> </w:t>
      </w:r>
      <w:r>
        <w:rPr/>
        <w:t>в рамках модели двух последовательных автокаталитических процессов</w:t>
      </w:r>
    </w:p>
    <w:p>
      <w:pPr>
        <w:pStyle w:val="Normal"/>
        <w:ind w:hanging="0"/>
        <w:jc w:val="center"/>
        <w:rPr/>
      </w:pPr>
      <w:r>
        <w:rPr/>
      </w:r>
    </w:p>
    <w:p>
      <w:pPr>
        <w:pStyle w:val="Normal"/>
        <w:spacing w:before="113" w:after="0"/>
        <w:jc w:val="right"/>
        <w:rPr>
          <w:color w:val="000000"/>
        </w:rPr>
      </w:pPr>
      <w:r>
        <w:rPr>
          <w:color w:val="000000"/>
        </w:rPr>
        <w:t>Таблица 1s.1.</w:t>
      </w:r>
    </w:p>
    <w:p>
      <w:pPr>
        <w:pStyle w:val="Normal"/>
        <w:ind w:hanging="0"/>
        <w:jc w:val="center"/>
        <w:rPr/>
      </w:pPr>
      <w:r>
        <w:rPr/>
        <w:t xml:space="preserve">Результат деконволюции теплового потока изотермического разложения </w:t>
      </w:r>
    </w:p>
    <w:p>
      <w:pPr>
        <w:pStyle w:val="Normal"/>
        <w:ind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color w:val="000000"/>
          <w:szCs w:val="28"/>
        </w:rPr>
        <w:t xml:space="preserve"> в рамках модели двух последовательных автокаталитических процессов</w:t>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626"/>
        <w:gridCol w:w="1296"/>
        <w:gridCol w:w="1219"/>
        <w:gridCol w:w="1347"/>
        <w:gridCol w:w="1507"/>
        <w:gridCol w:w="1204"/>
        <w:gridCol w:w="1260"/>
        <w:gridCol w:w="1177"/>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T </w:t>
            </w:r>
            <w:r>
              <w:rPr>
                <w:b/>
                <w:bCs/>
                <w:vertAlign w:val="superscript"/>
              </w:rPr>
              <w:t>о</w:t>
            </w:r>
            <w:r>
              <w:rPr>
                <w:b/>
                <w:bCs/>
              </w:rPr>
              <w:t>С</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1</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k</w:t>
            </w:r>
            <w:r>
              <w:rPr>
                <w:b/>
                <w:bCs/>
                <w:vertAlign w:val="subscript"/>
              </w:rPr>
              <w:t>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C</w:t>
            </w:r>
            <w:r>
              <w:rPr>
                <w:b/>
                <w:bCs/>
                <w:vertAlign w:val="subscript"/>
              </w:rPr>
              <w:t>02</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1</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b/>
                <w:b/>
                <w:bCs/>
              </w:rPr>
            </w:pPr>
            <w:r>
              <w:rPr>
                <w:b/>
                <w:bCs/>
              </w:rPr>
              <w:t>dH</w:t>
            </w:r>
            <w:r>
              <w:rPr>
                <w:b/>
                <w:bCs/>
                <w:vertAlign w:val="subscript"/>
              </w:rPr>
              <w:t>2</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b/>
                <w:b/>
                <w:bCs/>
              </w:rPr>
            </w:pPr>
            <w:r>
              <w:rPr>
                <w:b/>
                <w:bC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75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0,52798</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0,04576</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0,00132</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0,00319</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48,5</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-503,9</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7,08E-10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80</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0,40462</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0,00329</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0,00170</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0,04266</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61,2</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-533,8</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2,85E-09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85</w:t>
            </w:r>
          </w:p>
        </w:tc>
        <w:tc>
          <w:tcPr>
            <w:tcW w:w="129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0,95173</w:t>
            </w:r>
          </w:p>
        </w:tc>
        <w:tc>
          <w:tcPr>
            <w:tcW w:w="121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0,06082</w:t>
            </w:r>
          </w:p>
        </w:tc>
        <w:tc>
          <w:tcPr>
            <w:tcW w:w="134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0,00071</w:t>
            </w:r>
          </w:p>
        </w:tc>
        <w:tc>
          <w:tcPr>
            <w:tcW w:w="1507"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0,00274</w:t>
            </w:r>
          </w:p>
        </w:tc>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32,7</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vAlign w:val="bottom"/>
          </w:tcPr>
          <w:p>
            <w:pPr>
              <w:pStyle w:val="Normal"/>
              <w:spacing w:before="57" w:after="57"/>
              <w:ind w:hanging="0"/>
              <w:jc w:val="center"/>
              <w:rPr/>
            </w:pPr>
            <w:r>
              <w:rPr/>
              <w:t>-454,0</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vAlign w:val="bottom"/>
          </w:tcPr>
          <w:p>
            <w:pPr>
              <w:pStyle w:val="Normal"/>
              <w:spacing w:before="57" w:after="57"/>
              <w:ind w:hanging="0"/>
              <w:jc w:val="center"/>
              <w:rPr/>
            </w:pPr>
            <w:r>
              <w:rPr/>
              <w:t>1,30E-08</w:t>
            </w:r>
          </w:p>
        </w:tc>
      </w:tr>
    </w:tbl>
    <w:p>
      <w:pPr>
        <w:pStyle w:val="Normal"/>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b/>
          <w:b/>
          <w:bCs/>
        </w:rPr>
      </w:pPr>
      <w:r>
        <w:rPr>
          <w:b/>
          <w:bCs/>
        </w:rPr>
      </w:r>
    </w:p>
    <w:p>
      <w:pPr>
        <w:pStyle w:val="Normal"/>
        <w:tabs>
          <w:tab w:val="left" w:pos="225" w:leader="none"/>
          <w:tab w:val="left" w:pos="510" w:leader="none"/>
        </w:tabs>
        <w:spacing w:before="0" w:after="113"/>
        <w:ind w:left="720" w:hanging="0"/>
        <w:jc w:val="center"/>
        <w:rPr>
          <w:b/>
          <w:b/>
          <w:bCs/>
        </w:rPr>
      </w:pPr>
      <w:r>
        <w:rPr>
          <w:b/>
          <w:bCs/>
        </w:rPr>
        <w:t>Приложение 2s. ГХ-МС Спектры продуктов разложения ДС</w:t>
      </w:r>
    </w:p>
    <w:p>
      <w:pPr>
        <w:pStyle w:val="Normal"/>
        <w:tabs>
          <w:tab w:val="left" w:pos="0" w:leader="none"/>
        </w:tabs>
        <w:ind w:hanging="0"/>
        <w:jc w:val="center"/>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1-иод-4-нитробензолу рис. 22)</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t>О-C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hanging="0"/>
        <w:jc w:val="center"/>
        <w:rPr/>
      </w:pPr>
      <w:r>
        <w:rPr/>
      </w:r>
    </w:p>
    <w:p>
      <w:pPr>
        <w:pStyle w:val="Normal"/>
        <w:tabs>
          <w:tab w:val="left" w:pos="0" w:leader="none"/>
        </w:tabs>
        <w:ind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pPr>
      <w:r>
        <w:rPr/>
      </w:r>
    </w:p>
    <w:p>
      <w:pPr>
        <w:pStyle w:val="Normal"/>
        <w:tabs>
          <w:tab w:val="left" w:pos="0" w:leader="none"/>
        </w:tabs>
        <w:ind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1-иод-4-нитробензолу, рис. 24)</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pPr>
      <w:r>
        <w:rPr/>
        <w:t>Рисунок 20. Продукты разложения соли 3 по данным ГХ-МС. (Пик 6.307 мин. соответствует 1-фтор-4-нитробензолу,  10.515 мин. 1-иод-4-нитробензолу, рис. 25)</w:t>
      </w:r>
    </w:p>
    <w:p>
      <w:pPr>
        <w:pStyle w:val="Normal"/>
        <w:tabs>
          <w:tab w:val="left" w:pos="0" w:leader="none"/>
        </w:tabs>
        <w:spacing w:before="0" w:after="113"/>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1-иод-4-нитробензола M/Z: 249, 203, 76.</w:t>
      </w:r>
    </w:p>
    <w:p>
      <w:pPr>
        <w:pStyle w:val="Normal"/>
        <w:tabs>
          <w:tab w:val="left" w:pos="0" w:leader="none"/>
        </w:tabs>
        <w:ind w:hanging="0"/>
        <w:jc w:val="center"/>
        <w:rPr/>
      </w:pPr>
      <w:r>
        <w:rPr/>
      </w:r>
    </w:p>
    <w:p>
      <w:pPr>
        <w:pStyle w:val="Normal"/>
        <w:tabs>
          <w:tab w:val="left" w:pos="0" w:leader="none"/>
        </w:tabs>
        <w:ind w:hanging="0"/>
        <w:jc w:val="center"/>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hanging="0"/>
        <w:jc w:val="center"/>
        <w:rPr/>
      </w:pPr>
      <w:r>
        <w:rPr/>
      </w:r>
    </w:p>
    <w:p>
      <w:pPr>
        <w:pStyle w:val="Normal"/>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1-иод-4-нитробензола M/Z: 249, 203, 76, 50.</w:t>
      </w:r>
    </w:p>
    <w:p>
      <w:pPr>
        <w:pStyle w:val="Normal"/>
        <w:tabs>
          <w:tab w:val="left" w:pos="0" w:leader="none"/>
        </w:tabs>
        <w:ind w:hanging="0"/>
        <w:jc w:val="center"/>
        <w:rPr/>
      </w:pPr>
      <w:r>
        <w:rPr/>
      </w:r>
    </w:p>
    <w:p>
      <w:pPr>
        <w:pStyle w:val="Normal"/>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1-и</w:t>
      </w:r>
      <w:bookmarkStart w:id="2" w:name="_GoBack"/>
      <w:bookmarkEnd w:id="2"/>
      <w:r>
        <w:rPr/>
        <w:t>од-4-нитробензола M/Z: 249, 203, 76.</w:t>
      </w:r>
    </w:p>
    <w:p>
      <w:pPr>
        <w:pStyle w:val="Normal"/>
        <w:tabs>
          <w:tab w:val="left" w:pos="225" w:leader="none"/>
          <w:tab w:val="left" w:pos="510" w:leader="none"/>
        </w:tabs>
        <w:spacing w:before="0" w:after="113"/>
        <w:ind w:left="720" w:hanging="0"/>
        <w:jc w:val="center"/>
        <w:rPr>
          <w:b/>
          <w:b/>
          <w:bCs/>
        </w:rPr>
      </w:pPr>
      <w:r>
        <w:rPr>
          <w:b/>
          <w:bCs/>
        </w:rPr>
      </w:r>
    </w:p>
    <w:p>
      <w:pPr>
        <w:pStyle w:val="Normal"/>
        <w:tabs>
          <w:tab w:val="left" w:pos="225" w:leader="none"/>
          <w:tab w:val="left" w:pos="510" w:leader="none"/>
        </w:tabs>
        <w:spacing w:before="0" w:after="113"/>
        <w:ind w:left="720" w:hanging="0"/>
        <w:jc w:val="center"/>
        <w:rPr>
          <w:b/>
          <w:b/>
          <w:bCs/>
        </w:rPr>
      </w:pPr>
      <w:r>
        <w:rPr>
          <w:b/>
          <w:bCs/>
        </w:rPr>
        <w:t>Приложение 3s. LS-MS Спектры продуктов разложения ДС</w:t>
      </w:r>
    </w:p>
    <w:p>
      <w:pPr>
        <w:pStyle w:val="Style20"/>
        <w:rPr/>
      </w:pPr>
      <w:r>
        <w:rPr/>
        <w:t xml:space="preserve">Исходные файлы спектров LS-MS находятся в каталоге - </w:t>
      </w:r>
      <w:r>
        <w:rPr>
          <w:i/>
          <w:iCs/>
          <w:u w:val="single"/>
        </w:rPr>
        <w:t>Supporting/LC-MS</w:t>
      </w:r>
      <w:r>
        <w:rPr/>
        <w:t>. Для просмотра и анализа файлов можно использовать свободное программное обеспечение OpenMS (</w:t>
      </w:r>
      <w:hyperlink r:id="rId48">
        <w:r>
          <w:rPr>
            <w:rStyle w:val="Style13"/>
          </w:rPr>
          <w:t>https://www.openms.de/</w:t>
        </w:r>
      </w:hyperlink>
      <w:r>
        <w:rPr/>
        <w:t xml:space="preserve">). </w:t>
      </w:r>
    </w:p>
    <w:p>
      <w:pPr>
        <w:pStyle w:val="Style20"/>
        <w:rPr/>
      </w:pPr>
      <w:r>
        <w:rPr/>
      </w:r>
    </w:p>
    <w:p>
      <w:pPr>
        <w:pStyle w:val="Normal"/>
        <w:tabs>
          <w:tab w:val="left" w:pos="0" w:leader="none"/>
        </w:tabs>
        <w:ind w:hanging="0"/>
        <w:jc w:val="center"/>
        <w:rPr>
          <w:b/>
          <w:b/>
          <w:bCs/>
        </w:rPr>
      </w:pPr>
      <w:r>
        <w:rPr>
          <w:b/>
          <w:bCs/>
        </w:rPr>
        <w:t>Приложение 4s. Результаты квантовохимических расчетов</w:t>
      </w:r>
    </w:p>
    <w:p>
      <w:pPr>
        <w:pStyle w:val="Normal"/>
        <w:tabs>
          <w:tab w:val="left" w:pos="225" w:leader="none"/>
          <w:tab w:val="left" w:pos="510" w:leader="none"/>
        </w:tabs>
        <w:spacing w:before="0" w:after="113"/>
        <w:ind w:left="720" w:hanging="0"/>
        <w:rPr/>
      </w:pPr>
      <w:r>
        <w:rPr/>
        <w:t xml:space="preserve">Выходные файлы квантовохимических расчетов находятся в каталоге -  </w:t>
      </w:r>
      <w:r>
        <w:rPr>
          <w:i/>
          <w:iCs/>
          <w:u w:val="single"/>
        </w:rPr>
        <w:t>Supporting/Quant/Out</w:t>
      </w:r>
      <w:r>
        <w:rPr/>
        <w:t xml:space="preserve">. Оптимизированная геометрия - </w:t>
      </w:r>
      <w:r>
        <w:rPr>
          <w:i/>
          <w:iCs/>
          <w:u w:val="single"/>
        </w:rPr>
        <w:t>Supporting/Quant/Mol</w:t>
      </w:r>
      <w:r>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9"/>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9-01-21T16:22:50Z" w:initials="БАА">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en-US"/>
        </w:rPr>
        <w:t>Второй вариант самый лаконичный и правильный!</w:t>
      </w:r>
    </w:p>
  </w:comment>
  <w:comment w:id="1" w:author="fvd" w:date="2019-01-20T16:04:00Z" w:initials="f">
    <w:p>
      <w:r>
        <w:rPr>
          <w:rFonts w:eastAsia="DejaVu Sans" w:cs="DejaVu Sans"/>
          <w:color w:val="auto"/>
          <w:lang w:val="en-US" w:eastAsia="en-US" w:bidi="en-US"/>
        </w:rPr>
        <w:t>Саша, может, эту фразу убрать ? Какая-то она неодназначная. Откуда мы знаем о различии механизмов при высокоих и нормальных температурах ?</w:t>
      </w:r>
    </w:p>
  </w:comment>
  <w:comment w:id="2" w:author="Александр Александрович Бондарев" w:date="2019-01-21T16:26:12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(20.01.2019, 16:04): "..."</w:t>
      </w:r>
    </w:p>
    <w:p>
      <w:r>
        <w:rPr>
          <w:rFonts w:eastAsia="DejaVu Sans" w:cs="DejaVu Sans"/>
          <w:color w:val="auto"/>
          <w:sz w:val="20"/>
          <w:lang w:val="ru-RU" w:eastAsia="ru-RU" w:bidi="ar-SA"/>
        </w:rPr>
        <w:t>убрал эту фразу</w:t>
      </w:r>
    </w:p>
  </w:comment>
  <w:comment w:id="3" w:author="Александр Александрович Бондарев" w:date="2019-01-21T16:30:52Z" w:initials="БАА">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ru-RU"/>
        </w:rPr>
        <w:t>Удалил фрагмент выделеный зеленым, про повышенную стабильность трифлатных солей. (Это есть в тексте статьи и в abstract).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 Times">
    <w:charset w:val="01"/>
    <w:family w:val="roman"/>
    <w:pitch w:val="variable"/>
  </w:font>
  <w:font w:name="Standard Symbols L">
    <w:charset w:val="01"/>
    <w:family w:val="roman"/>
    <w:pitch w:val="variable"/>
  </w:font>
  <w:font w:name="FreeSans">
    <w:charset w:val="01"/>
    <w:family w:val="roman"/>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35</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21.01.19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19"/>
    <w:qFormat/>
    <w:pPr>
      <w:numPr>
        <w:ilvl w:val="0"/>
        <w:numId w:val="1"/>
      </w:numPr>
      <w:spacing w:before="170" w:after="113"/>
      <w:jc w:val="left"/>
      <w:outlineLvl w:val="0"/>
      <w:outlineLvl w:val="0"/>
    </w:pPr>
    <w:rPr>
      <w:b/>
      <w:caps/>
      <w:color w:val="669900"/>
      <w:szCs w:val="36"/>
    </w:rPr>
  </w:style>
  <w:style w:type="paragraph" w:styleId="2">
    <w:name w:val="Heading 2"/>
    <w:basedOn w:val="Style19"/>
    <w:qFormat/>
    <w:pPr>
      <w:numPr>
        <w:ilvl w:val="1"/>
        <w:numId w:val="1"/>
      </w:numPr>
      <w:spacing w:before="113" w:after="57"/>
      <w:ind w:firstLine="397"/>
      <w:jc w:val="left"/>
      <w:outlineLvl w:val="1"/>
      <w:outlineLvl w:val="1"/>
    </w:pPr>
    <w:rPr>
      <w:b/>
      <w:sz w:val="24"/>
      <w:szCs w:val="32"/>
    </w:rPr>
  </w:style>
  <w:style w:type="paragraph" w:styleId="3">
    <w:name w:val="Heading 3"/>
    <w:basedOn w:val="Style19"/>
    <w:qFormat/>
    <w:pPr>
      <w:numPr>
        <w:ilvl w:val="2"/>
        <w:numId w:val="1"/>
      </w:numPr>
      <w:spacing w:before="142" w:after="0"/>
      <w:ind w:firstLine="567"/>
      <w:outlineLvl w:val="2"/>
      <w:outlineLvl w:val="2"/>
    </w:pPr>
    <w:rPr>
      <w:b/>
      <w:bC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Style18" w:customStyle="1">
    <w:name w:val="Цитата"/>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Style19" w:customStyle="1">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22" w:customStyle="1">
    <w:name w:val="Указатель2"/>
    <w:basedOn w:val="Normal"/>
    <w:qFormat/>
    <w:pPr>
      <w:suppressLineNumbers/>
    </w:pPr>
    <w:rPr/>
  </w:style>
  <w:style w:type="paragraph" w:styleId="13" w:customStyle="1">
    <w:name w:val="Название объекта1"/>
    <w:basedOn w:val="Normal"/>
    <w:qFormat/>
    <w:pPr>
      <w:suppressLineNumbers/>
      <w:spacing w:before="120" w:after="120"/>
    </w:pPr>
    <w:rPr>
      <w:i/>
      <w:iCs/>
    </w:rPr>
  </w:style>
  <w:style w:type="paragraph" w:styleId="14" w:customStyle="1">
    <w:name w:val="Указатель1"/>
    <w:basedOn w:val="Normal"/>
    <w:qFormat/>
    <w:pPr>
      <w:suppressLineNumbers/>
    </w:pPr>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eastAsia="ar-SA" w:val="ru-RU"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footer" Target="footer1.xm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F5B90-AEDA-4529-92B4-9EC34F2B8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11321</TotalTime>
  <Application>LibreOffice/5.2.7.2$Linux_X86_64 LibreOffice_project/20m0$Build-2</Application>
  <Pages>35</Pages>
  <Words>6381</Words>
  <Characters>41928</Characters>
  <CharactersWithSpaces>47868</CharactersWithSpaces>
  <Paragraphs>630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2019-01-21T16:36:21Z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