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embeddings/oleObject2.bin" ContentType="application/vnd.openxmlformats-officedocument.oleObject"/>
  <Override PartName="/word/embeddings/oleObject1.bin" ContentType="application/vnd.openxmlformats-officedocument.oleObject"/>
  <Override PartName="/word/media/image41.png" ContentType="image/png"/>
  <Override PartName="/word/media/image40.png" ContentType="image/png"/>
  <Override PartName="/word/media/image39.wmf" ContentType="image/x-wmf"/>
  <Override PartName="/word/media/image34.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3.emf" ContentType="image/x-emf"/>
  <Override PartName="/word/media/image43.wmf" ContentType="image/x-wmf"/>
  <Override PartName="/word/media/image24.png" ContentType="image/png"/>
  <Override PartName="/word/media/image9.png" ContentType="image/png"/>
  <Override PartName="/word/media/image10.png" ContentType="image/png"/>
  <Override PartName="/word/media/image42.wmf" ContentType="image/x-wmf"/>
  <Override PartName="/word/media/image8.png" ContentType="image/png"/>
  <Override PartName="/word/media/image6.png" ContentType="image/png"/>
  <Override PartName="/word/media/image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30.wmf" ContentType="image/x-wmf"/>
  <Override PartName="/word/media/image11.png" ContentType="image/png"/>
  <Override PartName="/word/media/image31.wmf" ContentType="image/x-wmf"/>
  <Override PartName="/word/media/image12.png" ContentType="image/png"/>
  <Override PartName="/word/media/image32.wmf" ContentType="image/x-wmf"/>
  <Override PartName="/word/media/image13.png" ContentType="image/png"/>
  <Override PartName="/word/media/image33.wmf" ContentType="image/x-wmf"/>
  <Override PartName="/word/media/image14.png" ContentType="image/png"/>
  <Override PartName="/word/media/image15.png" ContentType="image/png"/>
  <Override PartName="/word/media/image35.wmf" ContentType="image/x-wmf"/>
  <Override PartName="/word/media/image16.png" ContentType="image/png"/>
  <Override PartName="/word/media/image36.wmf" ContentType="image/x-wmf"/>
  <Override PartName="/word/media/image17.png" ContentType="image/png"/>
  <Override PartName="/word/media/image37.wmf" ContentType="image/x-wmf"/>
  <Override PartName="/word/media/image18.png" ContentType="image/png"/>
  <Override PartName="/word/media/image38.wmf" ContentType="image/x-wmf"/>
  <Override PartName="/word/media/image21.emf" ContentType="image/x-emf"/>
  <Override PartName="/word/media/image19.png" ContentType="image/png"/>
  <Override PartName="/word/media/image5.png" ContentType="image/png"/>
  <Override PartName="/word/media/image20.png" ContentType="image/png"/>
  <Override PartName="/word/settings.xml" ContentType="application/vnd.openxmlformats-officedocument.wordprocessingml.settings+xml"/>
  <Override PartName="/word/theme/theme1.xml" ContentType="application/vnd.openxmlformats-officedocument.theme+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comments.xml" ContentType="application/vnd.openxmlformats-officedocument.wordprocessingml.comments+xml"/>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2"/>
        <w:numPr>
          <w:ilvl w:val="1"/>
          <w:numId w:val="3"/>
        </w:numPr>
        <w:spacing w:before="113" w:after="57"/>
        <w:ind w:left="0" w:hanging="0"/>
        <w:jc w:val="center"/>
        <w:rPr>
          <w:lang w:val="en-US"/>
        </w:rPr>
      </w:pPr>
      <w:r>
        <w:rPr>
          <w:lang w:val="en-US"/>
        </w:rPr>
        <w:t>Comparative analysis of the thermal stability of the arenediazonium triflates, tosylates and tetrafluoroborates by calorimetric methods</w:t>
      </w:r>
    </w:p>
    <w:p>
      <w:pPr>
        <w:pStyle w:val="Normal"/>
        <w:rPr>
          <w:lang w:val="en-US"/>
        </w:rPr>
      </w:pPr>
      <w:r>
        <w:rPr>
          <w:lang w:val="en-US"/>
        </w:rPr>
        <w:t>Alexander A. Bondarev</w:t>
      </w:r>
      <w:r>
        <w:rPr>
          <w:vertAlign w:val="superscript"/>
          <w:lang w:val="en-US"/>
        </w:rPr>
        <w:t>1</w:t>
      </w:r>
      <w:r>
        <w:rPr>
          <w:lang w:val="en-US"/>
        </w:rPr>
        <w:t>, Evgeny V. Naumov, Assiya Zh. Kassanova</w:t>
      </w:r>
      <w:r>
        <w:rPr>
          <w:vertAlign w:val="superscript"/>
          <w:lang w:val="en-US"/>
        </w:rPr>
        <w:t>2</w:t>
      </w:r>
      <w:r>
        <w:rPr>
          <w:lang w:val="en-US"/>
        </w:rPr>
        <w:t>, Elena A. Krasnokutskaya</w:t>
      </w:r>
      <w:r>
        <w:rPr>
          <w:vertAlign w:val="superscript"/>
          <w:lang w:val="en-US"/>
        </w:rPr>
        <w:t>3</w:t>
      </w:r>
      <w:r>
        <w:rPr>
          <w:lang w:val="en-US"/>
        </w:rPr>
        <w:t>, Victor D. Filimonov</w:t>
      </w:r>
      <w:r>
        <w:rPr>
          <w:vertAlign w:val="superscript"/>
          <w:lang w:val="en-US"/>
        </w:rPr>
        <w:t>3</w:t>
      </w:r>
      <w:r>
        <w:rPr>
          <w:lang w:val="en-US"/>
        </w:rPr>
        <w:t xml:space="preserve"> </w:t>
      </w:r>
    </w:p>
    <w:p>
      <w:pPr>
        <w:pStyle w:val="Normal"/>
        <w:rPr>
          <w:lang w:val="en-US"/>
        </w:rPr>
      </w:pPr>
      <w:r>
        <w:rPr>
          <w:lang w:val="en-US"/>
        </w:rPr>
      </w:r>
    </w:p>
    <w:p>
      <w:pPr>
        <w:pStyle w:val="Normal"/>
        <w:rPr/>
      </w:pPr>
      <w:r>
        <w:rPr>
          <w:vertAlign w:val="superscript"/>
          <w:lang w:val="en-US"/>
        </w:rPr>
        <w:t>1 </w:t>
      </w:r>
      <w:r>
        <w:rPr>
          <w:lang w:val="en-US"/>
        </w:rPr>
        <w:t xml:space="preserve">Department of Biomedicine, Altai State University, Barnaul, Russia, </w:t>
      </w:r>
      <w:hyperlink r:id="rId2">
        <w:r>
          <w:rPr>
            <w:rStyle w:val="Style13"/>
            <w:lang w:val="en-US"/>
          </w:rPr>
          <w:t>alex_root@mail.ru</w:t>
        </w:r>
      </w:hyperlink>
    </w:p>
    <w:p>
      <w:pPr>
        <w:pStyle w:val="Normal"/>
        <w:rPr>
          <w:lang w:val="en-US"/>
        </w:rPr>
      </w:pPr>
      <w:r>
        <w:rPr>
          <w:vertAlign w:val="superscript"/>
          <w:lang w:val="en-US"/>
        </w:rPr>
        <w:t>2 </w:t>
      </w:r>
      <w:r>
        <w:rPr>
          <w:lang w:val="en-US"/>
        </w:rPr>
        <w:t>S. Toraighyrov Pavlodar State University, Pavlodar, Kazakhstan</w:t>
      </w:r>
    </w:p>
    <w:p>
      <w:pPr>
        <w:pStyle w:val="Normal"/>
        <w:ind w:left="510" w:hanging="113"/>
        <w:rPr>
          <w:rFonts w:eastAsia="Liberation Serif" w:cs="Liberation Serif"/>
          <w:lang w:val="en-US"/>
        </w:rPr>
      </w:pPr>
      <w:r>
        <w:rPr>
          <w:vertAlign w:val="superscript"/>
          <w:lang w:val="en-US"/>
        </w:rPr>
        <w:t xml:space="preserve">3  </w:t>
      </w:r>
      <w:r>
        <w:rPr>
          <w:rFonts w:eastAsia="Liberation Serif" w:cs="Liberation Serif"/>
          <w:lang w:val="en-US"/>
        </w:rPr>
        <w:t>N.M.</w:t>
      </w:r>
      <w:r>
        <w:rPr>
          <w:rFonts w:eastAsia="Liberation Serif" w:cs="Liberation Serif"/>
          <w:b/>
          <w:bCs/>
          <w:lang w:val="en-US"/>
        </w:rPr>
        <w:t xml:space="preserve"> </w:t>
      </w:r>
      <w:r>
        <w:rPr>
          <w:rFonts w:eastAsia="Liberation Serif" w:cs="Liberation Serif"/>
          <w:lang w:val="en-US"/>
        </w:rPr>
        <w:t>Kizhner Research and Educational Centre,</w:t>
      </w:r>
      <w:r>
        <w:rPr>
          <w:rFonts w:eastAsia="Liberation Serif" w:cs="Liberation Serif"/>
          <w:b/>
          <w:bCs/>
          <w:lang w:val="en-US"/>
        </w:rPr>
        <w:t xml:space="preserve"> </w:t>
      </w:r>
      <w:r>
        <w:rPr>
          <w:rFonts w:eastAsia="Liberation Serif" w:cs="Liberation Serif"/>
          <w:lang w:val="en-US"/>
        </w:rPr>
        <w:t>National Research</w:t>
      </w:r>
      <w:r>
        <w:rPr>
          <w:rFonts w:eastAsia="Liberation Serif" w:cs="Liberation Serif"/>
          <w:b/>
          <w:bCs/>
          <w:lang w:val="en-US"/>
        </w:rPr>
        <w:t xml:space="preserve"> </w:t>
      </w:r>
      <w:r>
        <w:rPr>
          <w:rFonts w:eastAsia="Liberation Serif" w:cs="Liberation Serif"/>
          <w:lang w:val="en-US"/>
        </w:rPr>
        <w:t>Tomsk Polytechnic University, Tomsk, Russian Federation</w:t>
      </w:r>
    </w:p>
    <w:p>
      <w:pPr>
        <w:pStyle w:val="1"/>
        <w:numPr>
          <w:ilvl w:val="0"/>
          <w:numId w:val="2"/>
        </w:numPr>
        <w:ind w:left="0" w:firstLine="397"/>
        <w:rPr/>
      </w:pPr>
      <w:r>
        <w:rPr>
          <w:lang w:val="en-US"/>
        </w:rPr>
        <w:t xml:space="preserve">  </w:t>
      </w:r>
      <w:r>
        <w:rPr/>
        <w:t>Abstract</w:t>
      </w:r>
    </w:p>
    <w:p>
      <w:pPr>
        <w:pStyle w:val="Normal"/>
        <w:ind w:hanging="0"/>
        <w:rPr/>
      </w:pPr>
      <w:commentRangeStart w:id="0"/>
      <w:r>
        <w:rPr/>
        <w:t xml:space="preserve">Впервые методом </w:t>
      </w:r>
      <w:r>
        <w:rPr>
          <w:color w:val="00000A"/>
        </w:rPr>
        <w:t>изотермической потоковой</w:t>
      </w:r>
      <w:r>
        <w:rPr/>
        <w:t xml:space="preserve"> калориметрии и DSC/</w:t>
      </w:r>
      <w:r>
        <w:rPr>
          <w:lang w:val="en-US"/>
        </w:rPr>
        <w:t>TGA</w:t>
      </w:r>
      <w:r>
        <w:rPr/>
        <w:t xml:space="preserve"> определены энергии </w:t>
      </w:r>
      <w:r>
        <w:rPr/>
      </w:r>
      <w:commentRangeEnd w:id="0"/>
      <w:r>
        <w:commentReference w:id="0"/>
      </w:r>
      <w:r>
        <w:rPr/>
        <w:t xml:space="preserve">термического разложения ряда сухих арендиазоний трифлатов в сравнении с 4-нитробензолтозилатом и 4-нитробензолтетрафторборатом. Определены кинетика термического разложения, энергии активации и времена полураспада изученных диазониевых солей, а также методами GC-MS и LC-MS образующиеся при разложении продукты. Квантово-химическим методом </w:t>
      </w:r>
      <w:r>
        <w:rPr>
          <w:lang w:val="en-US"/>
        </w:rPr>
        <w:t>DFT</w:t>
      </w:r>
      <w:r>
        <w:rPr/>
        <w:t xml:space="preserve"> B3LYP в базисе aug-cc-pVDZ проведено моделирование термодинамики реакций разложения, протекающих через замещение диазониевой группы на соответствующие нуклеофилы. Показано, что этот метод удовлетворительно предсказывает энергии разложения всех изученных диазониевых солей, кроме 2-нитробензолдиазоний трифлата. Установлено, что 4-нитробензолдиазоний трифлат обладает повышенной стабильностью при хранении в нормальных условиях сравнительно с с соответствующим тозилатом и тетрафторборатом. Полученные экспериментальные и теоретические результаты приводят к заключению, что метод </w:t>
      </w:r>
      <w:r>
        <w:rPr>
          <w:color w:val="00000A"/>
        </w:rPr>
        <w:t>изотермической потоковой</w:t>
      </w:r>
      <w:r>
        <w:rPr/>
        <w:t xml:space="preserve"> калориметрии более адекватно отражает энергетику процессов термического разложения диазониевых солей, чем метод DSC/</w:t>
      </w:r>
      <w:r>
        <w:rPr>
          <w:lang w:val="en-US"/>
        </w:rPr>
        <w:t>TGA</w:t>
      </w:r>
      <w:r>
        <w:rPr/>
        <w:t>.</w:t>
      </w:r>
    </w:p>
    <w:p>
      <w:pPr>
        <w:pStyle w:val="Normal"/>
        <w:numPr>
          <w:ilvl w:val="2"/>
          <w:numId w:val="3"/>
        </w:numPr>
        <w:ind w:left="0" w:firstLine="397"/>
        <w:rPr/>
      </w:pPr>
      <w:r>
        <w:rPr/>
      </w:r>
    </w:p>
    <w:p>
      <w:pPr>
        <w:pStyle w:val="Normal"/>
        <w:numPr>
          <w:ilvl w:val="2"/>
          <w:numId w:val="3"/>
        </w:numPr>
        <w:ind w:left="0" w:firstLine="397"/>
        <w:rPr/>
      </w:pPr>
      <w:r>
        <w:rPr/>
        <w:t xml:space="preserve">Впервые методом </w:t>
      </w:r>
      <w:r>
        <w:rPr>
          <w:highlight w:val="green"/>
        </w:rPr>
        <w:t>изотермической</w:t>
      </w:r>
      <w:r>
        <w:rPr/>
        <w:t xml:space="preserve"> потоковой калориметрии и DSC изучены трифлатные, тозилатные и тетрафторборатные соли диазония. Проведен анализ Аррениуса и аппроксимация кинетических кривых разложения на нормальные условия, определены энергии активации и времена полураспада изученных диазониевых солей. Продукты разложения исследованы методами GC-MS и LC-MS. Рассчитаны методами квантовой химии термодинамические параметры предполагаемых процессов протекающих при разложении диазониевых солей. Показана повышенная стабильность и устойчивость при хранении трифлатных солей диазония.</w:t>
      </w:r>
    </w:p>
    <w:p>
      <w:pPr>
        <w:pStyle w:val="1"/>
        <w:numPr>
          <w:ilvl w:val="0"/>
          <w:numId w:val="4"/>
        </w:numPr>
        <w:rPr/>
      </w:pPr>
      <w:r>
        <w:rPr/>
        <w:t>Introduction</w:t>
      </w:r>
    </w:p>
    <w:p>
      <w:pPr>
        <w:pStyle w:val="Normal"/>
        <w:numPr>
          <w:ilvl w:val="0"/>
          <w:numId w:val="3"/>
        </w:numPr>
        <w:ind w:left="0" w:firstLine="397"/>
        <w:rPr/>
      </w:pPr>
      <w:r>
        <w:rPr>
          <w:rFonts w:eastAsia="Times New Roman" w:cs="Times New Roman"/>
        </w:rPr>
        <w:t>Ароматические диазониевые соли (</w:t>
      </w:r>
      <w:r>
        <w:rPr>
          <w:rFonts w:eastAsia="Times New Roman" w:cs="Times New Roman"/>
          <w:lang w:val="en-US"/>
        </w:rPr>
        <w:t>DS</w:t>
      </w:r>
      <w:r>
        <w:rPr>
          <w:rFonts w:eastAsia="Times New Roman" w:cs="Times New Roman"/>
        </w:rPr>
        <w:t xml:space="preserve">) являются одними из важнейших строительных блоков тонкого органического синтеза и индустрии [1]. Кроме того, благодаря способности диазониевых солей реагировать со многими металлическими и неметаллическими поверхностями с элиминированием азота и образованием ковалентных связей ароматических радикалов с поверхностями, они находят применение в получении современных макро- и наноразмерных композитных органических материалов [2]. </w:t>
      </w:r>
    </w:p>
    <w:p>
      <w:pPr>
        <w:pStyle w:val="Normal"/>
        <w:numPr>
          <w:ilvl w:val="0"/>
          <w:numId w:val="3"/>
        </w:numPr>
        <w:ind w:left="0" w:firstLine="397"/>
        <w:rPr/>
      </w:pPr>
      <w:r>
        <w:rPr>
          <w:rFonts w:eastAsia="Times New Roman" w:cs="Times New Roman"/>
        </w:rPr>
        <w:t xml:space="preserve">Вместе с тем, для многих </w:t>
      </w:r>
      <w:r>
        <w:rPr>
          <w:rFonts w:eastAsia="Times New Roman" w:cs="Times New Roman"/>
          <w:lang w:val="en-US"/>
        </w:rPr>
        <w:t>DS</w:t>
      </w:r>
      <w:r>
        <w:rPr>
          <w:rFonts w:eastAsia="Times New Roman" w:cs="Times New Roman"/>
        </w:rPr>
        <w:t xml:space="preserve"> типичны такие недостатки, как малая устойчивость при хранении в сухом состоянии и склонность к взрывообразному разложению при нагревании,  фотоооблучении и механических воздействиях [1</w:t>
      </w:r>
      <w:r>
        <w:rPr>
          <w:rFonts w:eastAsia="Times New Roman" w:cs="Times New Roman"/>
          <w:lang w:val="en-US"/>
        </w:rPr>
        <w:t>a</w:t>
      </w:r>
      <w:r>
        <w:rPr>
          <w:rFonts w:eastAsia="Times New Roman" w:cs="Times New Roman"/>
        </w:rPr>
        <w:t>],</w:t>
      </w:r>
      <w:r>
        <w:rPr>
          <w:rFonts w:eastAsia="Times New Roman" w:cs="Times New Roman"/>
          <w:vertAlign w:val="superscript"/>
        </w:rPr>
        <w:t xml:space="preserve"> </w:t>
      </w:r>
      <w:r>
        <w:rPr>
          <w:rFonts w:eastAsia="Times New Roman" w:cs="Times New Roman"/>
        </w:rPr>
        <w:t>что затрудняет их получение и использование особенно в промышленном масштабе.</w:t>
      </w:r>
    </w:p>
    <w:p>
      <w:pPr>
        <w:pStyle w:val="Normal"/>
        <w:numPr>
          <w:ilvl w:val="0"/>
          <w:numId w:val="3"/>
        </w:numPr>
        <w:ind w:left="0" w:firstLine="397"/>
        <w:rPr/>
      </w:pPr>
      <w:r>
        <w:rPr>
          <w:rFonts w:eastAsia="Times New Roman" w:cs="Times New Roman"/>
        </w:rPr>
        <w:t>Недавно нами получены арендиазоний тозилаты ArN</w:t>
      </w:r>
      <w:r>
        <w:rPr>
          <w:rFonts w:eastAsia="Times New Roman" w:cs="Times New Roman"/>
          <w:vertAlign w:val="subscript"/>
        </w:rPr>
        <w:t>2</w:t>
      </w:r>
      <w:r>
        <w:rPr>
          <w:rFonts w:eastAsia="Times New Roman" w:cs="Times New Roman"/>
          <w:vertAlign w:val="superscript"/>
        </w:rPr>
        <w:t>+</w:t>
      </w:r>
      <w:r>
        <w:rPr>
          <w:rFonts w:eastAsia="Times New Roman" w:cs="Times New Roman"/>
        </w:rPr>
        <w:t xml:space="preserve"> TsO</w:t>
      </w:r>
      <w:r>
        <w:rPr>
          <w:rFonts w:eastAsia="Times New Roman" w:cs="Times New Roman"/>
          <w:vertAlign w:val="superscript"/>
        </w:rPr>
        <w:t>-</w:t>
      </w:r>
      <w:r>
        <w:rPr>
          <w:rFonts w:eastAsia="Times New Roman" w:cs="Times New Roman"/>
        </w:rPr>
        <w:t xml:space="preserve"> (ADTs) [3a] и трифлаты ArN</w:t>
      </w:r>
      <w:r>
        <w:rPr>
          <w:rFonts w:eastAsia="Times New Roman" w:cs="Times New Roman"/>
          <w:vertAlign w:val="subscript"/>
        </w:rPr>
        <w:t>2</w:t>
      </w:r>
      <w:r>
        <w:rPr>
          <w:rFonts w:eastAsia="Times New Roman" w:cs="Times New Roman"/>
          <w:vertAlign w:val="superscript"/>
        </w:rPr>
        <w:t>+</w:t>
      </w:r>
      <w:r>
        <w:rPr>
          <w:rFonts w:eastAsia="Times New Roman" w:cs="Times New Roman"/>
        </w:rPr>
        <w:t xml:space="preserve"> TfO</w:t>
      </w:r>
      <w:r>
        <w:rPr>
          <w:rFonts w:eastAsia="Times New Roman" w:cs="Times New Roman"/>
          <w:vertAlign w:val="superscript"/>
        </w:rPr>
        <w:t>-</w:t>
      </w:r>
      <w:r>
        <w:rPr>
          <w:rFonts w:eastAsia="Times New Roman" w:cs="Times New Roman"/>
        </w:rPr>
        <w:t xml:space="preserve"> (ADTf) [3b], обладающие рядом преимуществ перед  традиционными солями диазония. Так, они сочетают устойчивость при хранении в сухом состоянии, и высокую реакционную способность во многих реакциях диазониевой химии, легко образуя ароматические иодиды и бромиды [3a,b, 4a-f] , азиды [3b, 4g], бороновые кислоты [3b], а под действием Pd-катализа  дают продукты С-С-кросс-сочетания [3b, 4h-j]. В различных лабораториях показано также, что  ADTs можно с успехом использовать для введения  в арены изотопа </w:t>
      </w:r>
      <w:r>
        <w:rPr>
          <w:rFonts w:eastAsia="Times New Roman" w:cs="Times New Roman"/>
          <w:vertAlign w:val="superscript"/>
        </w:rPr>
        <w:t>19</w:t>
      </w:r>
      <w:r>
        <w:rPr>
          <w:rFonts w:eastAsia="Times New Roman" w:cs="Times New Roman"/>
        </w:rPr>
        <w:t xml:space="preserve">F [5a], проведения  azo-coupling с этил </w:t>
      </w:r>
      <w:r>
        <w:rPr>
          <w:rFonts w:eastAsia="Symbol" w:cs="Symbol" w:ascii="Standard Symbols L" w:hAnsi="Standard Symbols L"/>
        </w:rPr>
        <w:t>a</w:t>
      </w:r>
      <w:r>
        <w:rPr>
          <w:rFonts w:eastAsia="Times New Roman" w:cs="Times New Roman"/>
        </w:rPr>
        <w:t xml:space="preserve">-метилацетоацетатом [5b], замещении диазониевой группы на триэтоксисилильную [5c] и ковалентной прививки ароматических групп к поверхностям карбонизированных наночастиц металлов [5d] и графену [5e].  </w:t>
      </w:r>
    </w:p>
    <w:p>
      <w:pPr>
        <w:pStyle w:val="Normal"/>
        <w:numPr>
          <w:ilvl w:val="0"/>
          <w:numId w:val="3"/>
        </w:numPr>
        <w:ind w:left="0" w:firstLine="397"/>
        <w:rPr/>
      </w:pPr>
      <w:r>
        <w:rPr>
          <w:rFonts w:eastAsia="Times New Roman" w:cs="Times New Roman"/>
        </w:rPr>
        <w:t>В</w:t>
      </w:r>
      <w:r>
        <w:rPr>
          <w:rFonts w:eastAsia="Times New Roman" w:cs="Times New Roman"/>
          <w:lang w:val="en-US"/>
        </w:rPr>
        <w:t xml:space="preserve"> </w:t>
      </w:r>
      <w:r>
        <w:rPr>
          <w:rFonts w:eastAsia="Times New Roman" w:cs="Times New Roman"/>
        </w:rPr>
        <w:t>работах</w:t>
      </w:r>
      <w:r>
        <w:rPr>
          <w:rFonts w:eastAsia="Times New Roman" w:cs="Times New Roman"/>
          <w:lang w:val="en-US"/>
        </w:rPr>
        <w:t xml:space="preserve"> [3a,b,g] </w:t>
      </w:r>
      <w:r>
        <w:rPr>
          <w:rFonts w:eastAsia="Times New Roman" w:cs="Times New Roman"/>
        </w:rPr>
        <w:t>определены</w:t>
      </w:r>
      <w:r>
        <w:rPr>
          <w:rFonts w:eastAsia="Times New Roman" w:cs="Times New Roman"/>
          <w:lang w:val="en-US"/>
        </w:rPr>
        <w:t xml:space="preserve"> </w:t>
      </w:r>
      <w:r>
        <w:rPr>
          <w:rFonts w:eastAsia="Times New Roman" w:cs="Times New Roman"/>
        </w:rPr>
        <w:t>энергии</w:t>
      </w:r>
      <w:r>
        <w:rPr>
          <w:rFonts w:eastAsia="Times New Roman" w:cs="Times New Roman"/>
          <w:lang w:val="en-US"/>
        </w:rPr>
        <w:t xml:space="preserve"> </w:t>
      </w:r>
      <w:r>
        <w:rPr>
          <w:rFonts w:eastAsia="Times New Roman" w:cs="Times New Roman"/>
        </w:rPr>
        <w:t>термического</w:t>
      </w:r>
      <w:r>
        <w:rPr>
          <w:rFonts w:eastAsia="Times New Roman" w:cs="Times New Roman"/>
          <w:lang w:val="en-US"/>
        </w:rPr>
        <w:t xml:space="preserve"> </w:t>
      </w:r>
      <w:r>
        <w:rPr>
          <w:rFonts w:eastAsia="Times New Roman" w:cs="Times New Roman"/>
        </w:rPr>
        <w:t>разложения</w:t>
      </w:r>
      <w:r>
        <w:rPr>
          <w:rFonts w:eastAsia="Times New Roman" w:cs="Times New Roman"/>
          <w:lang w:val="en-US"/>
        </w:rPr>
        <w:t xml:space="preserve"> </w:t>
      </w:r>
      <w:r>
        <w:rPr>
          <w:rFonts w:eastAsia="Times New Roman" w:cs="Times New Roman"/>
        </w:rPr>
        <w:t>некоторых</w:t>
      </w:r>
      <w:r>
        <w:rPr>
          <w:rFonts w:eastAsia="Times New Roman" w:cs="Times New Roman"/>
          <w:lang w:val="en-US"/>
        </w:rPr>
        <w:t xml:space="preserve"> ADTs </w:t>
      </w:r>
      <w:r>
        <w:rPr>
          <w:rFonts w:eastAsia="Times New Roman" w:cs="Times New Roman"/>
        </w:rPr>
        <w:t>и</w:t>
      </w:r>
      <w:r>
        <w:rPr>
          <w:rFonts w:eastAsia="Times New Roman" w:cs="Times New Roman"/>
          <w:lang w:val="en-US"/>
        </w:rPr>
        <w:t xml:space="preserve"> ADTf </w:t>
      </w:r>
      <w:r>
        <w:rPr>
          <w:rFonts w:eastAsia="Times New Roman" w:cs="Times New Roman"/>
        </w:rPr>
        <w:t>методом</w:t>
      </w:r>
      <w:r>
        <w:rPr>
          <w:rFonts w:eastAsia="Times New Roman" w:cs="Times New Roman"/>
          <w:lang w:val="en-US"/>
        </w:rPr>
        <w:t xml:space="preserve"> DSC </w:t>
      </w:r>
      <w:r>
        <w:rPr>
          <w:rFonts w:eastAsia="Times New Roman" w:cs="Times New Roman"/>
        </w:rPr>
        <w:t>и</w:t>
      </w:r>
      <w:r>
        <w:rPr>
          <w:rFonts w:eastAsia="Times New Roman" w:cs="Times New Roman"/>
          <w:lang w:val="en-US"/>
        </w:rPr>
        <w:t xml:space="preserve"> </w:t>
      </w:r>
      <w:r>
        <w:rPr>
          <w:rFonts w:eastAsia="Times New Roman" w:cs="Times New Roman"/>
        </w:rPr>
        <w:t>показано</w:t>
      </w:r>
      <w:r>
        <w:rPr>
          <w:rFonts w:eastAsia="Times New Roman" w:cs="Times New Roman"/>
          <w:lang w:val="en-US"/>
        </w:rPr>
        <w:t xml:space="preserve">, </w:t>
      </w:r>
      <w:r>
        <w:rPr>
          <w:rFonts w:eastAsia="Times New Roman" w:cs="Times New Roman"/>
        </w:rPr>
        <w:t>что</w:t>
      </w:r>
      <w:r>
        <w:rPr>
          <w:rFonts w:eastAsia="Times New Roman" w:cs="Times New Roman"/>
          <w:lang w:val="en-US"/>
        </w:rPr>
        <w:t xml:space="preserve"> </w:t>
      </w:r>
      <w:r>
        <w:rPr>
          <w:rFonts w:eastAsia="Times New Roman" w:cs="Times New Roman"/>
        </w:rPr>
        <w:t>в</w:t>
      </w:r>
      <w:r>
        <w:rPr>
          <w:rFonts w:eastAsia="Times New Roman" w:cs="Times New Roman"/>
          <w:lang w:val="en-US"/>
        </w:rPr>
        <w:t xml:space="preserve"> </w:t>
      </w:r>
      <w:r>
        <w:rPr>
          <w:rFonts w:eastAsia="Times New Roman" w:cs="Times New Roman"/>
        </w:rPr>
        <w:t>большинстве</w:t>
      </w:r>
      <w:r>
        <w:rPr>
          <w:rFonts w:eastAsia="Times New Roman" w:cs="Times New Roman"/>
          <w:lang w:val="en-US"/>
        </w:rPr>
        <w:t xml:space="preserve"> </w:t>
      </w:r>
      <w:r>
        <w:rPr>
          <w:rFonts w:eastAsia="Times New Roman" w:cs="Times New Roman"/>
        </w:rPr>
        <w:t>случаев</w:t>
      </w:r>
      <w:r>
        <w:rPr>
          <w:rFonts w:eastAsia="Times New Roman" w:cs="Times New Roman"/>
          <w:lang w:val="en-US"/>
        </w:rPr>
        <w:t xml:space="preserve"> </w:t>
      </w:r>
      <w:r>
        <w:rPr>
          <w:rFonts w:eastAsia="Times New Roman" w:cs="Times New Roman"/>
        </w:rPr>
        <w:t>эти</w:t>
      </w:r>
      <w:r>
        <w:rPr>
          <w:rFonts w:eastAsia="Times New Roman" w:cs="Times New Roman"/>
          <w:lang w:val="en-US"/>
        </w:rPr>
        <w:t xml:space="preserve"> </w:t>
      </w:r>
      <w:r>
        <w:rPr>
          <w:rFonts w:eastAsia="Times New Roman" w:cs="Times New Roman"/>
        </w:rPr>
        <w:t>энергии</w:t>
      </w:r>
      <w:r>
        <w:rPr>
          <w:rFonts w:eastAsia="Times New Roman" w:cs="Times New Roman"/>
          <w:lang w:val="en-US"/>
        </w:rPr>
        <w:t xml:space="preserve"> </w:t>
      </w:r>
      <w:r>
        <w:rPr>
          <w:rFonts w:eastAsia="Times New Roman" w:cs="Times New Roman"/>
        </w:rPr>
        <w:t>лежат</w:t>
      </w:r>
      <w:r>
        <w:rPr>
          <w:rFonts w:eastAsia="Times New Roman" w:cs="Times New Roman"/>
          <w:lang w:val="en-US"/>
        </w:rPr>
        <w:t xml:space="preserve"> </w:t>
      </w:r>
      <w:r>
        <w:rPr>
          <w:rFonts w:eastAsia="Times New Roman" w:cs="Times New Roman"/>
        </w:rPr>
        <w:t>ниже</w:t>
      </w:r>
      <w:r>
        <w:rPr>
          <w:rFonts w:eastAsia="Times New Roman" w:cs="Times New Roman"/>
          <w:lang w:val="en-US"/>
        </w:rPr>
        <w:t xml:space="preserve"> 800 J\g. Thus, according to the safety criteria of the United Nations Economic Commission for Europe (UNECE) [6], these DS belong to the group of compounds that are allowed to be transported safely. </w:t>
      </w:r>
      <w:r>
        <w:rPr>
          <w:rFonts w:eastAsia="Times New Roman" w:cs="Times New Roman"/>
        </w:rPr>
        <w:t xml:space="preserve">Однако продукты термического разложения этих солей диазония не исследовались и остаются до сих пор неизвестными. Для дальнейшей оценки возможностей безопасного использования ADTs и ADTf в лабораторном и особенно в индустриальном масштабе необходимо определить надежные количественные характеристики их стабильности при хранении в сухом состоянии и энергий термического разложения c использованием различных методов и в сопоставлении с другими типами DS. </w:t>
      </w:r>
    </w:p>
    <w:p>
      <w:pPr>
        <w:pStyle w:val="Normal"/>
        <w:numPr>
          <w:ilvl w:val="0"/>
          <w:numId w:val="3"/>
        </w:numPr>
        <w:ind w:left="0" w:firstLine="397"/>
        <w:rPr/>
      </w:pPr>
      <w:r>
        <w:rPr>
          <w:rFonts w:eastAsia="Times New Roman" w:cs="Times New Roman"/>
        </w:rPr>
        <w:t>Следует отметить, что отсутствуют общепринятые процедуры измерений стабильности и безопасности DS. Опубликовано немного количественных данных о разложении DS в сухом изолированном состоянии. В работах [7a,c] приведен сравнительный анализ устойчивости диазониевых солей (хлоридов, хлорцинкатов и тетрафторборатов) к детонации и воздействию пламени без определения продуктов разложения. В статье [7</w:t>
      </w:r>
      <w:r>
        <w:rPr>
          <w:rFonts w:eastAsia="Times New Roman" w:cs="Times New Roman"/>
          <w:lang w:val="en-US"/>
        </w:rPr>
        <w:t>b</w:t>
      </w:r>
      <w:r>
        <w:rPr>
          <w:rFonts w:eastAsia="Times New Roman" w:cs="Times New Roman"/>
        </w:rPr>
        <w:t xml:space="preserve">] исследован изотопный эффект </w:t>
      </w:r>
      <w:r>
        <w:rPr>
          <w:rFonts w:eastAsia="Times New Roman" w:cs="Times New Roman"/>
          <w:vertAlign w:val="superscript"/>
        </w:rPr>
        <w:t>15</w:t>
      </w:r>
      <w:r>
        <w:rPr>
          <w:rFonts w:eastAsia="Times New Roman" w:cs="Times New Roman"/>
        </w:rPr>
        <w:t>N для реакций термического разложения арендиазоний хлоридов и тетрафторборатов. Показано, что изотопный эффект не чувствителен к природе и положению заместителей в ароматическом кольце и природе противоиона. В работе [7</w:t>
      </w:r>
      <w:r>
        <w:rPr>
          <w:rFonts w:eastAsia="Times New Roman" w:cs="Times New Roman"/>
          <w:lang w:val="en-US"/>
        </w:rPr>
        <w:t>a</w:t>
      </w:r>
      <w:r>
        <w:rPr>
          <w:rFonts w:eastAsia="Times New Roman" w:cs="Times New Roman"/>
        </w:rPr>
        <w:t>] определены энергии термического разложения и детонационной чувствительности арендиазоний хлоридов, замечено, что в ряду орто-, мета- и пара-производных чувствительность к детонации уменьшается. Существенное влияние оказывает природа заместителя в ароматическом ядре, нитропроизводные оказались заметно более чувствительны к удару, чем хлорпроизводные. Наблюдается понижение детонационной чувствительности с увеличением молекулярной массы, что связано с уменьшением удельной величины выделяемой энергии на единицу массы. Отмечено, что детонационная чувствительность сильно зависит от размера и формы кристаллов, а также от наличия примесей. Корреляции между чувствительностью к детонации и термической стабильностью не обнаружены [7a]. Значения энергий термического разложения некоторых ADTs и ADTf, определенные методами DSC/TGA/DTA, не коррелируют со строением диазоний катионов и природой противоионов [3a,b,g]. Часто используемый термин “стабильность DS при хранении” до сих пор никак количественно не определен. В работах, где указывается эта характеристика, обычно пишут “могут хранится без изменений” в течении определенного времени. Кроме того, насколько нам известно, вплоть до настоящего времени отсутствуют теоретические методы предсказания энергий термического разложения DS на основании их химического строения.</w:t>
      </w:r>
    </w:p>
    <w:p>
      <w:pPr>
        <w:pStyle w:val="Normal"/>
        <w:numPr>
          <w:ilvl w:val="0"/>
          <w:numId w:val="3"/>
        </w:numPr>
        <w:ind w:left="0" w:firstLine="397"/>
        <w:rPr/>
      </w:pPr>
      <w:r>
        <w:rPr>
          <w:rFonts w:eastAsia="Times New Roman" w:cs="Times New Roman"/>
        </w:rPr>
        <w:t xml:space="preserve">Целью нашей работы являлось первое изучение кинетики и термодинамики термического разложения arenediazonium triflates </w:t>
      </w:r>
      <w:r>
        <w:rPr>
          <w:rFonts w:eastAsia="Times New Roman" w:cs="Times New Roman"/>
          <w:b/>
          <w:bCs/>
        </w:rPr>
        <w:t>1</w:t>
      </w:r>
      <w:r>
        <w:rPr>
          <w:rFonts w:eastAsia="Times New Roman" w:cs="Times New Roman"/>
          <w:b/>
          <w:bCs/>
          <w:lang w:val="en-US"/>
        </w:rPr>
        <w:t>a</w:t>
      </w:r>
      <w:r>
        <w:rPr>
          <w:rFonts w:eastAsia="Times New Roman" w:cs="Times New Roman"/>
          <w:b/>
          <w:bCs/>
        </w:rPr>
        <w:t>-</w:t>
      </w:r>
      <w:r>
        <w:rPr>
          <w:rFonts w:eastAsia="Times New Roman" w:cs="Times New Roman"/>
          <w:b/>
          <w:bCs/>
          <w:lang w:val="en-US"/>
        </w:rPr>
        <w:t>d</w:t>
      </w:r>
      <w:r>
        <w:rPr>
          <w:rFonts w:eastAsia="Times New Roman" w:cs="Times New Roman"/>
        </w:rPr>
        <w:t xml:space="preserve"> в сравнении с 4-</w:t>
      </w:r>
      <w:r>
        <w:rPr>
          <w:rFonts w:eastAsia="Times New Roman" w:cs="Times New Roman"/>
          <w:lang w:val="en-US"/>
        </w:rPr>
        <w:t>nitrobenzenediazonium</w:t>
      </w:r>
      <w:r>
        <w:rPr>
          <w:rFonts w:eastAsia="Times New Roman" w:cs="Times New Roman"/>
        </w:rPr>
        <w:t xml:space="preserve"> </w:t>
      </w:r>
      <w:r>
        <w:rPr>
          <w:rFonts w:eastAsia="Times New Roman" w:cs="Times New Roman"/>
          <w:lang w:val="en-US"/>
        </w:rPr>
        <w:t>tosylate</w:t>
      </w:r>
      <w:r>
        <w:rPr>
          <w:rFonts w:eastAsia="Times New Roman" w:cs="Times New Roman"/>
        </w:rPr>
        <w:t xml:space="preserve"> </w:t>
      </w:r>
      <w:r>
        <w:rPr>
          <w:rFonts w:eastAsia="Times New Roman" w:cs="Times New Roman"/>
          <w:b/>
          <w:bCs/>
        </w:rPr>
        <w:t>2</w:t>
      </w:r>
      <w:r>
        <w:rPr>
          <w:rFonts w:eastAsia="Times New Roman" w:cs="Times New Roman"/>
        </w:rPr>
        <w:t xml:space="preserve"> и 4-</w:t>
      </w:r>
      <w:r>
        <w:rPr>
          <w:rFonts w:eastAsia="Times New Roman" w:cs="Times New Roman"/>
          <w:lang w:val="en-US"/>
        </w:rPr>
        <w:t>nitrobenzenediazonium</w:t>
      </w:r>
      <w:r>
        <w:rPr>
          <w:rFonts w:eastAsia="Times New Roman" w:cs="Times New Roman"/>
        </w:rPr>
        <w:t xml:space="preserve"> </w:t>
      </w:r>
      <w:r>
        <w:rPr>
          <w:rFonts w:eastAsia="Times New Roman" w:cs="Times New Roman"/>
          <w:lang w:val="en-US"/>
        </w:rPr>
        <w:t>tetrafluoroborate</w:t>
      </w:r>
      <w:r>
        <w:rPr>
          <w:rFonts w:eastAsia="Times New Roman" w:cs="Times New Roman"/>
        </w:rPr>
        <w:t xml:space="preserve"> </w:t>
      </w:r>
      <w:r>
        <w:rPr>
          <w:rFonts w:eastAsia="Times New Roman" w:cs="Times New Roman"/>
          <w:b/>
          <w:bCs/>
        </w:rPr>
        <w:t>3</w:t>
      </w:r>
      <w:r>
        <w:rPr>
          <w:rFonts w:eastAsia="Times New Roman" w:cs="Times New Roman"/>
        </w:rPr>
        <w:t xml:space="preserve"> методами DSC/TGA, изотермической потоковой калориметрии и выработка критериев оценки стабильности при хранении ряда диазониевых солей с различными анионами и заместителями. В качестве заместителей в ароматическом ядре ADTf </w:t>
      </w:r>
      <w:r>
        <w:rPr>
          <w:rFonts w:eastAsia="Times New Roman" w:cs="Times New Roman"/>
          <w:b/>
          <w:bCs/>
        </w:rPr>
        <w:t>1</w:t>
      </w:r>
      <w:r>
        <w:rPr>
          <w:rFonts w:eastAsia="Times New Roman" w:cs="Times New Roman"/>
          <w:b/>
          <w:bCs/>
          <w:lang w:val="en-US"/>
        </w:rPr>
        <w:t>a</w:t>
      </w:r>
      <w:r>
        <w:rPr>
          <w:rFonts w:eastAsia="Times New Roman" w:cs="Times New Roman"/>
          <w:b/>
          <w:bCs/>
        </w:rPr>
        <w:t>-</w:t>
      </w:r>
      <w:r>
        <w:rPr>
          <w:rFonts w:eastAsia="Times New Roman" w:cs="Times New Roman"/>
          <w:b/>
          <w:bCs/>
          <w:lang w:val="en-US"/>
        </w:rPr>
        <w:t>d</w:t>
      </w:r>
      <w:r>
        <w:rPr>
          <w:rFonts w:eastAsia="Times New Roman" w:cs="Times New Roman"/>
          <w:b/>
          <w:bCs/>
        </w:rPr>
        <w:t xml:space="preserve"> </w:t>
      </w:r>
      <w:r>
        <w:rPr>
          <w:rFonts w:eastAsia="Times New Roman" w:cs="Times New Roman"/>
        </w:rPr>
        <w:t>выбраны электроноакцепторная нитро-группа и электронодонорная метокси-группа по следующим соображениям. Во-первых, по некоторым данным [7a] диазониевые соли с NO</w:t>
      </w:r>
      <w:r>
        <w:rPr>
          <w:rFonts w:eastAsia="Times New Roman" w:cs="Times New Roman"/>
          <w:vertAlign w:val="subscript"/>
        </w:rPr>
        <w:t>2</w:t>
      </w:r>
      <w:r>
        <w:rPr>
          <w:rFonts w:eastAsia="Times New Roman" w:cs="Times New Roman"/>
        </w:rPr>
        <w:t xml:space="preserve"> группами являются наиболее взрывоопасными и представляют, таким образом, наивысший порог этих свойств. Во-вторых, диазониевые соли с NO</w:t>
      </w:r>
      <w:r>
        <w:rPr>
          <w:rFonts w:eastAsia="Times New Roman" w:cs="Times New Roman"/>
          <w:vertAlign w:val="subscript"/>
        </w:rPr>
        <w:t>2</w:t>
      </w:r>
      <w:r>
        <w:rPr>
          <w:rFonts w:eastAsia="Times New Roman" w:cs="Times New Roman"/>
        </w:rPr>
        <w:t xml:space="preserve"> и MeO группами в ароматическом ядре наиболее резко различаются по своим свойствам [3</w:t>
      </w:r>
      <w:r>
        <w:rPr>
          <w:rFonts w:eastAsia="Times New Roman" w:cs="Times New Roman"/>
          <w:lang w:val="en-US"/>
        </w:rPr>
        <w:t>a</w:t>
      </w:r>
      <w:r>
        <w:rPr>
          <w:rFonts w:eastAsia="Times New Roman" w:cs="Times New Roman"/>
        </w:rPr>
        <w:t>,</w:t>
      </w:r>
      <w:r>
        <w:rPr>
          <w:rFonts w:eastAsia="Times New Roman" w:cs="Times New Roman"/>
          <w:lang w:val="en-US"/>
        </w:rPr>
        <w:t>b</w:t>
      </w:r>
      <w:r>
        <w:rPr>
          <w:rFonts w:eastAsia="Times New Roman" w:cs="Times New Roman"/>
        </w:rPr>
        <w:t>], т.е. должны охватывать наиболее широкий диапазон изучаемых свойств.</w:t>
      </w:r>
    </w:p>
    <w:p>
      <w:pPr>
        <w:pStyle w:val="Normal"/>
        <w:numPr>
          <w:ilvl w:val="3"/>
          <w:numId w:val="3"/>
        </w:numPr>
        <w:ind w:left="0" w:firstLine="397"/>
        <w:rPr/>
      </w:pPr>
      <w:r>
        <w:rPr>
          <w:rFonts w:eastAsia="Times New Roman" w:cs="Times New Roman"/>
        </w:rPr>
        <w:t xml:space="preserve">Другая задача данной работы состояла в определении возможностей </w:t>
      </w:r>
      <w:r>
        <w:rPr>
          <w:rFonts w:eastAsia="Times New Roman" w:cs="Times New Roman"/>
          <w:lang w:val="en-US"/>
        </w:rPr>
        <w:t>DFT</w:t>
      </w:r>
      <w:r>
        <w:rPr>
          <w:rFonts w:eastAsia="Times New Roman" w:cs="Times New Roman"/>
        </w:rPr>
        <w:t xml:space="preserve"> квантово-химических методов для теоретической оценки процессов термического разложения DS и прояснения его механизма. Насколько нам известно, </w:t>
      </w:r>
      <w:r>
        <w:rPr>
          <w:rFonts w:eastAsia="Times New Roman" w:cs="Times New Roman"/>
          <w:lang w:val="en-US"/>
        </w:rPr>
        <w:t>DFT</w:t>
      </w:r>
      <w:r>
        <w:rPr>
          <w:rFonts w:eastAsia="Times New Roman" w:cs="Times New Roman"/>
        </w:rPr>
        <w:t xml:space="preserve"> методы для этих целей ранее не использовались. С целью изучения механизма проведено </w:t>
      </w:r>
      <w:r>
        <w:rPr>
          <w:rFonts w:eastAsia="Times New Roman" w:cs="Times New Roman"/>
          <w:lang w:val="en-US"/>
        </w:rPr>
        <w:t>GC</w:t>
      </w:r>
      <w:r>
        <w:rPr>
          <w:rFonts w:eastAsia="Times New Roman" w:cs="Times New Roman"/>
        </w:rPr>
        <w:t>-</w:t>
      </w:r>
      <w:r>
        <w:rPr>
          <w:rFonts w:eastAsia="Times New Roman" w:cs="Times New Roman"/>
          <w:lang w:val="en-US"/>
        </w:rPr>
        <w:t>MS</w:t>
      </w:r>
      <w:r>
        <w:rPr>
          <w:rFonts w:eastAsia="Times New Roman" w:cs="Times New Roman"/>
        </w:rPr>
        <w:t xml:space="preserve"> и </w:t>
      </w:r>
      <w:r>
        <w:rPr>
          <w:rFonts w:eastAsia="Times New Roman" w:cs="Times New Roman"/>
          <w:lang w:val="en-US"/>
        </w:rPr>
        <w:t>LC</w:t>
      </w:r>
      <w:r>
        <w:rPr>
          <w:rFonts w:eastAsia="Times New Roman" w:cs="Times New Roman"/>
        </w:rPr>
        <w:t>-</w:t>
      </w:r>
      <w:r>
        <w:rPr>
          <w:rFonts w:eastAsia="Times New Roman" w:cs="Times New Roman"/>
          <w:lang w:val="en-US"/>
        </w:rPr>
        <w:t>MS</w:t>
      </w:r>
      <w:r>
        <w:rPr>
          <w:rFonts w:eastAsia="Times New Roman" w:cs="Times New Roman"/>
        </w:rPr>
        <w:t xml:space="preserve"> исследование продуктов разложения </w:t>
      </w:r>
      <w:r>
        <w:rPr>
          <w:rFonts w:eastAsia="Times New Roman" w:cs="Times New Roman"/>
          <w:lang w:val="en-US"/>
        </w:rPr>
        <w:t>DS</w:t>
      </w:r>
      <w:r>
        <w:rPr>
          <w:rFonts w:eastAsia="Times New Roman" w:cs="Times New Roman"/>
        </w:rPr>
        <w:t xml:space="preserve"> </w:t>
      </w:r>
      <w:r>
        <w:rPr>
          <w:rFonts w:eastAsia="Times New Roman" w:cs="Times New Roman"/>
          <w:b/>
          <w:bCs/>
        </w:rPr>
        <w:t>1</w:t>
      </w:r>
      <w:r>
        <w:rPr>
          <w:rFonts w:eastAsia="Times New Roman" w:cs="Times New Roman"/>
          <w:b/>
          <w:bCs/>
          <w:lang w:val="en-US"/>
        </w:rPr>
        <w:t>a</w:t>
      </w:r>
      <w:r>
        <w:rPr>
          <w:rFonts w:eastAsia="Times New Roman" w:cs="Times New Roman"/>
          <w:b/>
          <w:bCs/>
        </w:rPr>
        <w:t>-</w:t>
      </w:r>
      <w:r>
        <w:rPr>
          <w:rFonts w:eastAsia="Times New Roman" w:cs="Times New Roman"/>
          <w:b/>
          <w:bCs/>
          <w:lang w:val="en-US"/>
        </w:rPr>
        <w:t>d</w:t>
      </w:r>
      <w:r>
        <w:rPr>
          <w:rFonts w:eastAsia="Times New Roman" w:cs="Times New Roman"/>
          <w:b/>
          <w:bCs/>
        </w:rPr>
        <w:t>, 2, 3</w:t>
      </w:r>
      <w:r>
        <w:rPr>
          <w:rFonts w:eastAsia="Times New Roman" w:cs="Times New Roman"/>
        </w:rPr>
        <w:t>. Эти исследования важны как с прикладной точки зрения, для оценки стабильности, возможностей и ограничений их индустриального применения, так и для лучшего понимания механизмов термического разложения DS и установления связей структура-свойства.</w:t>
      </w:r>
    </w:p>
    <w:p>
      <w:pPr>
        <w:pStyle w:val="1"/>
        <w:numPr>
          <w:ilvl w:val="0"/>
          <w:numId w:val="2"/>
        </w:numPr>
        <w:ind w:left="0" w:firstLine="397"/>
        <w:rPr/>
      </w:pPr>
      <w:r>
        <w:rPr/>
        <w:t xml:space="preserve">  </w:t>
      </w:r>
      <w:r>
        <w:rPr/>
        <w:t>MATERIALS AND METHODS</w:t>
      </w:r>
      <w:r>
        <w:rPr>
          <w:bCs/>
          <w:lang w:val="en-US"/>
        </w:rPr>
        <w:t xml:space="preserve"> </w:t>
      </w:r>
    </w:p>
    <w:p>
      <w:pPr>
        <w:pStyle w:val="ListParagraph"/>
        <w:numPr>
          <w:ilvl w:val="3"/>
          <w:numId w:val="3"/>
        </w:numPr>
        <w:tabs>
          <w:tab w:val="left" w:pos="450" w:leader="none"/>
        </w:tabs>
        <w:ind w:left="0" w:firstLine="397"/>
        <w:rPr/>
      </w:pPr>
      <w:r>
        <w:rPr>
          <w:rFonts w:cs="Times New Roman" w:ascii="Times New Roman" w:hAnsi="Times New Roman"/>
        </w:rPr>
        <w:t xml:space="preserve">Arenediazonium triflates </w:t>
      </w:r>
      <w:r>
        <w:rPr>
          <w:rFonts w:cs="Times New Roman" w:ascii="Times New Roman" w:hAnsi="Times New Roman"/>
          <w:b/>
          <w:bCs/>
        </w:rPr>
        <w:t>1a-d</w:t>
      </w:r>
      <w:r>
        <w:rPr>
          <w:rFonts w:cs="Times New Roman" w:ascii="Times New Roman" w:hAnsi="Times New Roman"/>
        </w:rPr>
        <w:t xml:space="preserve"> and 4-nitrobenzenediazonium tosylate </w:t>
      </w:r>
      <w:r>
        <w:rPr>
          <w:rFonts w:cs="Times New Roman" w:ascii="Times New Roman" w:hAnsi="Times New Roman"/>
          <w:b/>
          <w:bCs/>
        </w:rPr>
        <w:t>2</w:t>
      </w:r>
      <w:r>
        <w:rPr>
          <w:rFonts w:cs="Times New Roman" w:ascii="Times New Roman" w:hAnsi="Times New Roman"/>
        </w:rPr>
        <w:t xml:space="preserve"> были получены известными методами [3a,b]. 4-Nitrobenzenediazonium tetrafluoroborate </w:t>
      </w:r>
      <w:r>
        <w:rPr>
          <w:rFonts w:cs="Times New Roman" w:ascii="Times New Roman" w:hAnsi="Times New Roman"/>
          <w:b/>
          <w:bCs/>
        </w:rPr>
        <w:t>3</w:t>
      </w:r>
      <w:r>
        <w:rPr>
          <w:rFonts w:cs="Times New Roman" w:ascii="Times New Roman" w:hAnsi="Times New Roman"/>
        </w:rPr>
        <w:t xml:space="preserve"> представлял собой коммерческий образец (Aldrich CAS №</w:t>
      </w:r>
      <w:r>
        <w:rPr>
          <w:rFonts w:cs="Times New Roman" w:ascii="Times New Roman" w:hAnsi="Times New Roman"/>
          <w:highlight w:val="white"/>
        </w:rPr>
        <w:t xml:space="preserve"> </w:t>
      </w:r>
      <w:r>
        <w:rPr>
          <w:rFonts w:cs="Times New Roman" w:ascii="Times New Roman" w:hAnsi="Times New Roman"/>
        </w:rPr>
        <w:t>456-27-9).</w:t>
      </w:r>
    </w:p>
    <w:p>
      <w:pPr>
        <w:pStyle w:val="ListParagraph"/>
        <w:numPr>
          <w:ilvl w:val="3"/>
          <w:numId w:val="3"/>
        </w:numPr>
        <w:ind w:left="0" w:firstLine="567"/>
        <w:rPr>
          <w:rFonts w:ascii="Times New Roman" w:hAnsi="Times New Roman" w:cs="Times New Roman"/>
          <w:sz w:val="12"/>
          <w:szCs w:val="12"/>
        </w:rPr>
      </w:pPr>
      <w:r>
        <w:rPr>
          <w:rFonts w:cs="Times New Roman" w:ascii="Times New Roman" w:hAnsi="Times New Roman"/>
          <w:sz w:val="12"/>
          <w:szCs w:val="12"/>
        </w:rPr>
      </w:r>
    </w:p>
    <w:tbl>
      <w:tblPr>
        <w:tblW w:w="9128" w:type="dxa"/>
        <w:jc w:val="center"/>
        <w:tblInd w:w="0" w:type="dxa"/>
        <w:tblBorders/>
        <w:tblCellMar>
          <w:top w:w="55" w:type="dxa"/>
          <w:left w:w="55" w:type="dxa"/>
          <w:bottom w:w="55" w:type="dxa"/>
          <w:right w:w="55" w:type="dxa"/>
        </w:tblCellMar>
        <w:tblLook w:val="0000" w:noVBand="0" w:noHBand="0" w:lastColumn="0" w:firstColumn="0" w:lastRow="0" w:firstRow="0"/>
      </w:tblPr>
      <w:tblGrid>
        <w:gridCol w:w="3400"/>
        <w:gridCol w:w="739"/>
        <w:gridCol w:w="4201"/>
        <w:gridCol w:w="787"/>
      </w:tblGrid>
      <w:tr>
        <w:trPr/>
        <w:tc>
          <w:tcPr>
            <w:tcW w:w="3400" w:type="dxa"/>
            <w:tcBorders/>
            <w:shd w:color="auto" w:fill="FFFFFF" w:val="clear"/>
          </w:tcPr>
          <w:p>
            <w:pPr>
              <w:pStyle w:val="Style24"/>
              <w:ind w:hanging="0"/>
              <w:jc w:val="right"/>
              <w:rPr/>
            </w:pPr>
            <w:r>
              <w:rPr/>
              <w:drawing>
                <wp:inline distT="0" distB="0" distL="0" distR="0">
                  <wp:extent cx="1122045" cy="669925"/>
                  <wp:effectExtent l="0" t="0" r="0" b="0"/>
                  <wp:docPr id="1"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8" descr=""/>
                          <pic:cNvPicPr>
                            <a:picLocks noChangeAspect="1" noChangeArrowheads="1"/>
                          </pic:cNvPicPr>
                        </pic:nvPicPr>
                        <pic:blipFill>
                          <a:blip r:embed="rId3"/>
                          <a:stretch>
                            <a:fillRect/>
                          </a:stretch>
                        </pic:blipFill>
                        <pic:spPr bwMode="auto">
                          <a:xfrm>
                            <a:off x="0" y="0"/>
                            <a:ext cx="1122045" cy="669925"/>
                          </a:xfrm>
                          <a:prstGeom prst="rect">
                            <a:avLst/>
                          </a:prstGeom>
                        </pic:spPr>
                      </pic:pic>
                    </a:graphicData>
                  </a:graphic>
                </wp:inline>
              </w:drawing>
            </w:r>
          </w:p>
        </w:tc>
        <w:tc>
          <w:tcPr>
            <w:tcW w:w="739" w:type="dxa"/>
            <w:tcBorders/>
            <w:shd w:color="auto" w:fill="FFFFFF" w:val="clear"/>
          </w:tcPr>
          <w:p>
            <w:pPr>
              <w:pStyle w:val="Style24"/>
              <w:ind w:hanging="0"/>
              <w:jc w:val="center"/>
              <w:rPr>
                <w:b/>
                <w:b/>
                <w:bCs/>
              </w:rPr>
            </w:pPr>
            <w:r>
              <w:rPr>
                <w:b/>
                <w:bCs/>
              </w:rPr>
              <w:t>1a</w:t>
            </w:r>
          </w:p>
        </w:tc>
        <w:tc>
          <w:tcPr>
            <w:tcW w:w="4201" w:type="dxa"/>
            <w:tcBorders/>
            <w:shd w:color="auto" w:fill="FFFFFF" w:val="clear"/>
          </w:tcPr>
          <w:p>
            <w:pPr>
              <w:pStyle w:val="Style24"/>
              <w:ind w:hanging="0"/>
              <w:jc w:val="right"/>
              <w:rPr/>
            </w:pPr>
            <w:r>
              <w:rPr/>
              <w:drawing>
                <wp:inline distT="0" distB="0" distL="0" distR="0">
                  <wp:extent cx="1722755" cy="653415"/>
                  <wp:effectExtent l="0" t="0" r="0" b="0"/>
                  <wp:docPr id="2"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7" descr=""/>
                          <pic:cNvPicPr>
                            <a:picLocks noChangeAspect="1" noChangeArrowheads="1"/>
                          </pic:cNvPicPr>
                        </pic:nvPicPr>
                        <pic:blipFill>
                          <a:blip r:embed="rId4"/>
                          <a:stretch>
                            <a:fillRect/>
                          </a:stretch>
                        </pic:blipFill>
                        <pic:spPr bwMode="auto">
                          <a:xfrm>
                            <a:off x="0" y="0"/>
                            <a:ext cx="1722755" cy="653415"/>
                          </a:xfrm>
                          <a:prstGeom prst="rect">
                            <a:avLst/>
                          </a:prstGeom>
                        </pic:spPr>
                      </pic:pic>
                    </a:graphicData>
                  </a:graphic>
                </wp:inline>
              </w:drawing>
            </w:r>
          </w:p>
        </w:tc>
        <w:tc>
          <w:tcPr>
            <w:tcW w:w="787" w:type="dxa"/>
            <w:tcBorders/>
            <w:shd w:color="auto" w:fill="FFFFFF" w:val="clear"/>
          </w:tcPr>
          <w:p>
            <w:pPr>
              <w:pStyle w:val="Style24"/>
              <w:ind w:hanging="0"/>
              <w:jc w:val="center"/>
              <w:rPr>
                <w:b/>
                <w:b/>
                <w:bCs/>
              </w:rPr>
            </w:pPr>
            <w:r>
              <w:rPr>
                <w:b/>
                <w:bCs/>
              </w:rPr>
              <w:t>1d</w:t>
            </w:r>
          </w:p>
        </w:tc>
      </w:tr>
      <w:tr>
        <w:trPr/>
        <w:tc>
          <w:tcPr>
            <w:tcW w:w="3400" w:type="dxa"/>
            <w:tcBorders/>
            <w:shd w:color="auto" w:fill="FFFFFF" w:val="clear"/>
          </w:tcPr>
          <w:p>
            <w:pPr>
              <w:pStyle w:val="Style24"/>
              <w:ind w:hanging="0"/>
              <w:jc w:val="right"/>
              <w:rPr/>
            </w:pPr>
            <w:r>
              <w:rPr/>
              <w:drawing>
                <wp:inline distT="0" distB="0" distL="0" distR="0">
                  <wp:extent cx="1654810" cy="577850"/>
                  <wp:effectExtent l="0" t="0" r="0" b="0"/>
                  <wp:docPr id="3"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0" descr=""/>
                          <pic:cNvPicPr>
                            <a:picLocks noChangeAspect="1" noChangeArrowheads="1"/>
                          </pic:cNvPicPr>
                        </pic:nvPicPr>
                        <pic:blipFill>
                          <a:blip r:embed="rId5"/>
                          <a:stretch>
                            <a:fillRect/>
                          </a:stretch>
                        </pic:blipFill>
                        <pic:spPr bwMode="auto">
                          <a:xfrm>
                            <a:off x="0" y="0"/>
                            <a:ext cx="1654810" cy="577850"/>
                          </a:xfrm>
                          <a:prstGeom prst="rect">
                            <a:avLst/>
                          </a:prstGeom>
                        </pic:spPr>
                      </pic:pic>
                    </a:graphicData>
                  </a:graphic>
                </wp:inline>
              </w:drawing>
            </w:r>
          </w:p>
        </w:tc>
        <w:tc>
          <w:tcPr>
            <w:tcW w:w="739" w:type="dxa"/>
            <w:tcBorders/>
            <w:shd w:color="auto" w:fill="FFFFFF" w:val="clear"/>
          </w:tcPr>
          <w:p>
            <w:pPr>
              <w:pStyle w:val="Style24"/>
              <w:ind w:hanging="0"/>
              <w:jc w:val="center"/>
              <w:rPr>
                <w:b/>
                <w:b/>
                <w:bCs/>
              </w:rPr>
            </w:pPr>
            <w:r>
              <w:rPr>
                <w:b/>
                <w:bCs/>
              </w:rPr>
              <w:t>1b</w:t>
            </w:r>
          </w:p>
        </w:tc>
        <w:tc>
          <w:tcPr>
            <w:tcW w:w="4201" w:type="dxa"/>
            <w:tcBorders/>
            <w:shd w:color="auto" w:fill="FFFFFF" w:val="clear"/>
          </w:tcPr>
          <w:p>
            <w:pPr>
              <w:pStyle w:val="Style24"/>
              <w:ind w:hanging="0"/>
              <w:jc w:val="right"/>
              <w:rPr/>
            </w:pPr>
            <w:r>
              <w:rPr/>
              <w:drawing>
                <wp:inline distT="0" distB="0" distL="0" distR="0">
                  <wp:extent cx="1725295" cy="696595"/>
                  <wp:effectExtent l="0" t="0" r="0" b="0"/>
                  <wp:docPr id="4"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6" descr=""/>
                          <pic:cNvPicPr>
                            <a:picLocks noChangeAspect="1" noChangeArrowheads="1"/>
                          </pic:cNvPicPr>
                        </pic:nvPicPr>
                        <pic:blipFill>
                          <a:blip r:embed="rId6"/>
                          <a:stretch>
                            <a:fillRect/>
                          </a:stretch>
                        </pic:blipFill>
                        <pic:spPr bwMode="auto">
                          <a:xfrm>
                            <a:off x="0" y="0"/>
                            <a:ext cx="1725295" cy="696595"/>
                          </a:xfrm>
                          <a:prstGeom prst="rect">
                            <a:avLst/>
                          </a:prstGeom>
                        </pic:spPr>
                      </pic:pic>
                    </a:graphicData>
                  </a:graphic>
                </wp:inline>
              </w:drawing>
            </w:r>
          </w:p>
        </w:tc>
        <w:tc>
          <w:tcPr>
            <w:tcW w:w="787" w:type="dxa"/>
            <w:tcBorders/>
            <w:shd w:color="auto" w:fill="FFFFFF" w:val="clear"/>
          </w:tcPr>
          <w:p>
            <w:pPr>
              <w:pStyle w:val="Style24"/>
              <w:ind w:hanging="0"/>
              <w:jc w:val="center"/>
              <w:rPr>
                <w:b/>
                <w:b/>
                <w:bCs/>
              </w:rPr>
            </w:pPr>
            <w:r>
              <w:rPr>
                <w:b/>
                <w:bCs/>
              </w:rPr>
              <w:t>2</w:t>
            </w:r>
          </w:p>
        </w:tc>
      </w:tr>
      <w:tr>
        <w:trPr/>
        <w:tc>
          <w:tcPr>
            <w:tcW w:w="3400" w:type="dxa"/>
            <w:tcBorders/>
            <w:shd w:color="auto" w:fill="FFFFFF" w:val="clear"/>
          </w:tcPr>
          <w:p>
            <w:pPr>
              <w:pStyle w:val="Style24"/>
              <w:ind w:hanging="0"/>
              <w:jc w:val="right"/>
              <w:rPr/>
            </w:pPr>
            <w:r>
              <w:rPr/>
              <w:drawing>
                <wp:inline distT="0" distB="0" distL="0" distR="0">
                  <wp:extent cx="1629410" cy="657225"/>
                  <wp:effectExtent l="0" t="0" r="0" b="0"/>
                  <wp:docPr id="5"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19" descr=""/>
                          <pic:cNvPicPr>
                            <a:picLocks noChangeAspect="1" noChangeArrowheads="1"/>
                          </pic:cNvPicPr>
                        </pic:nvPicPr>
                        <pic:blipFill>
                          <a:blip r:embed="rId7"/>
                          <a:stretch>
                            <a:fillRect/>
                          </a:stretch>
                        </pic:blipFill>
                        <pic:spPr bwMode="auto">
                          <a:xfrm>
                            <a:off x="0" y="0"/>
                            <a:ext cx="1629410" cy="657225"/>
                          </a:xfrm>
                          <a:prstGeom prst="rect">
                            <a:avLst/>
                          </a:prstGeom>
                        </pic:spPr>
                      </pic:pic>
                    </a:graphicData>
                  </a:graphic>
                </wp:inline>
              </w:drawing>
            </w:r>
          </w:p>
        </w:tc>
        <w:tc>
          <w:tcPr>
            <w:tcW w:w="739" w:type="dxa"/>
            <w:tcBorders/>
            <w:shd w:color="auto" w:fill="FFFFFF" w:val="clear"/>
          </w:tcPr>
          <w:p>
            <w:pPr>
              <w:pStyle w:val="Style24"/>
              <w:ind w:hanging="0"/>
              <w:jc w:val="center"/>
              <w:rPr>
                <w:b/>
                <w:b/>
                <w:bCs/>
              </w:rPr>
            </w:pPr>
            <w:r>
              <w:rPr>
                <w:b/>
                <w:bCs/>
              </w:rPr>
              <w:t>1c</w:t>
            </w:r>
          </w:p>
        </w:tc>
        <w:tc>
          <w:tcPr>
            <w:tcW w:w="4201" w:type="dxa"/>
            <w:tcBorders/>
            <w:shd w:color="auto" w:fill="FFFFFF" w:val="clear"/>
          </w:tcPr>
          <w:p>
            <w:pPr>
              <w:pStyle w:val="Style24"/>
              <w:ind w:hanging="0"/>
              <w:jc w:val="right"/>
              <w:rPr/>
            </w:pPr>
            <w:r>
              <w:rPr/>
              <w:drawing>
                <wp:inline distT="0" distB="0" distL="0" distR="0">
                  <wp:extent cx="1607185" cy="640080"/>
                  <wp:effectExtent l="0" t="0" r="0" b="0"/>
                  <wp:docPr id="6"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24" descr=""/>
                          <pic:cNvPicPr>
                            <a:picLocks noChangeAspect="1" noChangeArrowheads="1"/>
                          </pic:cNvPicPr>
                        </pic:nvPicPr>
                        <pic:blipFill>
                          <a:blip r:embed="rId8"/>
                          <a:stretch>
                            <a:fillRect/>
                          </a:stretch>
                        </pic:blipFill>
                        <pic:spPr bwMode="auto">
                          <a:xfrm>
                            <a:off x="0" y="0"/>
                            <a:ext cx="1607185" cy="640080"/>
                          </a:xfrm>
                          <a:prstGeom prst="rect">
                            <a:avLst/>
                          </a:prstGeom>
                        </pic:spPr>
                      </pic:pic>
                    </a:graphicData>
                  </a:graphic>
                </wp:inline>
              </w:drawing>
            </w:r>
          </w:p>
        </w:tc>
        <w:tc>
          <w:tcPr>
            <w:tcW w:w="787" w:type="dxa"/>
            <w:tcBorders/>
            <w:shd w:color="auto" w:fill="FFFFFF" w:val="clear"/>
          </w:tcPr>
          <w:p>
            <w:pPr>
              <w:pStyle w:val="Style24"/>
              <w:ind w:hanging="0"/>
              <w:jc w:val="center"/>
              <w:rPr>
                <w:b/>
                <w:b/>
                <w:bCs/>
              </w:rPr>
            </w:pPr>
            <w:r>
              <w:rPr>
                <w:b/>
                <w:bCs/>
              </w:rPr>
              <w:t>3</w:t>
            </w:r>
          </w:p>
        </w:tc>
      </w:tr>
    </w:tbl>
    <w:p>
      <w:pPr>
        <w:pStyle w:val="Normal"/>
        <w:numPr>
          <w:ilvl w:val="2"/>
          <w:numId w:val="3"/>
        </w:numPr>
        <w:rPr>
          <w:sz w:val="12"/>
          <w:szCs w:val="12"/>
          <w:highlight w:val="yellow"/>
        </w:rPr>
      </w:pPr>
      <w:r>
        <w:rPr>
          <w:sz w:val="12"/>
          <w:szCs w:val="12"/>
          <w:highlight w:val="yellow"/>
        </w:rPr>
      </w:r>
    </w:p>
    <w:p>
      <w:pPr>
        <w:pStyle w:val="Normal"/>
        <w:rPr/>
      </w:pPr>
      <w:r>
        <w:rPr/>
        <w:t xml:space="preserve">Исследования ТГ/ДСК проводили на приборе Q600 SDT фирмы TA Instruments в открытых кюветах в атмосфере аргона. Измерение теплового потока в изотермических условиях выполняли на микрокалориметре </w:t>
      </w:r>
      <w:commentRangeStart w:id="1"/>
      <w:r>
        <w:rPr>
          <w:highlight w:val="yellow"/>
        </w:rPr>
        <w:t>TAM III фирмы TA Instruments в атмосфере азота</w:t>
      </w:r>
      <w:r>
        <w:rPr>
          <w:highlight w:val="yellow"/>
        </w:rPr>
      </w:r>
      <w:commentRangeEnd w:id="1"/>
      <w:r>
        <w:commentReference w:id="1"/>
      </w:r>
      <w:r>
        <w:rPr/>
        <w:t>.  Полученные экспериментальные кривые были аппроксимированы в модели автокаталитического процесса и проведен анализ Аррениуса по рекомендациям для калориметрического исследования безопасности энергетических материалов [8]. Полученные экспериментальные данные были обработаны с помощью программного обеспечения TAM Assistant Software v1.3.0.153. Для математической обработки, статистического анализа и построения зависимостей был использован пакет Gnuplot 4.5 [9a] и R Statistics v3.3.3 [9b].</w:t>
      </w:r>
    </w:p>
    <w:p>
      <w:pPr>
        <w:pStyle w:val="Normal"/>
        <w:rPr/>
      </w:pPr>
      <w:r>
        <w:rPr/>
        <w:t xml:space="preserve">Изучение продуктов разложения проводили методом </w:t>
      </w:r>
      <w:r>
        <w:rPr>
          <w:lang w:val="en-US"/>
        </w:rPr>
        <w:t>GC</w:t>
      </w:r>
      <w:r>
        <w:rPr/>
        <w:t>-</w:t>
      </w:r>
      <w:r>
        <w:rPr>
          <w:lang w:val="en-US"/>
        </w:rPr>
        <w:t>MS</w:t>
      </w:r>
      <w:r>
        <w:rPr/>
        <w:t xml:space="preserve"> на приборе </w:t>
      </w:r>
      <w:r>
        <w:rPr>
          <w:lang w:val="en-US"/>
        </w:rPr>
        <w:t>Agilent</w:t>
      </w:r>
      <w:r>
        <w:rPr/>
        <w:t xml:space="preserve"> 7890</w:t>
      </w:r>
      <w:r>
        <w:rPr>
          <w:lang w:val="en-US"/>
        </w:rPr>
        <w:t>A</w:t>
      </w:r>
      <w:r>
        <w:rPr/>
        <w:t>\5975</w:t>
      </w:r>
      <w:r>
        <w:rPr>
          <w:lang w:val="en-US"/>
        </w:rPr>
        <w:t>C</w:t>
      </w:r>
      <w:r>
        <w:rPr/>
        <w:t>. Образцы солей массой 50 мг нагревались в термостате при 85 </w:t>
      </w:r>
      <w:r>
        <w:rPr>
          <w:vertAlign w:val="superscript"/>
        </w:rPr>
        <w:t>о</w:t>
      </w:r>
      <w:r>
        <w:rPr/>
        <w:t>С в течение 14 дней для практически полного разложения ДС. К полученным продуктам добавляли водный раствор KI для перевода  неразложившихся диазониевых солей в соответствующие летучии арилиодиды [3a,b], продукты были экстрагированы этилацетатом и профильтрованы через слой силикагеля.</w:t>
      </w:r>
    </w:p>
    <w:p>
      <w:pPr>
        <w:pStyle w:val="Normal"/>
        <w:rPr/>
      </w:pPr>
      <w:r>
        <w:rPr/>
        <w:t xml:space="preserve">LC-MS спектры были получены на время-пролетном масс-спектрометре высокого разрешения  Agilent LC-1260 MS QTOF 6530 c использованием двух источников ионизации электроспреем (ESI) и химической ионизации при атмосферном давлении (APCI). Для элюирования использовали градиентный режим ацетонитрил:вода 0:100 - 40 минут с последующим изократическим 100% ACN - 20 минут. Колонка Zorbax Eclipse Plus C18 2.1x50mm 1.8 micron. Поток 0.25 мл/мин. Потенциал на фрагменторе 150 В. Напряжение на капилляре 3500 В. Энергия столкновений MSMS - 20 эВ. Для исследования готовили  растворы продуктов разложения диазониевых солей в смеси вода:ацетонитрил 50:50 концентрацией </w:t>
      </w:r>
      <w:r>
        <w:rPr>
          <w:rFonts w:eastAsia="Calibri" w:cs="Calibri"/>
        </w:rPr>
        <w:t>1мг/мл</w:t>
      </w:r>
      <w:r>
        <w:rPr/>
        <w:t>. Объем вводимой пробы 5 мкл. Для обработки и интегрирования масс-спектров использован программный комплекс OpenMS 2.0 [10a,b].</w:t>
      </w:r>
    </w:p>
    <w:p>
      <w:pPr>
        <w:pStyle w:val="Normal"/>
        <w:rPr/>
      </w:pPr>
      <w:r>
        <w:rPr/>
        <w:t>Квантовохимические расчеты предполагаемых реакций разложения диазониевых солей проводили методом R-B3LYP в базисе aug-cc-pVDZ с помощью программного комплекса Gaussian 09</w:t>
      </w:r>
      <w:r>
        <w:rPr>
          <w:rFonts w:cs="Times New Roman" w:ascii="Times New Roman" w:hAnsi="Times New Roman"/>
        </w:rPr>
        <w:t xml:space="preserve"> [11]</w:t>
      </w:r>
      <w:r>
        <w:rPr/>
        <w:t xml:space="preserve">. Для расчета термодинамики на первом этапе была произведена оптимизация геометрии всех молекул участвующих в реакциях, отсутствие отрицательных частот ИК доказывает стационарный характер исследуемых структур. Затем, проводили расчет колебательных частот и термодинамических поправок для трех температур при которых проводился эксперимент по изотермическому разложению - 75, 80, 85 </w:t>
      </w:r>
      <w:r>
        <w:rPr>
          <w:vertAlign w:val="superscript"/>
        </w:rPr>
        <w:t>о</w:t>
      </w:r>
      <w:r>
        <w:rPr/>
        <w:t>С, а также при нормальных условиях 25</w:t>
      </w:r>
      <w:r>
        <w:rPr>
          <w:vertAlign w:val="superscript"/>
        </w:rPr>
        <w:t>о</w:t>
      </w:r>
      <w:r>
        <w:rPr/>
        <w:t>С и 1 атм. Полученные термодинамические параметры использовали для расчета энергетики предполагаемых процессов.</w:t>
      </w:r>
    </w:p>
    <w:p>
      <w:pPr>
        <w:pStyle w:val="1"/>
        <w:numPr>
          <w:ilvl w:val="0"/>
          <w:numId w:val="2"/>
        </w:numPr>
        <w:ind w:left="0" w:firstLine="397"/>
        <w:rPr/>
      </w:pPr>
      <w:r>
        <w:rPr/>
        <w:t xml:space="preserve">  </w:t>
      </w:r>
      <w:r>
        <w:rPr/>
        <w:t>RESULTS AND DISCUSSION</w:t>
      </w:r>
    </w:p>
    <w:p>
      <w:pPr>
        <w:pStyle w:val="2"/>
        <w:numPr>
          <w:ilvl w:val="1"/>
          <w:numId w:val="2"/>
        </w:numPr>
        <w:ind w:left="0" w:firstLine="397"/>
        <w:rPr/>
      </w:pPr>
      <w:r>
        <w:rPr>
          <w:bCs/>
          <w:lang w:val="en-US"/>
        </w:rPr>
        <w:t>DSC</w:t>
      </w:r>
      <w:r>
        <w:rPr>
          <w:bCs/>
        </w:rPr>
        <w:t>/</w:t>
      </w:r>
      <w:r>
        <w:rPr>
          <w:bCs/>
          <w:lang w:val="en-US"/>
        </w:rPr>
        <w:t>TGA</w:t>
      </w:r>
      <w:r>
        <w:rPr>
          <w:bCs/>
        </w:rPr>
        <w:t xml:space="preserve"> </w:t>
      </w:r>
      <w:r>
        <w:rPr>
          <w:bCs/>
          <w:lang w:val="en-US"/>
        </w:rPr>
        <w:t>results</w:t>
      </w:r>
    </w:p>
    <w:p>
      <w:pPr>
        <w:pStyle w:val="Normal"/>
        <w:rPr/>
      </w:pPr>
      <w:r>
        <w:rPr/>
        <w:t xml:space="preserve">Кривые термического разложения солей </w:t>
      </w:r>
      <w:r>
        <w:rPr>
          <w:b/>
        </w:rPr>
        <w:t>1-3</w:t>
      </w:r>
      <w:r>
        <w:rPr/>
        <w:t xml:space="preserve"> показаны на рис. 1-6, из которых следует, что все исследуемые соли при нагревании разлагаются с выделением энергии и потерей массы, найденные температуры и энергии разложения приведены в таблице 1.</w:t>
      </w:r>
    </w:p>
    <w:p>
      <w:pPr>
        <w:pStyle w:val="Normal"/>
        <w:rPr/>
      </w:pPr>
      <w:r>
        <w:rPr/>
        <w:t xml:space="preserve">   </w:t>
      </w:r>
      <w:r>
        <w:rPr/>
        <w:t xml:space="preserve">Кроме того, для солей </w:t>
      </w:r>
      <w:r>
        <w:rPr>
          <w:b/>
        </w:rPr>
        <w:t>1</w:t>
      </w:r>
      <w:r>
        <w:rPr>
          <w:b/>
          <w:lang w:val="en-US"/>
        </w:rPr>
        <w:t>a</w:t>
      </w:r>
      <w:r>
        <w:rPr>
          <w:b/>
        </w:rPr>
        <w:t>,</w:t>
      </w:r>
      <w:r>
        <w:rPr>
          <w:b/>
          <w:lang w:val="en-US"/>
        </w:rPr>
        <w:t>b</w:t>
      </w:r>
      <w:r>
        <w:rPr>
          <w:b/>
        </w:rPr>
        <w:t>,</w:t>
      </w:r>
      <w:r>
        <w:rPr>
          <w:b/>
          <w:lang w:val="en-US"/>
        </w:rPr>
        <w:t>d</w:t>
      </w:r>
      <w:r>
        <w:rPr>
          <w:b/>
        </w:rPr>
        <w:t>, 3</w:t>
      </w:r>
      <w:r>
        <w:rPr/>
        <w:t xml:space="preserve"> наблюдаются низкотемпературные эндотермические эффекты в области температур, близких к температурам их плавления. В то же время, при нагревании солей </w:t>
      </w:r>
      <w:r>
        <w:rPr>
          <w:b/>
        </w:rPr>
        <w:t>1</w:t>
      </w:r>
      <w:r>
        <w:rPr>
          <w:b/>
          <w:lang w:val="en-US"/>
        </w:rPr>
        <w:t>c</w:t>
      </w:r>
      <w:r>
        <w:rPr>
          <w:b/>
        </w:rPr>
        <w:t>, 2</w:t>
      </w:r>
      <w:r>
        <w:rPr/>
        <w:t xml:space="preserve"> эндотермические пики отсутствуют и они разлагаются только экзотермически. При этом для соли </w:t>
      </w:r>
      <w:r>
        <w:rPr>
          <w:b/>
        </w:rPr>
        <w:t>2</w:t>
      </w:r>
      <w:r>
        <w:rPr/>
        <w:t xml:space="preserve"> наблюдаются два экзотермических пика, один низкотемпературный при 69.37 </w:t>
      </w:r>
      <w:r>
        <w:rPr>
          <w:vertAlign w:val="superscript"/>
        </w:rPr>
        <w:t>о</w:t>
      </w:r>
      <w:r>
        <w:rPr/>
        <w:t xml:space="preserve">С с малым тепловыделением 24.47 </w:t>
      </w:r>
      <w:r>
        <w:rPr>
          <w:lang w:val="en-US"/>
        </w:rPr>
        <w:t>J</w:t>
      </w:r>
      <w:r>
        <w:rPr/>
        <w:t>/</w:t>
      </w:r>
      <w:r>
        <w:rPr>
          <w:lang w:val="en-US"/>
        </w:rPr>
        <w:t>g</w:t>
      </w:r>
      <w:r>
        <w:rPr/>
        <w:t xml:space="preserve"> и основной пик при 146.6 </w:t>
      </w:r>
      <w:r>
        <w:rPr>
          <w:vertAlign w:val="superscript"/>
        </w:rPr>
        <w:t>о</w:t>
      </w:r>
      <w:r>
        <w:rPr/>
        <w:t xml:space="preserve">С с выделением 323.0 </w:t>
      </w:r>
      <w:r>
        <w:rPr>
          <w:lang w:val="en-US"/>
        </w:rPr>
        <w:t>J</w:t>
      </w:r>
      <w:r>
        <w:rPr/>
        <w:t>/</w:t>
      </w:r>
      <w:r>
        <w:rPr>
          <w:lang w:val="en-US"/>
        </w:rPr>
        <w:t>g</w:t>
      </w:r>
      <w:r>
        <w:rPr/>
        <w:t xml:space="preserve"> тепла. В случае солей </w:t>
      </w:r>
      <w:r>
        <w:rPr>
          <w:b/>
          <w:bCs/>
        </w:rPr>
        <w:t>1a</w:t>
      </w:r>
      <w:r>
        <w:rPr/>
        <w:t xml:space="preserve">, </w:t>
      </w:r>
      <w:r>
        <w:rPr>
          <w:b/>
          <w:bCs/>
        </w:rPr>
        <w:t>1b</w:t>
      </w:r>
      <w:r>
        <w:rPr/>
        <w:t xml:space="preserve">, </w:t>
      </w:r>
      <w:r>
        <w:rPr>
          <w:b/>
          <w:bCs/>
        </w:rPr>
        <w:t>1d</w:t>
      </w:r>
      <w:r>
        <w:rPr/>
        <w:t xml:space="preserve"> эндотермические пики не сопровождаются потерей массы и вероятно связаны только с разрушением кристаллической решетки при плавлении.</w:t>
      </w:r>
    </w:p>
    <w:p>
      <w:pPr>
        <w:pStyle w:val="Normal"/>
        <w:rPr/>
      </w:pPr>
      <w:r>
        <w:rPr/>
        <w:t xml:space="preserve">Потеря массы при нагреве соли </w:t>
      </w:r>
      <w:r>
        <w:rPr>
          <w:b/>
        </w:rPr>
        <w:t>3</w:t>
      </w:r>
      <w:r>
        <w:rPr/>
        <w:t xml:space="preserve"> в эндотермическом процессе, начиная с 33.7 </w:t>
      </w:r>
      <w:r>
        <w:rPr>
          <w:vertAlign w:val="superscript"/>
        </w:rPr>
        <w:t>о</w:t>
      </w:r>
      <w:r>
        <w:rPr/>
        <w:t xml:space="preserve">С, составляет 28.5%, что точно соответствует отщеплению летучего </w:t>
      </w:r>
      <w:r>
        <w:rPr>
          <w:lang w:val="en-US"/>
        </w:rPr>
        <w:t>BF</w:t>
      </w:r>
      <w:r>
        <w:rPr>
          <w:vertAlign w:val="subscript"/>
        </w:rPr>
        <w:t>3</w:t>
      </w:r>
      <w:r>
        <w:rPr/>
        <w:t xml:space="preserve"> (28.6%) по реакции (1)</w:t>
      </w:r>
    </w:p>
    <w:p>
      <w:pPr>
        <w:pStyle w:val="Normal"/>
        <w:ind w:hanging="0"/>
        <w:jc w:val="center"/>
        <w:rPr/>
      </w:pPr>
      <w:r>
        <w:rPr/>
        <w:t xml:space="preserve"> </w:t>
      </w:r>
      <w:r>
        <w:rPr/>
        <w:drawing>
          <wp:inline distT="0" distB="0" distL="0" distR="0">
            <wp:extent cx="4091940" cy="353060"/>
            <wp:effectExtent l="0" t="0" r="0" b="0"/>
            <wp:docPr id="7"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6" descr=""/>
                    <pic:cNvPicPr>
                      <a:picLocks noChangeAspect="1" noChangeArrowheads="1"/>
                    </pic:cNvPicPr>
                  </pic:nvPicPr>
                  <pic:blipFill>
                    <a:blip r:embed="rId9"/>
                    <a:stretch>
                      <a:fillRect/>
                    </a:stretch>
                  </pic:blipFill>
                  <pic:spPr bwMode="auto">
                    <a:xfrm>
                      <a:off x="0" y="0"/>
                      <a:ext cx="4091940" cy="353060"/>
                    </a:xfrm>
                    <a:prstGeom prst="rect">
                      <a:avLst/>
                    </a:prstGeom>
                  </pic:spPr>
                </pic:pic>
              </a:graphicData>
            </a:graphic>
          </wp:inline>
        </w:drawing>
      </w:r>
    </w:p>
    <w:p>
      <w:pPr>
        <w:pStyle w:val="Normal"/>
        <w:ind w:hanging="0"/>
        <w:rPr/>
      </w:pPr>
      <w:r>
        <w:rPr>
          <w:rFonts w:cs="Times New Roman" w:ascii="Times New Roman" w:hAnsi="Times New Roman"/>
        </w:rPr>
        <w:t xml:space="preserve">Это указывает на то, что последующему разложению при 146.5 </w:t>
      </w:r>
      <w:r>
        <w:rPr>
          <w:rFonts w:cs="Times New Roman" w:ascii="Times New Roman" w:hAnsi="Times New Roman"/>
          <w:vertAlign w:val="superscript"/>
        </w:rPr>
        <w:t>о</w:t>
      </w:r>
      <w:r>
        <w:rPr>
          <w:rFonts w:cs="Times New Roman" w:ascii="Times New Roman" w:hAnsi="Times New Roman"/>
        </w:rPr>
        <w:t>С должен подвергаться 4</w:t>
        <w:noBreakHyphen/>
        <w:t xml:space="preserve">нитробензолдиазоний фторид </w:t>
      </w:r>
      <w:r>
        <w:rPr>
          <w:rFonts w:cs="Times New Roman" w:ascii="Times New Roman" w:hAnsi="Times New Roman"/>
          <w:b/>
        </w:rPr>
        <w:t>3</w:t>
      </w:r>
      <w:r>
        <w:rPr>
          <w:rFonts w:cs="Times New Roman" w:ascii="Times New Roman" w:hAnsi="Times New Roman"/>
          <w:b/>
          <w:lang w:val="en-US"/>
        </w:rPr>
        <w:t>a</w:t>
      </w:r>
      <w:r>
        <w:rPr>
          <w:rFonts w:cs="Times New Roman" w:ascii="Times New Roman" w:hAnsi="Times New Roman"/>
        </w:rPr>
        <w:t>.</w:t>
      </w:r>
    </w:p>
    <w:p>
      <w:pPr>
        <w:pStyle w:val="Normal"/>
        <w:ind w:hanging="0"/>
        <w:rPr/>
      </w:pPr>
      <w:r>
        <w:rPr/>
        <w:tab/>
        <w:t xml:space="preserve">Основная потеря массы при нагреве диазониевых солей </w:t>
      </w:r>
      <w:r>
        <w:rPr>
          <w:b/>
        </w:rPr>
        <w:t>1-3</w:t>
      </w:r>
      <w:r>
        <w:rPr/>
        <w:t xml:space="preserve"> происходит в экзотермических процессах, что с очевидностью связано с образованием летучих продуктов разложения. </w:t>
        <w:tab/>
      </w:r>
    </w:p>
    <w:p>
      <w:pPr>
        <w:pStyle w:val="Normal"/>
        <w:ind w:hanging="0"/>
        <w:jc w:val="right"/>
        <w:rPr/>
      </w:pPr>
      <w:r>
        <w:rPr/>
        <w:t xml:space="preserve">Таблица 1. </w:t>
      </w:r>
    </w:p>
    <w:p>
      <w:pPr>
        <w:pStyle w:val="Normal"/>
        <w:ind w:hanging="0"/>
        <w:jc w:val="center"/>
        <w:rPr/>
      </w:pPr>
      <w:r>
        <w:rPr/>
        <w:t xml:space="preserve">Температуры и энергии разложения диазониевых солей </w:t>
      </w:r>
      <w:r>
        <w:rPr>
          <w:b/>
        </w:rPr>
        <w:t>1-3</w:t>
      </w:r>
      <w:r>
        <w:rPr/>
        <w:t xml:space="preserve"> в </w:t>
      </w:r>
      <w:r>
        <w:rPr>
          <w:lang w:val="en-US"/>
        </w:rPr>
        <w:t>DSC</w:t>
      </w:r>
      <w:r>
        <w:rPr/>
        <w:t>\</w:t>
      </w:r>
      <w:r>
        <w:rPr>
          <w:lang w:val="en-US"/>
        </w:rPr>
        <w:t>TGF</w:t>
      </w:r>
      <w:r>
        <w:rPr/>
        <w:t xml:space="preserve"> экспериментах, </w:t>
      </w:r>
    </w:p>
    <w:tbl>
      <w:tblPr>
        <w:tblW w:w="5000" w:type="pct"/>
        <w:jc w:val="left"/>
        <w:tblInd w:w="107"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000" w:noVBand="0" w:noHBand="0" w:lastColumn="0" w:firstColumn="0" w:lastRow="0" w:firstRow="0"/>
      </w:tblPr>
      <w:tblGrid>
        <w:gridCol w:w="2773"/>
        <w:gridCol w:w="1026"/>
        <w:gridCol w:w="2488"/>
        <w:gridCol w:w="912"/>
        <w:gridCol w:w="2439"/>
      </w:tblGrid>
      <w:tr>
        <w:trPr/>
        <w:tc>
          <w:tcPr>
            <w:tcW w:w="2773"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3" w:type="dxa"/>
            </w:tcMar>
            <w:vAlign w:val="center"/>
          </w:tcPr>
          <w:p>
            <w:pPr>
              <w:pStyle w:val="Normal"/>
              <w:spacing w:lineRule="auto" w:line="240"/>
              <w:ind w:hanging="0"/>
              <w:jc w:val="center"/>
              <w:rPr>
                <w:b/>
                <w:b/>
                <w:bCs/>
                <w:color w:val="000000"/>
              </w:rPr>
            </w:pPr>
            <w:r>
              <w:rPr>
                <w:b/>
                <w:bCs/>
                <w:color w:val="000000"/>
              </w:rPr>
              <w:t>Diazonium salts</w:t>
            </w:r>
          </w:p>
        </w:tc>
        <w:tc>
          <w:tcPr>
            <w:tcW w:w="351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3" w:type="dxa"/>
            </w:tcMar>
          </w:tcPr>
          <w:p>
            <w:pPr>
              <w:pStyle w:val="Normal"/>
              <w:spacing w:lineRule="auto" w:line="240"/>
              <w:ind w:hanging="0"/>
              <w:jc w:val="center"/>
              <w:rPr/>
            </w:pPr>
            <w:r>
              <w:rPr/>
              <w:t>Endotherm process</w:t>
            </w:r>
          </w:p>
        </w:tc>
        <w:tc>
          <w:tcPr>
            <w:tcW w:w="3351"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3" w:type="dxa"/>
            </w:tcMar>
            <w:vAlign w:val="center"/>
          </w:tcPr>
          <w:p>
            <w:pPr>
              <w:pStyle w:val="Normal"/>
              <w:spacing w:lineRule="auto" w:line="240"/>
              <w:ind w:hanging="0"/>
              <w:jc w:val="center"/>
              <w:rPr/>
            </w:pPr>
            <w:r>
              <w:rPr/>
              <w:t>Exotherm process</w:t>
            </w:r>
          </w:p>
        </w:tc>
      </w:tr>
      <w:tr>
        <w:trPr/>
        <w:tc>
          <w:tcPr>
            <w:tcW w:w="2773"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3" w:type="dxa"/>
            </w:tcMar>
            <w:vAlign w:val="center"/>
          </w:tcPr>
          <w:p>
            <w:pPr>
              <w:pStyle w:val="Normal"/>
              <w:rPr/>
            </w:pPr>
            <w:r>
              <w:rPr/>
            </w:r>
          </w:p>
        </w:tc>
        <w:tc>
          <w:tcPr>
            <w:tcW w:w="10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3" w:type="dxa"/>
            </w:tcMar>
          </w:tcPr>
          <w:p>
            <w:pPr>
              <w:pStyle w:val="Normal"/>
              <w:spacing w:lineRule="auto" w:line="240"/>
              <w:ind w:hanging="0"/>
              <w:jc w:val="center"/>
              <w:rPr>
                <w:color w:val="00000A"/>
              </w:rPr>
            </w:pPr>
            <w:r>
              <w:rPr>
                <w:b/>
                <w:bCs/>
                <w:color w:val="00000A"/>
              </w:rPr>
              <w:t>Т</w:t>
            </w:r>
            <w:r>
              <w:rPr>
                <w:b/>
                <w:bCs/>
                <w:color w:val="00000A"/>
                <w:lang w:val="en-US"/>
              </w:rPr>
              <w:t xml:space="preserve">, </w:t>
            </w:r>
            <w:r>
              <w:rPr>
                <w:b/>
                <w:bCs/>
                <w:color w:val="00000A"/>
                <w:vertAlign w:val="superscript"/>
              </w:rPr>
              <w:t>0</w:t>
            </w:r>
            <w:r>
              <w:rPr>
                <w:b/>
                <w:bCs/>
                <w:color w:val="00000A"/>
              </w:rPr>
              <w:t>C</w:t>
            </w:r>
          </w:p>
        </w:tc>
        <w:tc>
          <w:tcPr>
            <w:tcW w:w="24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3" w:type="dxa"/>
            </w:tcMar>
          </w:tcPr>
          <w:p>
            <w:pPr>
              <w:pStyle w:val="Normal"/>
              <w:spacing w:lineRule="auto" w:line="240"/>
              <w:ind w:hanging="0"/>
              <w:jc w:val="center"/>
              <w:rPr>
                <w:color w:val="00000A"/>
              </w:rPr>
            </w:pPr>
            <w:r>
              <w:rPr>
                <w:rFonts w:ascii="Symbol" w:hAnsi="Symbol"/>
                <w:b/>
                <w:bCs/>
                <w:color w:val="00000A"/>
                <w:sz w:val="16"/>
                <w:szCs w:val="16"/>
              </w:rPr>
              <w:t></w:t>
            </w:r>
            <w:r>
              <w:rPr>
                <w:b/>
                <w:bCs/>
                <w:color w:val="00000A"/>
              </w:rPr>
              <w:t>Н,</w:t>
            </w:r>
            <w:r>
              <w:rPr>
                <w:b/>
                <w:bCs/>
                <w:color w:val="00000A"/>
                <w:sz w:val="22"/>
                <w:szCs w:val="22"/>
              </w:rPr>
              <w:t xml:space="preserve">  Дж/г (кДж/моль)</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3" w:type="dxa"/>
            </w:tcMar>
            <w:vAlign w:val="center"/>
          </w:tcPr>
          <w:p>
            <w:pPr>
              <w:pStyle w:val="Normal"/>
              <w:spacing w:lineRule="auto" w:line="240"/>
              <w:ind w:hanging="0"/>
              <w:jc w:val="center"/>
              <w:rPr>
                <w:color w:val="00000A"/>
              </w:rPr>
            </w:pPr>
            <w:r>
              <w:rPr>
                <w:b/>
                <w:bCs/>
                <w:color w:val="00000A"/>
              </w:rPr>
              <w:t>Т</w:t>
            </w:r>
            <w:r>
              <w:rPr>
                <w:b/>
                <w:bCs/>
                <w:color w:val="00000A"/>
                <w:lang w:val="en-US"/>
              </w:rPr>
              <w:t xml:space="preserve">, </w:t>
            </w:r>
            <w:r>
              <w:rPr>
                <w:b/>
                <w:bCs/>
                <w:color w:val="00000A"/>
                <w:vertAlign w:val="superscript"/>
              </w:rPr>
              <w:t>0</w:t>
            </w:r>
            <w:r>
              <w:rPr>
                <w:b/>
                <w:bCs/>
                <w:color w:val="00000A"/>
              </w:rPr>
              <w:t>C</w:t>
            </w:r>
          </w:p>
        </w:tc>
        <w:tc>
          <w:tcPr>
            <w:tcW w:w="24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3" w:type="dxa"/>
            </w:tcMar>
            <w:vAlign w:val="center"/>
          </w:tcPr>
          <w:p>
            <w:pPr>
              <w:pStyle w:val="Normal"/>
              <w:spacing w:lineRule="auto" w:line="240"/>
              <w:ind w:hanging="0"/>
              <w:jc w:val="center"/>
              <w:rPr>
                <w:color w:val="00000A"/>
              </w:rPr>
            </w:pPr>
            <w:r>
              <w:rPr>
                <w:rFonts w:ascii="Symbol" w:hAnsi="Symbol"/>
                <w:b/>
                <w:bCs/>
                <w:color w:val="00000A"/>
                <w:sz w:val="16"/>
                <w:szCs w:val="16"/>
              </w:rPr>
              <w:t></w:t>
            </w:r>
            <w:r>
              <w:rPr>
                <w:b/>
                <w:bCs/>
                <w:color w:val="00000A"/>
              </w:rPr>
              <w:t>Н</w:t>
            </w:r>
            <w:r>
              <w:rPr>
                <w:b/>
                <w:bCs/>
                <w:color w:val="00000A"/>
                <w:sz w:val="22"/>
                <w:szCs w:val="22"/>
              </w:rPr>
              <w:t>, Дж/г (кДж/моль)</w:t>
            </w:r>
          </w:p>
        </w:tc>
      </w:tr>
      <w:tr>
        <w:trPr/>
        <w:tc>
          <w:tcPr>
            <w:tcW w:w="27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3" w:type="dxa"/>
            </w:tcMar>
            <w:vAlign w:val="center"/>
          </w:tcPr>
          <w:p>
            <w:pPr>
              <w:pStyle w:val="Normal"/>
              <w:spacing w:lineRule="auto" w:line="240"/>
              <w:ind w:hanging="0"/>
              <w:jc w:val="left"/>
              <w:rPr/>
            </w:pPr>
            <w:r>
              <w:rPr>
                <w:color w:val="000000"/>
                <w:szCs w:val="28"/>
                <w:lang w:val="en-US"/>
              </w:rPr>
              <w:t>2-NO</w:t>
            </w:r>
            <w:r>
              <w:rPr>
                <w:color w:val="000000"/>
                <w:szCs w:val="28"/>
                <w:vertAlign w:val="subscript"/>
                <w:lang w:val="en-US"/>
              </w:rPr>
              <w:t>2</w:t>
            </w:r>
            <w:r>
              <w:rPr>
                <w:color w:val="000000"/>
                <w:szCs w:val="28"/>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1a</w:t>
            </w:r>
          </w:p>
        </w:tc>
        <w:tc>
          <w:tcPr>
            <w:tcW w:w="10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3" w:type="dxa"/>
            </w:tcMar>
          </w:tcPr>
          <w:p>
            <w:pPr>
              <w:pStyle w:val="Normal"/>
              <w:spacing w:lineRule="auto" w:line="240"/>
              <w:ind w:hanging="0"/>
              <w:jc w:val="center"/>
              <w:rPr>
                <w:color w:val="000000"/>
                <w:szCs w:val="28"/>
              </w:rPr>
            </w:pPr>
            <w:r>
              <w:rPr>
                <w:color w:val="000000"/>
                <w:szCs w:val="28"/>
              </w:rPr>
              <w:t>104.1</w:t>
            </w:r>
          </w:p>
        </w:tc>
        <w:tc>
          <w:tcPr>
            <w:tcW w:w="24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3" w:type="dxa"/>
            </w:tcMar>
          </w:tcPr>
          <w:p>
            <w:pPr>
              <w:pStyle w:val="Normal"/>
              <w:spacing w:lineRule="auto" w:line="240"/>
              <w:ind w:hanging="0"/>
              <w:jc w:val="center"/>
              <w:rPr>
                <w:color w:val="000000"/>
                <w:szCs w:val="28"/>
              </w:rPr>
            </w:pPr>
            <w:r>
              <w:rPr>
                <w:color w:val="000000"/>
                <w:szCs w:val="28"/>
              </w:rPr>
              <w:t>73.49 (21.98)</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3" w:type="dxa"/>
            </w:tcMar>
            <w:vAlign w:val="center"/>
          </w:tcPr>
          <w:p>
            <w:pPr>
              <w:pStyle w:val="Normal"/>
              <w:spacing w:lineRule="auto" w:line="240"/>
              <w:ind w:hanging="0"/>
              <w:jc w:val="center"/>
              <w:rPr>
                <w:color w:val="000000"/>
                <w:szCs w:val="28"/>
                <w:lang w:val="en-US"/>
              </w:rPr>
            </w:pPr>
            <w:r>
              <w:rPr>
                <w:color w:val="000000"/>
                <w:szCs w:val="28"/>
                <w:lang w:val="en-US"/>
              </w:rPr>
              <w:t>143.3</w:t>
            </w:r>
          </w:p>
        </w:tc>
        <w:tc>
          <w:tcPr>
            <w:tcW w:w="24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3" w:type="dxa"/>
            </w:tcMar>
            <w:vAlign w:val="center"/>
          </w:tcPr>
          <w:p>
            <w:pPr>
              <w:pStyle w:val="Normal"/>
              <w:spacing w:lineRule="auto" w:line="240"/>
              <w:ind w:hanging="0"/>
              <w:jc w:val="center"/>
              <w:rPr/>
            </w:pPr>
            <w:r>
              <w:rPr>
                <w:color w:val="000000"/>
                <w:szCs w:val="28"/>
                <w:lang w:val="en-US"/>
              </w:rPr>
              <w:t>-753.4</w:t>
            </w:r>
            <w:r>
              <w:rPr>
                <w:color w:val="000000"/>
                <w:szCs w:val="28"/>
              </w:rPr>
              <w:t xml:space="preserve"> (-</w:t>
            </w:r>
            <w:r>
              <w:rPr>
                <w:color w:val="000000"/>
                <w:szCs w:val="28"/>
                <w:lang w:val="en-US"/>
              </w:rPr>
              <w:t>225</w:t>
            </w:r>
            <w:r>
              <w:rPr>
                <w:color w:val="000000"/>
                <w:szCs w:val="28"/>
              </w:rPr>
              <w:t>.3)</w:t>
            </w:r>
          </w:p>
        </w:tc>
      </w:tr>
      <w:tr>
        <w:trPr/>
        <w:tc>
          <w:tcPr>
            <w:tcW w:w="27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3" w:type="dxa"/>
            </w:tcMar>
            <w:vAlign w:val="center"/>
          </w:tcPr>
          <w:p>
            <w:pPr>
              <w:pStyle w:val="Normal"/>
              <w:spacing w:lineRule="auto" w:line="240"/>
              <w:ind w:hanging="0"/>
              <w:jc w:val="left"/>
              <w:rPr/>
            </w:pPr>
            <w:r>
              <w:rPr>
                <w:color w:val="000000"/>
                <w:szCs w:val="28"/>
                <w:lang w:val="en-US"/>
              </w:rPr>
              <w:t>3-NO</w:t>
            </w:r>
            <w:r>
              <w:rPr>
                <w:color w:val="000000"/>
                <w:szCs w:val="28"/>
                <w:vertAlign w:val="subscript"/>
                <w:lang w:val="en-US"/>
              </w:rPr>
              <w:t>2</w:t>
            </w:r>
            <w:r>
              <w:rPr>
                <w:color w:val="000000"/>
                <w:szCs w:val="28"/>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1b</w:t>
            </w:r>
          </w:p>
        </w:tc>
        <w:tc>
          <w:tcPr>
            <w:tcW w:w="10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3" w:type="dxa"/>
            </w:tcMar>
          </w:tcPr>
          <w:p>
            <w:pPr>
              <w:pStyle w:val="Normal"/>
              <w:spacing w:lineRule="auto" w:line="240"/>
              <w:ind w:hanging="0"/>
              <w:jc w:val="center"/>
              <w:rPr>
                <w:color w:val="000000"/>
                <w:szCs w:val="28"/>
              </w:rPr>
            </w:pPr>
            <w:r>
              <w:rPr>
                <w:color w:val="000000"/>
                <w:szCs w:val="28"/>
              </w:rPr>
              <w:t>102.5</w:t>
            </w:r>
          </w:p>
        </w:tc>
        <w:tc>
          <w:tcPr>
            <w:tcW w:w="24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3" w:type="dxa"/>
            </w:tcMar>
          </w:tcPr>
          <w:p>
            <w:pPr>
              <w:pStyle w:val="Normal"/>
              <w:spacing w:lineRule="auto" w:line="240"/>
              <w:ind w:hanging="0"/>
              <w:jc w:val="center"/>
              <w:rPr>
                <w:color w:val="000000"/>
                <w:szCs w:val="28"/>
              </w:rPr>
            </w:pPr>
            <w:r>
              <w:rPr>
                <w:color w:val="000000"/>
                <w:szCs w:val="28"/>
              </w:rPr>
              <w:t>43.6 (10.04)</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3" w:type="dxa"/>
            </w:tcMar>
            <w:vAlign w:val="center"/>
          </w:tcPr>
          <w:p>
            <w:pPr>
              <w:pStyle w:val="Normal"/>
              <w:spacing w:lineRule="auto" w:line="240"/>
              <w:ind w:hanging="0"/>
              <w:jc w:val="center"/>
              <w:rPr>
                <w:color w:val="000000"/>
                <w:szCs w:val="28"/>
                <w:lang w:val="en-US"/>
              </w:rPr>
            </w:pPr>
            <w:r>
              <w:rPr>
                <w:color w:val="000000"/>
                <w:szCs w:val="28"/>
                <w:lang w:val="en-US"/>
              </w:rPr>
              <w:t>111.2</w:t>
            </w:r>
          </w:p>
        </w:tc>
        <w:tc>
          <w:tcPr>
            <w:tcW w:w="24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3" w:type="dxa"/>
            </w:tcMar>
            <w:vAlign w:val="center"/>
          </w:tcPr>
          <w:p>
            <w:pPr>
              <w:pStyle w:val="Normal"/>
              <w:spacing w:lineRule="auto" w:line="240"/>
              <w:ind w:hanging="0"/>
              <w:jc w:val="center"/>
              <w:rPr/>
            </w:pPr>
            <w:r>
              <w:rPr>
                <w:color w:val="000000"/>
                <w:szCs w:val="28"/>
                <w:lang w:val="en-US"/>
              </w:rPr>
              <w:t>-840.4</w:t>
            </w:r>
            <w:r>
              <w:rPr>
                <w:color w:val="000000"/>
                <w:szCs w:val="28"/>
              </w:rPr>
              <w:t xml:space="preserve"> (-251.3)</w:t>
            </w:r>
          </w:p>
        </w:tc>
      </w:tr>
      <w:tr>
        <w:trPr/>
        <w:tc>
          <w:tcPr>
            <w:tcW w:w="27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3" w:type="dxa"/>
            </w:tcMar>
            <w:vAlign w:val="center"/>
          </w:tcPr>
          <w:p>
            <w:pPr>
              <w:pStyle w:val="Normal"/>
              <w:spacing w:lineRule="auto" w:line="240"/>
              <w:ind w:hanging="0"/>
              <w:jc w:val="left"/>
              <w:rPr/>
            </w:pPr>
            <w:r>
              <w:rPr>
                <w:color w:val="000000"/>
                <w:szCs w:val="28"/>
                <w:lang w:val="en-US"/>
              </w:rPr>
              <w:t>4-NO</w:t>
            </w:r>
            <w:r>
              <w:rPr>
                <w:color w:val="000000"/>
                <w:szCs w:val="28"/>
                <w:vertAlign w:val="subscript"/>
                <w:lang w:val="en-US"/>
              </w:rPr>
              <w:t>2</w:t>
            </w:r>
            <w:r>
              <w:rPr>
                <w:color w:val="000000"/>
                <w:szCs w:val="28"/>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1c</w:t>
            </w:r>
          </w:p>
        </w:tc>
        <w:tc>
          <w:tcPr>
            <w:tcW w:w="10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3" w:type="dxa"/>
            </w:tcMar>
          </w:tcPr>
          <w:p>
            <w:pPr>
              <w:pStyle w:val="Normal"/>
              <w:spacing w:lineRule="auto" w:line="240"/>
              <w:ind w:hanging="0"/>
              <w:jc w:val="center"/>
              <w:rPr>
                <w:color w:val="000000"/>
                <w:szCs w:val="28"/>
              </w:rPr>
            </w:pPr>
            <w:r>
              <w:rPr>
                <w:color w:val="000000"/>
                <w:szCs w:val="28"/>
              </w:rPr>
              <w:t>-</w:t>
            </w:r>
          </w:p>
        </w:tc>
        <w:tc>
          <w:tcPr>
            <w:tcW w:w="24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3" w:type="dxa"/>
            </w:tcMar>
          </w:tcPr>
          <w:p>
            <w:pPr>
              <w:pStyle w:val="Normal"/>
              <w:spacing w:lineRule="auto" w:line="240"/>
              <w:ind w:hanging="0"/>
              <w:jc w:val="center"/>
              <w:rPr>
                <w:color w:val="000000"/>
                <w:szCs w:val="28"/>
              </w:rPr>
            </w:pPr>
            <w:r>
              <w:rPr>
                <w:color w:val="000000"/>
                <w:szCs w:val="28"/>
              </w:rPr>
              <w:t>-</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3" w:type="dxa"/>
            </w:tcMar>
            <w:vAlign w:val="center"/>
          </w:tcPr>
          <w:p>
            <w:pPr>
              <w:pStyle w:val="Normal"/>
              <w:spacing w:lineRule="auto" w:line="240"/>
              <w:ind w:hanging="0"/>
              <w:jc w:val="center"/>
              <w:rPr>
                <w:color w:val="000000"/>
                <w:szCs w:val="28"/>
                <w:lang w:val="en-US"/>
              </w:rPr>
            </w:pPr>
            <w:r>
              <w:rPr>
                <w:color w:val="000000"/>
                <w:szCs w:val="28"/>
                <w:lang w:val="en-US"/>
              </w:rPr>
              <w:t>116.4</w:t>
            </w:r>
          </w:p>
        </w:tc>
        <w:tc>
          <w:tcPr>
            <w:tcW w:w="24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3" w:type="dxa"/>
            </w:tcMar>
            <w:vAlign w:val="center"/>
          </w:tcPr>
          <w:p>
            <w:pPr>
              <w:pStyle w:val="Normal"/>
              <w:spacing w:lineRule="auto" w:line="240"/>
              <w:ind w:hanging="0"/>
              <w:jc w:val="center"/>
              <w:rPr/>
            </w:pPr>
            <w:r>
              <w:rPr>
                <w:color w:val="000000"/>
                <w:szCs w:val="28"/>
                <w:lang w:val="en-US"/>
              </w:rPr>
              <w:t>-219.9</w:t>
            </w:r>
            <w:r>
              <w:rPr>
                <w:color w:val="000000"/>
                <w:szCs w:val="28"/>
              </w:rPr>
              <w:t xml:space="preserve"> (-65.7)</w:t>
            </w:r>
          </w:p>
        </w:tc>
      </w:tr>
      <w:tr>
        <w:trPr/>
        <w:tc>
          <w:tcPr>
            <w:tcW w:w="27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3" w:type="dxa"/>
            </w:tcMar>
            <w:vAlign w:val="center"/>
          </w:tcPr>
          <w:p>
            <w:pPr>
              <w:pStyle w:val="Normal"/>
              <w:spacing w:lineRule="auto" w:line="240"/>
              <w:ind w:hanging="0"/>
              <w:jc w:val="left"/>
              <w:rPr/>
            </w:pPr>
            <w:r>
              <w:rPr>
                <w:color w:val="000000"/>
                <w:szCs w:val="28"/>
                <w:lang w:val="en-US"/>
              </w:rPr>
              <w:t>4-MeO</w:t>
            </w:r>
            <w:r>
              <w:rPr>
                <w:color w:val="000000"/>
                <w:szCs w:val="28"/>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1d</w:t>
            </w:r>
          </w:p>
        </w:tc>
        <w:tc>
          <w:tcPr>
            <w:tcW w:w="10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3" w:type="dxa"/>
            </w:tcMar>
          </w:tcPr>
          <w:p>
            <w:pPr>
              <w:pStyle w:val="Normal"/>
              <w:spacing w:lineRule="auto" w:line="240"/>
              <w:ind w:hanging="0"/>
              <w:jc w:val="center"/>
              <w:rPr>
                <w:color w:val="000000"/>
                <w:szCs w:val="28"/>
              </w:rPr>
            </w:pPr>
            <w:r>
              <w:rPr>
                <w:color w:val="000000"/>
                <w:szCs w:val="28"/>
              </w:rPr>
              <w:t>88.4</w:t>
            </w:r>
          </w:p>
        </w:tc>
        <w:tc>
          <w:tcPr>
            <w:tcW w:w="24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3" w:type="dxa"/>
            </w:tcMar>
          </w:tcPr>
          <w:p>
            <w:pPr>
              <w:pStyle w:val="Normal"/>
              <w:spacing w:lineRule="auto" w:line="240"/>
              <w:ind w:hanging="0"/>
              <w:jc w:val="center"/>
              <w:rPr>
                <w:color w:val="000000"/>
                <w:szCs w:val="28"/>
              </w:rPr>
            </w:pPr>
            <w:r>
              <w:rPr>
                <w:color w:val="000000"/>
                <w:szCs w:val="28"/>
              </w:rPr>
              <w:t>102.2 (29.05)</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3" w:type="dxa"/>
            </w:tcMar>
            <w:vAlign w:val="center"/>
          </w:tcPr>
          <w:p>
            <w:pPr>
              <w:pStyle w:val="Normal"/>
              <w:spacing w:lineRule="auto" w:line="240"/>
              <w:ind w:hanging="0"/>
              <w:jc w:val="center"/>
              <w:rPr>
                <w:color w:val="000000"/>
                <w:szCs w:val="28"/>
              </w:rPr>
            </w:pPr>
            <w:r>
              <w:rPr>
                <w:color w:val="000000"/>
                <w:szCs w:val="28"/>
              </w:rPr>
              <w:t>136.6</w:t>
            </w:r>
          </w:p>
        </w:tc>
        <w:tc>
          <w:tcPr>
            <w:tcW w:w="24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3" w:type="dxa"/>
            </w:tcMar>
            <w:vAlign w:val="center"/>
          </w:tcPr>
          <w:p>
            <w:pPr>
              <w:pStyle w:val="Normal"/>
              <w:spacing w:lineRule="auto" w:line="240"/>
              <w:ind w:hanging="0"/>
              <w:jc w:val="center"/>
              <w:rPr/>
            </w:pPr>
            <w:r>
              <w:rPr>
                <w:color w:val="000000"/>
                <w:szCs w:val="28"/>
              </w:rPr>
              <w:t>-328.9 (-</w:t>
            </w:r>
            <w:r>
              <w:rPr>
                <w:color w:val="000000"/>
                <w:szCs w:val="28"/>
                <w:lang w:val="en-US"/>
              </w:rPr>
              <w:t>93.5)</w:t>
            </w:r>
          </w:p>
        </w:tc>
      </w:tr>
      <w:tr>
        <w:trPr/>
        <w:tc>
          <w:tcPr>
            <w:tcW w:w="27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3" w:type="dxa"/>
            </w:tcMar>
            <w:vAlign w:val="center"/>
          </w:tcPr>
          <w:p>
            <w:pPr>
              <w:pStyle w:val="Normal"/>
              <w:spacing w:lineRule="auto" w:line="240"/>
              <w:ind w:hanging="0"/>
              <w:jc w:val="left"/>
              <w:rPr/>
            </w:pPr>
            <w:r>
              <w:rPr>
                <w:color w:val="000000"/>
                <w:szCs w:val="28"/>
                <w:lang w:val="en-US"/>
              </w:rPr>
              <w:t>4-NO</w:t>
            </w:r>
            <w:r>
              <w:rPr>
                <w:color w:val="000000"/>
                <w:szCs w:val="28"/>
                <w:vertAlign w:val="subscript"/>
                <w:lang w:val="en-US"/>
              </w:rPr>
              <w:t>2</w:t>
            </w:r>
            <w:r>
              <w:rPr>
                <w:color w:val="000000"/>
                <w:szCs w:val="28"/>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TsO</w:t>
            </w:r>
            <w:r>
              <w:rPr>
                <w:color w:val="000000"/>
                <w:szCs w:val="28"/>
                <w:vertAlign w:val="superscript"/>
                <w:lang w:val="en-US"/>
              </w:rPr>
              <w:t>-</w:t>
            </w:r>
            <w:r>
              <w:rPr>
                <w:color w:val="000000"/>
                <w:szCs w:val="28"/>
                <w:lang w:val="en-US"/>
              </w:rPr>
              <w:t xml:space="preserve">    </w:t>
            </w:r>
            <w:r>
              <w:rPr>
                <w:b/>
                <w:color w:val="000000"/>
                <w:szCs w:val="28"/>
                <w:lang w:val="en-US"/>
              </w:rPr>
              <w:t>2</w:t>
            </w:r>
          </w:p>
        </w:tc>
        <w:tc>
          <w:tcPr>
            <w:tcW w:w="10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3" w:type="dxa"/>
            </w:tcMar>
          </w:tcPr>
          <w:p>
            <w:pPr>
              <w:pStyle w:val="Normal"/>
              <w:spacing w:lineRule="auto" w:line="240"/>
              <w:ind w:hanging="0"/>
              <w:jc w:val="center"/>
              <w:rPr>
                <w:color w:val="000000"/>
                <w:szCs w:val="28"/>
                <w:lang w:val="en-US"/>
              </w:rPr>
            </w:pPr>
            <w:r>
              <w:rPr>
                <w:color w:val="000000"/>
                <w:szCs w:val="28"/>
                <w:lang w:val="en-US"/>
              </w:rPr>
              <w:t>-</w:t>
            </w:r>
          </w:p>
        </w:tc>
        <w:tc>
          <w:tcPr>
            <w:tcW w:w="24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3" w:type="dxa"/>
            </w:tcMar>
          </w:tcPr>
          <w:p>
            <w:pPr>
              <w:pStyle w:val="Normal"/>
              <w:spacing w:lineRule="auto" w:line="240"/>
              <w:ind w:hanging="0"/>
              <w:jc w:val="center"/>
              <w:rPr>
                <w:color w:val="000000"/>
                <w:szCs w:val="28"/>
                <w:lang w:val="en-US"/>
              </w:rPr>
            </w:pPr>
            <w:r>
              <w:rPr>
                <w:color w:val="000000"/>
                <w:szCs w:val="28"/>
                <w:lang w:val="en-US"/>
              </w:rPr>
              <w:t>-</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3" w:type="dxa"/>
            </w:tcMar>
            <w:vAlign w:val="center"/>
          </w:tcPr>
          <w:p>
            <w:pPr>
              <w:pStyle w:val="Normal"/>
              <w:spacing w:lineRule="auto" w:line="240"/>
              <w:ind w:hanging="0"/>
              <w:jc w:val="center"/>
              <w:rPr>
                <w:color w:val="000000"/>
                <w:szCs w:val="28"/>
                <w:lang w:val="en-US"/>
              </w:rPr>
            </w:pPr>
            <w:r>
              <w:rPr>
                <w:color w:val="000000"/>
                <w:szCs w:val="28"/>
                <w:lang w:val="en-US"/>
              </w:rPr>
              <w:t>69.37</w:t>
            </w:r>
          </w:p>
          <w:p>
            <w:pPr>
              <w:pStyle w:val="Normal"/>
              <w:spacing w:lineRule="auto" w:line="240"/>
              <w:ind w:hanging="0"/>
              <w:jc w:val="center"/>
              <w:rPr>
                <w:color w:val="000000"/>
                <w:szCs w:val="28"/>
                <w:lang w:val="en-US"/>
              </w:rPr>
            </w:pPr>
            <w:r>
              <w:rPr>
                <w:color w:val="000000"/>
                <w:szCs w:val="28"/>
                <w:lang w:val="en-US"/>
              </w:rPr>
              <w:t>146.6</w:t>
            </w:r>
          </w:p>
        </w:tc>
        <w:tc>
          <w:tcPr>
            <w:tcW w:w="24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3" w:type="dxa"/>
            </w:tcMar>
            <w:vAlign w:val="center"/>
          </w:tcPr>
          <w:p>
            <w:pPr>
              <w:pStyle w:val="Normal"/>
              <w:spacing w:lineRule="auto" w:line="240"/>
              <w:ind w:hanging="0"/>
              <w:jc w:val="center"/>
              <w:rPr>
                <w:color w:val="000000"/>
                <w:szCs w:val="28"/>
                <w:lang w:val="en-US"/>
              </w:rPr>
            </w:pPr>
            <w:r>
              <w:rPr>
                <w:color w:val="000000"/>
                <w:szCs w:val="28"/>
                <w:lang w:val="en-US"/>
              </w:rPr>
              <w:t>-24.47 (-7.8)</w:t>
            </w:r>
          </w:p>
          <w:p>
            <w:pPr>
              <w:pStyle w:val="Normal"/>
              <w:spacing w:lineRule="auto" w:line="240"/>
              <w:ind w:hanging="0"/>
              <w:jc w:val="center"/>
              <w:rPr>
                <w:color w:val="000000"/>
                <w:szCs w:val="28"/>
                <w:lang w:val="en-US"/>
              </w:rPr>
            </w:pPr>
            <w:r>
              <w:rPr>
                <w:color w:val="000000"/>
                <w:szCs w:val="28"/>
                <w:lang w:val="en-US"/>
              </w:rPr>
              <w:t>-323.0 (-103.7)</w:t>
            </w:r>
          </w:p>
        </w:tc>
      </w:tr>
      <w:tr>
        <w:trPr/>
        <w:tc>
          <w:tcPr>
            <w:tcW w:w="27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3" w:type="dxa"/>
            </w:tcMar>
            <w:vAlign w:val="center"/>
          </w:tcPr>
          <w:p>
            <w:pPr>
              <w:pStyle w:val="Normal"/>
              <w:spacing w:lineRule="auto" w:line="240"/>
              <w:ind w:hanging="0"/>
              <w:jc w:val="left"/>
              <w:rPr/>
            </w:pPr>
            <w:r>
              <w:rPr>
                <w:color w:val="000000"/>
                <w:szCs w:val="28"/>
                <w:lang w:val="en-US"/>
              </w:rPr>
              <w:t>4-NO</w:t>
            </w:r>
            <w:r>
              <w:rPr>
                <w:color w:val="000000"/>
                <w:szCs w:val="28"/>
                <w:vertAlign w:val="subscript"/>
                <w:lang w:val="en-US"/>
              </w:rPr>
              <w:t>2</w:t>
            </w:r>
            <w:r>
              <w:rPr>
                <w:color w:val="000000"/>
                <w:szCs w:val="28"/>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BF</w:t>
            </w:r>
            <w:r>
              <w:rPr>
                <w:color w:val="000000"/>
                <w:szCs w:val="28"/>
                <w:vertAlign w:val="subscript"/>
                <w:lang w:val="en-US"/>
              </w:rPr>
              <w:t>4</w:t>
            </w:r>
            <w:r>
              <w:rPr>
                <w:color w:val="000000"/>
                <w:szCs w:val="28"/>
                <w:vertAlign w:val="superscript"/>
                <w:lang w:val="en-US"/>
              </w:rPr>
              <w:t>-</w:t>
            </w:r>
            <w:r>
              <w:rPr>
                <w:color w:val="000000"/>
                <w:szCs w:val="28"/>
                <w:lang w:val="en-US"/>
              </w:rPr>
              <w:t xml:space="preserve">    </w:t>
            </w:r>
            <w:r>
              <w:rPr>
                <w:b/>
                <w:color w:val="000000"/>
                <w:szCs w:val="28"/>
                <w:lang w:val="en-US"/>
              </w:rPr>
              <w:t>3</w:t>
            </w:r>
          </w:p>
        </w:tc>
        <w:tc>
          <w:tcPr>
            <w:tcW w:w="10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3" w:type="dxa"/>
            </w:tcMar>
          </w:tcPr>
          <w:p>
            <w:pPr>
              <w:pStyle w:val="Normal"/>
              <w:spacing w:lineRule="auto" w:line="240"/>
              <w:ind w:hanging="0"/>
              <w:jc w:val="center"/>
              <w:rPr>
                <w:color w:val="000000"/>
                <w:szCs w:val="28"/>
                <w:lang w:val="en-US"/>
              </w:rPr>
            </w:pPr>
            <w:r>
              <w:rPr>
                <w:color w:val="000000"/>
                <w:szCs w:val="28"/>
                <w:lang w:val="en-US"/>
              </w:rPr>
              <w:t>33.7</w:t>
            </w:r>
          </w:p>
        </w:tc>
        <w:tc>
          <w:tcPr>
            <w:tcW w:w="24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3" w:type="dxa"/>
            </w:tcMar>
          </w:tcPr>
          <w:p>
            <w:pPr>
              <w:pStyle w:val="Normal"/>
              <w:spacing w:lineRule="auto" w:line="240"/>
              <w:ind w:hanging="0"/>
              <w:jc w:val="center"/>
              <w:rPr>
                <w:color w:val="000000"/>
                <w:szCs w:val="28"/>
                <w:lang w:val="en-US"/>
              </w:rPr>
            </w:pPr>
            <w:r>
              <w:rPr>
                <w:color w:val="000000"/>
                <w:szCs w:val="28"/>
                <w:lang w:val="en-US"/>
              </w:rPr>
              <w:t>617.3 (146.3)</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3" w:type="dxa"/>
            </w:tcMar>
            <w:vAlign w:val="center"/>
          </w:tcPr>
          <w:p>
            <w:pPr>
              <w:pStyle w:val="Normal"/>
              <w:spacing w:lineRule="auto" w:line="240"/>
              <w:ind w:hanging="0"/>
              <w:jc w:val="center"/>
              <w:rPr>
                <w:color w:val="000000"/>
                <w:szCs w:val="28"/>
                <w:lang w:val="en-US"/>
              </w:rPr>
            </w:pPr>
            <w:r>
              <w:rPr>
                <w:color w:val="000000"/>
                <w:szCs w:val="28"/>
                <w:lang w:val="en-US"/>
              </w:rPr>
              <w:t>146.5</w:t>
            </w:r>
          </w:p>
        </w:tc>
        <w:tc>
          <w:tcPr>
            <w:tcW w:w="24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3" w:type="dxa"/>
            </w:tcMar>
            <w:vAlign w:val="center"/>
          </w:tcPr>
          <w:p>
            <w:pPr>
              <w:pStyle w:val="Normal"/>
              <w:spacing w:lineRule="auto" w:line="240"/>
              <w:ind w:hanging="0"/>
              <w:jc w:val="center"/>
              <w:rPr>
                <w:color w:val="000000"/>
                <w:szCs w:val="28"/>
                <w:lang w:val="en-US"/>
              </w:rPr>
            </w:pPr>
            <w:r>
              <w:rPr>
                <w:color w:val="000000"/>
                <w:szCs w:val="28"/>
                <w:lang w:val="en-US"/>
              </w:rPr>
              <w:t>-229.2 (-54.3)</w:t>
            </w:r>
          </w:p>
        </w:tc>
      </w:tr>
    </w:tbl>
    <w:p>
      <w:pPr>
        <w:pStyle w:val="Normal"/>
        <w:rPr/>
      </w:pPr>
      <w:r>
        <w:rPr/>
      </w:r>
    </w:p>
    <w:p>
      <w:pPr>
        <w:pStyle w:val="Normal"/>
        <w:rPr/>
      </w:pPr>
      <w:r>
        <w:rPr/>
        <w:drawing>
          <wp:inline distT="0" distB="0" distL="0" distR="0">
            <wp:extent cx="5542280" cy="3364865"/>
            <wp:effectExtent l="0" t="0" r="0" b="0"/>
            <wp:docPr id="8"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
                    <pic:cNvPicPr>
                      <a:picLocks noChangeAspect="1" noChangeArrowheads="1"/>
                    </pic:cNvPicPr>
                  </pic:nvPicPr>
                  <pic:blipFill>
                    <a:blip r:embed="rId10"/>
                    <a:stretch>
                      <a:fillRect/>
                    </a:stretch>
                  </pic:blipFill>
                  <pic:spPr bwMode="auto">
                    <a:xfrm>
                      <a:off x="0" y="0"/>
                      <a:ext cx="5542280" cy="3364865"/>
                    </a:xfrm>
                    <a:prstGeom prst="rect">
                      <a:avLst/>
                    </a:prstGeom>
                  </pic:spPr>
                </pic:pic>
              </a:graphicData>
            </a:graphic>
          </wp:inline>
        </w:drawing>
      </w:r>
    </w:p>
    <w:p>
      <w:pPr>
        <w:pStyle w:val="Normal"/>
        <w:ind w:hanging="0"/>
        <w:jc w:val="center"/>
        <w:rPr/>
      </w:pPr>
      <w:r>
        <w:rPr/>
        <w:t xml:space="preserve">Рисунок 1. Термическое разложение соли </w:t>
      </w:r>
      <w:r>
        <w:rPr>
          <w:color w:val="000000"/>
          <w:szCs w:val="28"/>
        </w:rPr>
        <w:t>2-</w:t>
      </w:r>
      <w:r>
        <w:rPr>
          <w:color w:val="000000"/>
          <w:szCs w:val="28"/>
          <w:lang w:val="en-US"/>
        </w:rPr>
        <w:t>NO</w:t>
      </w:r>
      <w:r>
        <w:rPr>
          <w:color w:val="000000"/>
          <w:szCs w:val="28"/>
          <w:vertAlign w:val="subscript"/>
        </w:rPr>
        <w:t>2</w:t>
      </w:r>
      <w:r>
        <w:rPr>
          <w:color w:val="000000"/>
          <w:szCs w:val="28"/>
        </w:rPr>
        <w:t>С</w:t>
      </w:r>
      <w:r>
        <w:rPr>
          <w:color w:val="000000"/>
          <w:szCs w:val="28"/>
          <w:vertAlign w:val="subscript"/>
        </w:rPr>
        <w:t>6</w:t>
      </w:r>
      <w:r>
        <w:rPr>
          <w:color w:val="000000"/>
          <w:szCs w:val="28"/>
          <w:lang w:val="en-US"/>
        </w:rPr>
        <w:t>H</w:t>
      </w:r>
      <w:r>
        <w:rPr>
          <w:color w:val="000000"/>
          <w:szCs w:val="28"/>
          <w:vertAlign w:val="subscript"/>
        </w:rPr>
        <w:t>4</w:t>
      </w:r>
      <w:r>
        <w:rPr>
          <w:color w:val="000000"/>
          <w:szCs w:val="28"/>
          <w:lang w:val="en-US"/>
        </w:rPr>
        <w:t>N</w:t>
      </w:r>
      <w:r>
        <w:rPr>
          <w:color w:val="000000"/>
          <w:szCs w:val="28"/>
          <w:vertAlign w:val="subscript"/>
        </w:rPr>
        <w:t>2</w:t>
      </w:r>
      <w:r>
        <w:rPr>
          <w:color w:val="000000"/>
          <w:szCs w:val="28"/>
          <w:vertAlign w:val="superscript"/>
        </w:rPr>
        <w:t>+</w:t>
      </w:r>
      <w:r>
        <w:rPr>
          <w:color w:val="000000"/>
          <w:szCs w:val="28"/>
        </w:rPr>
        <w:t xml:space="preserve"> </w:t>
      </w:r>
      <w:r>
        <w:rPr>
          <w:color w:val="000000"/>
          <w:szCs w:val="28"/>
          <w:lang w:val="en-US"/>
        </w:rPr>
        <w:t>TfO</w:t>
      </w:r>
      <w:r>
        <w:rPr>
          <w:color w:val="000000"/>
          <w:szCs w:val="28"/>
          <w:vertAlign w:val="superscript"/>
        </w:rPr>
        <w:t>-</w:t>
      </w:r>
      <w:r>
        <w:rPr>
          <w:color w:val="000000"/>
          <w:szCs w:val="28"/>
        </w:rPr>
        <w:t xml:space="preserve">  </w:t>
      </w:r>
      <w:r>
        <w:rPr>
          <w:b/>
          <w:bCs/>
          <w:color w:val="000000"/>
          <w:szCs w:val="28"/>
        </w:rPr>
        <w:t>1</w:t>
      </w:r>
      <w:r>
        <w:rPr>
          <w:b/>
          <w:bCs/>
          <w:color w:val="000000"/>
          <w:szCs w:val="28"/>
          <w:lang w:val="en-US"/>
        </w:rPr>
        <w:t>a</w:t>
      </w:r>
      <w:r>
        <w:rPr/>
        <w:t xml:space="preserve"> методом </w:t>
      </w:r>
      <w:r>
        <w:rPr>
          <w:lang w:val="en-US"/>
        </w:rPr>
        <w:t>DSC</w:t>
      </w:r>
      <w:r>
        <w:rPr/>
        <w:t>/</w:t>
      </w:r>
      <w:r>
        <w:rPr>
          <w:lang w:val="en-US"/>
        </w:rPr>
        <w:t>TGA</w:t>
      </w:r>
    </w:p>
    <w:p>
      <w:pPr>
        <w:pStyle w:val="Normal"/>
        <w:ind w:hanging="0"/>
        <w:jc w:val="center"/>
        <w:rPr/>
      </w:pPr>
      <w:r>
        <w:rPr/>
      </w:r>
    </w:p>
    <w:p>
      <w:pPr>
        <w:pStyle w:val="Normal"/>
        <w:ind w:hanging="0"/>
        <w:jc w:val="center"/>
        <w:rPr/>
      </w:pPr>
      <w:r>
        <w:rPr/>
        <w:drawing>
          <wp:inline distT="0" distB="0" distL="0" distR="0">
            <wp:extent cx="5526405" cy="3615055"/>
            <wp:effectExtent l="0" t="0" r="0" b="0"/>
            <wp:docPr id="9"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
                    <pic:cNvPicPr>
                      <a:picLocks noChangeAspect="1" noChangeArrowheads="1"/>
                    </pic:cNvPicPr>
                  </pic:nvPicPr>
                  <pic:blipFill>
                    <a:blip r:embed="rId11"/>
                    <a:stretch>
                      <a:fillRect/>
                    </a:stretch>
                  </pic:blipFill>
                  <pic:spPr bwMode="auto">
                    <a:xfrm>
                      <a:off x="0" y="0"/>
                      <a:ext cx="5526405" cy="3615055"/>
                    </a:xfrm>
                    <a:prstGeom prst="rect">
                      <a:avLst/>
                    </a:prstGeom>
                  </pic:spPr>
                </pic:pic>
              </a:graphicData>
            </a:graphic>
          </wp:inline>
        </w:drawing>
      </w:r>
    </w:p>
    <w:p>
      <w:pPr>
        <w:pStyle w:val="Normal"/>
        <w:ind w:hanging="0"/>
        <w:jc w:val="center"/>
        <w:rPr/>
      </w:pPr>
      <w:r>
        <w:rPr/>
        <w:t xml:space="preserve">Рисунок 2. Термическое разложение соли </w:t>
      </w:r>
      <w:r>
        <w:rPr>
          <w:color w:val="000000"/>
          <w:szCs w:val="28"/>
        </w:rPr>
        <w:t>3-</w:t>
      </w:r>
      <w:r>
        <w:rPr>
          <w:color w:val="000000"/>
          <w:szCs w:val="28"/>
          <w:lang w:val="en-US"/>
        </w:rPr>
        <w:t>NO</w:t>
      </w:r>
      <w:r>
        <w:rPr>
          <w:color w:val="000000"/>
          <w:szCs w:val="28"/>
          <w:vertAlign w:val="subscript"/>
        </w:rPr>
        <w:t>2</w:t>
      </w:r>
      <w:r>
        <w:rPr>
          <w:color w:val="000000"/>
          <w:szCs w:val="28"/>
        </w:rPr>
        <w:t>С</w:t>
      </w:r>
      <w:r>
        <w:rPr>
          <w:color w:val="000000"/>
          <w:szCs w:val="28"/>
          <w:vertAlign w:val="subscript"/>
        </w:rPr>
        <w:t>6</w:t>
      </w:r>
      <w:r>
        <w:rPr>
          <w:color w:val="000000"/>
          <w:szCs w:val="28"/>
          <w:lang w:val="en-US"/>
        </w:rPr>
        <w:t>H</w:t>
      </w:r>
      <w:r>
        <w:rPr>
          <w:color w:val="000000"/>
          <w:szCs w:val="28"/>
          <w:vertAlign w:val="subscript"/>
        </w:rPr>
        <w:t>4</w:t>
      </w:r>
      <w:r>
        <w:rPr>
          <w:color w:val="000000"/>
          <w:szCs w:val="28"/>
          <w:lang w:val="en-US"/>
        </w:rPr>
        <w:t>N</w:t>
      </w:r>
      <w:r>
        <w:rPr>
          <w:color w:val="000000"/>
          <w:szCs w:val="28"/>
          <w:vertAlign w:val="subscript"/>
        </w:rPr>
        <w:t>2</w:t>
      </w:r>
      <w:r>
        <w:rPr>
          <w:color w:val="000000"/>
          <w:szCs w:val="28"/>
          <w:vertAlign w:val="superscript"/>
        </w:rPr>
        <w:t>+</w:t>
      </w:r>
      <w:r>
        <w:rPr>
          <w:color w:val="000000"/>
          <w:szCs w:val="28"/>
        </w:rPr>
        <w:t xml:space="preserve"> </w:t>
      </w:r>
      <w:r>
        <w:rPr>
          <w:color w:val="000000"/>
          <w:szCs w:val="28"/>
          <w:lang w:val="en-US"/>
        </w:rPr>
        <w:t>TfO</w:t>
      </w:r>
      <w:r>
        <w:rPr>
          <w:color w:val="000000"/>
          <w:szCs w:val="28"/>
          <w:vertAlign w:val="superscript"/>
        </w:rPr>
        <w:t>-</w:t>
      </w:r>
      <w:r>
        <w:rPr>
          <w:color w:val="000000"/>
          <w:szCs w:val="28"/>
        </w:rPr>
        <w:t xml:space="preserve">  </w:t>
      </w:r>
      <w:r>
        <w:rPr>
          <w:b/>
          <w:bCs/>
          <w:color w:val="000000"/>
          <w:szCs w:val="28"/>
        </w:rPr>
        <w:t>1</w:t>
      </w:r>
      <w:r>
        <w:rPr>
          <w:b/>
          <w:bCs/>
          <w:color w:val="000000"/>
          <w:szCs w:val="28"/>
          <w:lang w:val="en-US"/>
        </w:rPr>
        <w:t>b</w:t>
      </w:r>
      <w:r>
        <w:rPr/>
        <w:t xml:space="preserve"> методом </w:t>
      </w:r>
      <w:r>
        <w:rPr>
          <w:lang w:val="en-US"/>
        </w:rPr>
        <w:t>DSC</w:t>
      </w:r>
      <w:r>
        <w:rPr/>
        <w:t>/</w:t>
      </w:r>
      <w:r>
        <w:rPr>
          <w:lang w:val="en-US"/>
        </w:rPr>
        <w:t>TGA</w:t>
      </w:r>
    </w:p>
    <w:p>
      <w:pPr>
        <w:pStyle w:val="Normal"/>
        <w:ind w:hanging="0"/>
        <w:jc w:val="center"/>
        <w:rPr/>
      </w:pPr>
      <w:r>
        <w:rPr/>
      </w:r>
    </w:p>
    <w:p>
      <w:pPr>
        <w:pStyle w:val="Normal"/>
        <w:ind w:hanging="0"/>
        <w:jc w:val="center"/>
        <w:rPr/>
      </w:pPr>
      <w:r>
        <w:rPr/>
        <w:drawing>
          <wp:inline distT="0" distB="0" distL="0" distR="0">
            <wp:extent cx="5475605" cy="3601720"/>
            <wp:effectExtent l="0" t="0" r="0" b="0"/>
            <wp:docPr id="10"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
                    <pic:cNvPicPr>
                      <a:picLocks noChangeAspect="1" noChangeArrowheads="1"/>
                    </pic:cNvPicPr>
                  </pic:nvPicPr>
                  <pic:blipFill>
                    <a:blip r:embed="rId12"/>
                    <a:stretch>
                      <a:fillRect/>
                    </a:stretch>
                  </pic:blipFill>
                  <pic:spPr bwMode="auto">
                    <a:xfrm>
                      <a:off x="0" y="0"/>
                      <a:ext cx="5475605" cy="3601720"/>
                    </a:xfrm>
                    <a:prstGeom prst="rect">
                      <a:avLst/>
                    </a:prstGeom>
                  </pic:spPr>
                </pic:pic>
              </a:graphicData>
            </a:graphic>
          </wp:inline>
        </w:drawing>
      </w:r>
    </w:p>
    <w:p>
      <w:pPr>
        <w:pStyle w:val="Normal"/>
        <w:ind w:hanging="0"/>
        <w:jc w:val="center"/>
        <w:rPr/>
      </w:pPr>
      <w:r>
        <w:rPr/>
        <w:t>Рисунок 3. Термическое разложение соли 4</w:t>
      </w:r>
      <w:r>
        <w:rPr>
          <w:color w:val="000000"/>
          <w:szCs w:val="28"/>
        </w:rPr>
        <w:t>-</w:t>
      </w:r>
      <w:r>
        <w:rPr>
          <w:color w:val="000000"/>
          <w:szCs w:val="28"/>
          <w:lang w:val="en-US"/>
        </w:rPr>
        <w:t>NO</w:t>
      </w:r>
      <w:r>
        <w:rPr>
          <w:color w:val="000000"/>
          <w:szCs w:val="28"/>
          <w:vertAlign w:val="subscript"/>
        </w:rPr>
        <w:t>2</w:t>
      </w:r>
      <w:r>
        <w:rPr>
          <w:color w:val="000000"/>
          <w:szCs w:val="28"/>
        </w:rPr>
        <w:t>С</w:t>
      </w:r>
      <w:r>
        <w:rPr>
          <w:color w:val="000000"/>
          <w:szCs w:val="28"/>
          <w:vertAlign w:val="subscript"/>
        </w:rPr>
        <w:t>6</w:t>
      </w:r>
      <w:r>
        <w:rPr>
          <w:color w:val="000000"/>
          <w:szCs w:val="28"/>
          <w:lang w:val="en-US"/>
        </w:rPr>
        <w:t>H</w:t>
      </w:r>
      <w:r>
        <w:rPr>
          <w:color w:val="000000"/>
          <w:szCs w:val="28"/>
          <w:vertAlign w:val="subscript"/>
        </w:rPr>
        <w:t>4</w:t>
      </w:r>
      <w:r>
        <w:rPr>
          <w:color w:val="000000"/>
          <w:szCs w:val="28"/>
          <w:lang w:val="en-US"/>
        </w:rPr>
        <w:t>N</w:t>
      </w:r>
      <w:r>
        <w:rPr>
          <w:color w:val="000000"/>
          <w:szCs w:val="28"/>
          <w:vertAlign w:val="subscript"/>
        </w:rPr>
        <w:t>2</w:t>
      </w:r>
      <w:r>
        <w:rPr>
          <w:color w:val="000000"/>
          <w:szCs w:val="28"/>
          <w:vertAlign w:val="superscript"/>
        </w:rPr>
        <w:t>+</w:t>
      </w:r>
      <w:r>
        <w:rPr>
          <w:color w:val="000000"/>
          <w:szCs w:val="28"/>
        </w:rPr>
        <w:t xml:space="preserve"> </w:t>
      </w:r>
      <w:r>
        <w:rPr>
          <w:color w:val="000000"/>
          <w:szCs w:val="28"/>
          <w:lang w:val="en-US"/>
        </w:rPr>
        <w:t>TfO</w:t>
      </w:r>
      <w:r>
        <w:rPr>
          <w:color w:val="000000"/>
          <w:szCs w:val="28"/>
          <w:vertAlign w:val="superscript"/>
        </w:rPr>
        <w:t>-</w:t>
      </w:r>
      <w:r>
        <w:rPr>
          <w:color w:val="000000"/>
          <w:szCs w:val="28"/>
        </w:rPr>
        <w:t xml:space="preserve">  </w:t>
      </w:r>
      <w:r>
        <w:rPr>
          <w:b/>
          <w:bCs/>
          <w:color w:val="000000"/>
          <w:szCs w:val="28"/>
        </w:rPr>
        <w:t>1</w:t>
      </w:r>
      <w:r>
        <w:rPr>
          <w:b/>
          <w:bCs/>
          <w:color w:val="000000"/>
          <w:szCs w:val="28"/>
          <w:lang w:val="en-US"/>
        </w:rPr>
        <w:t>c</w:t>
      </w:r>
      <w:r>
        <w:rPr/>
        <w:t xml:space="preserve"> методом </w:t>
      </w:r>
      <w:r>
        <w:rPr>
          <w:lang w:val="en-US"/>
        </w:rPr>
        <w:t>DSC</w:t>
      </w:r>
      <w:r>
        <w:rPr/>
        <w:t>/</w:t>
      </w:r>
      <w:r>
        <w:rPr>
          <w:lang w:val="en-US"/>
        </w:rPr>
        <w:t>TGA</w:t>
      </w:r>
    </w:p>
    <w:p>
      <w:pPr>
        <w:pStyle w:val="Normal"/>
        <w:ind w:hanging="0"/>
        <w:jc w:val="center"/>
        <w:rPr/>
      </w:pPr>
      <w:r>
        <w:rPr/>
      </w:r>
    </w:p>
    <w:p>
      <w:pPr>
        <w:pStyle w:val="Normal"/>
        <w:ind w:hanging="0"/>
        <w:jc w:val="center"/>
        <w:rPr/>
      </w:pPr>
      <w:r>
        <w:rPr/>
        <w:drawing>
          <wp:inline distT="0" distB="0" distL="0" distR="0">
            <wp:extent cx="5895340" cy="3610610"/>
            <wp:effectExtent l="0" t="0" r="0" b="0"/>
            <wp:docPr id="11"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2" descr=""/>
                    <pic:cNvPicPr>
                      <a:picLocks noChangeAspect="1" noChangeArrowheads="1"/>
                    </pic:cNvPicPr>
                  </pic:nvPicPr>
                  <pic:blipFill>
                    <a:blip r:embed="rId13"/>
                    <a:stretch>
                      <a:fillRect/>
                    </a:stretch>
                  </pic:blipFill>
                  <pic:spPr bwMode="auto">
                    <a:xfrm>
                      <a:off x="0" y="0"/>
                      <a:ext cx="5895340" cy="3610610"/>
                    </a:xfrm>
                    <a:prstGeom prst="rect">
                      <a:avLst/>
                    </a:prstGeom>
                  </pic:spPr>
                </pic:pic>
              </a:graphicData>
            </a:graphic>
          </wp:inline>
        </w:drawing>
      </w:r>
    </w:p>
    <w:p>
      <w:pPr>
        <w:pStyle w:val="Normal"/>
        <w:ind w:hanging="0"/>
        <w:jc w:val="center"/>
        <w:rPr/>
      </w:pPr>
      <w:r>
        <w:rPr/>
        <w:t xml:space="preserve">Рисунок 4. Термическое разложение соли </w:t>
      </w:r>
      <w:r>
        <w:rPr>
          <w:color w:val="000000"/>
          <w:szCs w:val="28"/>
        </w:rPr>
        <w:t>4-</w:t>
      </w:r>
      <w:r>
        <w:rPr>
          <w:color w:val="000000"/>
          <w:szCs w:val="28"/>
          <w:lang w:val="en-US"/>
        </w:rPr>
        <w:t>MeO</w:t>
      </w:r>
      <w:r>
        <w:rPr>
          <w:color w:val="000000"/>
          <w:szCs w:val="28"/>
        </w:rPr>
        <w:t>С</w:t>
      </w:r>
      <w:r>
        <w:rPr>
          <w:color w:val="000000"/>
          <w:szCs w:val="28"/>
          <w:vertAlign w:val="subscript"/>
        </w:rPr>
        <w:t>6</w:t>
      </w:r>
      <w:r>
        <w:rPr>
          <w:color w:val="000000"/>
          <w:szCs w:val="28"/>
          <w:lang w:val="en-US"/>
        </w:rPr>
        <w:t>H</w:t>
      </w:r>
      <w:r>
        <w:rPr>
          <w:color w:val="000000"/>
          <w:szCs w:val="28"/>
          <w:vertAlign w:val="subscript"/>
        </w:rPr>
        <w:t>4</w:t>
      </w:r>
      <w:r>
        <w:rPr>
          <w:color w:val="000000"/>
          <w:szCs w:val="28"/>
          <w:lang w:val="en-US"/>
        </w:rPr>
        <w:t>N</w:t>
      </w:r>
      <w:r>
        <w:rPr>
          <w:color w:val="000000"/>
          <w:szCs w:val="28"/>
          <w:vertAlign w:val="subscript"/>
        </w:rPr>
        <w:t>2</w:t>
      </w:r>
      <w:r>
        <w:rPr>
          <w:color w:val="000000"/>
          <w:szCs w:val="28"/>
          <w:vertAlign w:val="superscript"/>
        </w:rPr>
        <w:t>+</w:t>
      </w:r>
      <w:r>
        <w:rPr>
          <w:color w:val="000000"/>
          <w:szCs w:val="28"/>
        </w:rPr>
        <w:t xml:space="preserve"> </w:t>
      </w:r>
      <w:r>
        <w:rPr>
          <w:color w:val="000000"/>
          <w:szCs w:val="28"/>
          <w:lang w:val="en-US"/>
        </w:rPr>
        <w:t>TfO</w:t>
      </w:r>
      <w:r>
        <w:rPr>
          <w:color w:val="000000"/>
          <w:szCs w:val="28"/>
          <w:vertAlign w:val="superscript"/>
        </w:rPr>
        <w:t>-</w:t>
      </w:r>
      <w:r>
        <w:rPr>
          <w:color w:val="000000"/>
          <w:szCs w:val="28"/>
        </w:rPr>
        <w:t xml:space="preserve">  </w:t>
      </w:r>
      <w:r>
        <w:rPr>
          <w:b/>
          <w:bCs/>
          <w:color w:val="000000"/>
          <w:szCs w:val="28"/>
        </w:rPr>
        <w:t>1</w:t>
      </w:r>
      <w:r>
        <w:rPr>
          <w:b/>
          <w:bCs/>
          <w:color w:val="000000"/>
          <w:szCs w:val="28"/>
          <w:lang w:val="en-US"/>
        </w:rPr>
        <w:t>d</w:t>
      </w:r>
      <w:r>
        <w:rPr/>
        <w:t xml:space="preserve"> методом </w:t>
      </w:r>
      <w:r>
        <w:rPr>
          <w:lang w:val="en-US"/>
        </w:rPr>
        <w:t>DSC</w:t>
      </w:r>
      <w:r>
        <w:rPr/>
        <w:t>/</w:t>
      </w:r>
      <w:r>
        <w:rPr>
          <w:lang w:val="en-US"/>
        </w:rPr>
        <w:t>TGA</w:t>
      </w:r>
    </w:p>
    <w:p>
      <w:pPr>
        <w:pStyle w:val="Normal"/>
        <w:ind w:hanging="0"/>
        <w:jc w:val="center"/>
        <w:rPr/>
      </w:pPr>
      <w:r>
        <w:rPr/>
      </w:r>
    </w:p>
    <w:p>
      <w:pPr>
        <w:pStyle w:val="Normal"/>
        <w:ind w:hanging="0"/>
        <w:jc w:val="center"/>
        <w:rPr/>
      </w:pPr>
      <w:r>
        <w:rPr/>
        <w:drawing>
          <wp:inline distT="0" distB="0" distL="0" distR="0">
            <wp:extent cx="5366385" cy="4039235"/>
            <wp:effectExtent l="0" t="0" r="0" b="0"/>
            <wp:docPr id="12"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descr=""/>
                    <pic:cNvPicPr>
                      <a:picLocks noChangeAspect="1" noChangeArrowheads="1"/>
                    </pic:cNvPicPr>
                  </pic:nvPicPr>
                  <pic:blipFill>
                    <a:blip r:embed="rId14"/>
                    <a:stretch>
                      <a:fillRect/>
                    </a:stretch>
                  </pic:blipFill>
                  <pic:spPr bwMode="auto">
                    <a:xfrm>
                      <a:off x="0" y="0"/>
                      <a:ext cx="5366385" cy="4039235"/>
                    </a:xfrm>
                    <a:prstGeom prst="rect">
                      <a:avLst/>
                    </a:prstGeom>
                  </pic:spPr>
                </pic:pic>
              </a:graphicData>
            </a:graphic>
          </wp:inline>
        </w:drawing>
      </w:r>
    </w:p>
    <w:p>
      <w:pPr>
        <w:pStyle w:val="Normal"/>
        <w:ind w:hanging="0"/>
        <w:jc w:val="center"/>
        <w:rPr/>
      </w:pPr>
      <w:r>
        <w:rPr/>
        <w:t xml:space="preserve">Рисунок 5. Термическое разложение соли </w:t>
      </w:r>
      <w:r>
        <w:rPr>
          <w:color w:val="000000"/>
          <w:szCs w:val="28"/>
        </w:rPr>
        <w:t>4-</w:t>
      </w:r>
      <w:r>
        <w:rPr>
          <w:color w:val="000000"/>
          <w:szCs w:val="28"/>
          <w:lang w:val="en-US"/>
        </w:rPr>
        <w:t>NO</w:t>
      </w:r>
      <w:r>
        <w:rPr>
          <w:color w:val="000000"/>
          <w:szCs w:val="28"/>
          <w:vertAlign w:val="subscript"/>
        </w:rPr>
        <w:t>2</w:t>
      </w:r>
      <w:r>
        <w:rPr>
          <w:color w:val="000000"/>
          <w:szCs w:val="28"/>
        </w:rPr>
        <w:t>С</w:t>
      </w:r>
      <w:r>
        <w:rPr>
          <w:color w:val="000000"/>
          <w:szCs w:val="28"/>
          <w:vertAlign w:val="subscript"/>
        </w:rPr>
        <w:t>6</w:t>
      </w:r>
      <w:r>
        <w:rPr>
          <w:color w:val="000000"/>
          <w:szCs w:val="28"/>
          <w:lang w:val="en-US"/>
        </w:rPr>
        <w:t>H</w:t>
      </w:r>
      <w:r>
        <w:rPr>
          <w:color w:val="000000"/>
          <w:szCs w:val="28"/>
          <w:vertAlign w:val="subscript"/>
        </w:rPr>
        <w:t>4</w:t>
      </w:r>
      <w:r>
        <w:rPr>
          <w:color w:val="000000"/>
          <w:szCs w:val="28"/>
          <w:lang w:val="en-US"/>
        </w:rPr>
        <w:t>N</w:t>
      </w:r>
      <w:r>
        <w:rPr>
          <w:color w:val="000000"/>
          <w:szCs w:val="28"/>
          <w:vertAlign w:val="subscript"/>
        </w:rPr>
        <w:t>2</w:t>
      </w:r>
      <w:r>
        <w:rPr>
          <w:color w:val="000000"/>
          <w:szCs w:val="28"/>
          <w:vertAlign w:val="superscript"/>
        </w:rPr>
        <w:t>+</w:t>
      </w:r>
      <w:r>
        <w:rPr>
          <w:color w:val="000000"/>
          <w:szCs w:val="28"/>
        </w:rPr>
        <w:t xml:space="preserve"> </w:t>
      </w:r>
      <w:r>
        <w:rPr>
          <w:color w:val="000000"/>
          <w:szCs w:val="28"/>
          <w:lang w:val="en-US"/>
        </w:rPr>
        <w:t>TsO</w:t>
      </w:r>
      <w:r>
        <w:rPr>
          <w:color w:val="000000"/>
          <w:szCs w:val="28"/>
          <w:vertAlign w:val="superscript"/>
        </w:rPr>
        <w:t>-</w:t>
      </w:r>
      <w:r>
        <w:rPr>
          <w:color w:val="000000"/>
          <w:szCs w:val="28"/>
        </w:rPr>
        <w:t xml:space="preserve">  </w:t>
      </w:r>
      <w:r>
        <w:rPr>
          <w:b/>
          <w:bCs/>
          <w:color w:val="000000"/>
          <w:szCs w:val="28"/>
        </w:rPr>
        <w:t>2</w:t>
      </w:r>
      <w:r>
        <w:rPr/>
        <w:t xml:space="preserve"> методом </w:t>
      </w:r>
      <w:r>
        <w:rPr>
          <w:lang w:val="en-US"/>
        </w:rPr>
        <w:t>DSC</w:t>
      </w:r>
      <w:r>
        <w:rPr/>
        <w:t>/</w:t>
      </w:r>
      <w:r>
        <w:rPr>
          <w:lang w:val="en-US"/>
        </w:rPr>
        <w:t>TGA</w:t>
      </w:r>
    </w:p>
    <w:p>
      <w:pPr>
        <w:pStyle w:val="Normal"/>
        <w:ind w:hanging="0"/>
        <w:jc w:val="center"/>
        <w:rPr/>
      </w:pPr>
      <w:r>
        <w:rPr/>
      </w:r>
    </w:p>
    <w:p>
      <w:pPr>
        <w:pStyle w:val="Normal"/>
        <w:ind w:hanging="0"/>
        <w:jc w:val="center"/>
        <w:rPr/>
      </w:pPr>
      <w:r>
        <w:rPr/>
        <w:drawing>
          <wp:inline distT="0" distB="0" distL="0" distR="0">
            <wp:extent cx="5934075" cy="4217035"/>
            <wp:effectExtent l="0" t="0" r="0" b="0"/>
            <wp:docPr id="13"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2" descr=""/>
                    <pic:cNvPicPr>
                      <a:picLocks noChangeAspect="1" noChangeArrowheads="1"/>
                    </pic:cNvPicPr>
                  </pic:nvPicPr>
                  <pic:blipFill>
                    <a:blip r:embed="rId15"/>
                    <a:stretch>
                      <a:fillRect/>
                    </a:stretch>
                  </pic:blipFill>
                  <pic:spPr bwMode="auto">
                    <a:xfrm>
                      <a:off x="0" y="0"/>
                      <a:ext cx="5934075" cy="4217035"/>
                    </a:xfrm>
                    <a:prstGeom prst="rect">
                      <a:avLst/>
                    </a:prstGeom>
                  </pic:spPr>
                </pic:pic>
              </a:graphicData>
            </a:graphic>
          </wp:inline>
        </w:drawing>
      </w:r>
    </w:p>
    <w:p>
      <w:pPr>
        <w:pStyle w:val="Normal"/>
        <w:spacing w:before="0" w:after="113"/>
        <w:ind w:hanging="0"/>
        <w:jc w:val="center"/>
        <w:rPr/>
      </w:pPr>
      <w:r>
        <w:rPr/>
        <w:t xml:space="preserve">Рисунок 6. Термическое разложение соли </w:t>
      </w:r>
      <w:r>
        <w:rPr>
          <w:color w:val="000000"/>
          <w:szCs w:val="28"/>
        </w:rPr>
        <w:t>4-</w:t>
      </w:r>
      <w:r>
        <w:rPr>
          <w:color w:val="000000"/>
          <w:szCs w:val="28"/>
          <w:lang w:val="en-US"/>
        </w:rPr>
        <w:t>NO</w:t>
      </w:r>
      <w:r>
        <w:rPr>
          <w:color w:val="000000"/>
          <w:szCs w:val="28"/>
          <w:vertAlign w:val="subscript"/>
        </w:rPr>
        <w:t>2</w:t>
      </w:r>
      <w:r>
        <w:rPr>
          <w:color w:val="000000"/>
          <w:szCs w:val="28"/>
        </w:rPr>
        <w:t>С</w:t>
      </w:r>
      <w:r>
        <w:rPr>
          <w:color w:val="000000"/>
          <w:szCs w:val="28"/>
          <w:vertAlign w:val="subscript"/>
        </w:rPr>
        <w:t>6</w:t>
      </w:r>
      <w:r>
        <w:rPr>
          <w:color w:val="000000"/>
          <w:szCs w:val="28"/>
          <w:lang w:val="en-US"/>
        </w:rPr>
        <w:t>H</w:t>
      </w:r>
      <w:r>
        <w:rPr>
          <w:color w:val="000000"/>
          <w:szCs w:val="28"/>
          <w:vertAlign w:val="subscript"/>
        </w:rPr>
        <w:t>4</w:t>
      </w:r>
      <w:r>
        <w:rPr>
          <w:color w:val="000000"/>
          <w:szCs w:val="28"/>
          <w:lang w:val="en-US"/>
        </w:rPr>
        <w:t>N</w:t>
      </w:r>
      <w:r>
        <w:rPr>
          <w:color w:val="000000"/>
          <w:szCs w:val="28"/>
          <w:vertAlign w:val="subscript"/>
        </w:rPr>
        <w:t>2</w:t>
      </w:r>
      <w:r>
        <w:rPr>
          <w:color w:val="000000"/>
          <w:szCs w:val="28"/>
          <w:vertAlign w:val="superscript"/>
        </w:rPr>
        <w:t>+</w:t>
      </w:r>
      <w:r>
        <w:rPr>
          <w:color w:val="000000"/>
          <w:szCs w:val="28"/>
        </w:rPr>
        <w:t xml:space="preserve"> </w:t>
      </w:r>
      <w:r>
        <w:rPr>
          <w:color w:val="000000"/>
          <w:szCs w:val="28"/>
          <w:lang w:val="en-US"/>
        </w:rPr>
        <w:t>BF</w:t>
      </w:r>
      <w:r>
        <w:rPr>
          <w:color w:val="000000"/>
          <w:szCs w:val="28"/>
          <w:vertAlign w:val="subscript"/>
        </w:rPr>
        <w:t>4</w:t>
      </w:r>
      <w:r>
        <w:rPr>
          <w:color w:val="000000"/>
          <w:szCs w:val="28"/>
          <w:vertAlign w:val="superscript"/>
        </w:rPr>
        <w:t>-</w:t>
      </w:r>
      <w:r>
        <w:rPr>
          <w:color w:val="000000"/>
          <w:szCs w:val="28"/>
        </w:rPr>
        <w:t xml:space="preserve">  </w:t>
      </w:r>
      <w:r>
        <w:rPr>
          <w:b/>
          <w:bCs/>
          <w:color w:val="000000"/>
          <w:szCs w:val="28"/>
        </w:rPr>
        <w:t>3</w:t>
      </w:r>
      <w:r>
        <w:rPr/>
        <w:t xml:space="preserve"> методом </w:t>
      </w:r>
      <w:r>
        <w:rPr>
          <w:lang w:val="en-US"/>
        </w:rPr>
        <w:t>DSC</w:t>
      </w:r>
      <w:r>
        <w:rPr/>
        <w:t>/</w:t>
      </w:r>
      <w:r>
        <w:rPr>
          <w:lang w:val="en-US"/>
        </w:rPr>
        <w:t>TGA</w:t>
      </w:r>
    </w:p>
    <w:p>
      <w:pPr>
        <w:pStyle w:val="Normal"/>
        <w:ind w:firstLine="567"/>
        <w:rPr/>
      </w:pPr>
      <w:r>
        <w:rPr/>
        <w:t xml:space="preserve">С позиций оценки безопасности наиболее практически важны экзотермические эффекты термического разложения диазониевых солей </w:t>
      </w:r>
      <w:r>
        <w:rPr>
          <w:b/>
          <w:bCs/>
        </w:rPr>
        <w:t xml:space="preserve">1-3 </w:t>
      </w:r>
      <w:r>
        <w:rPr>
          <w:rFonts w:eastAsia="Symbol" w:cs="Symbol" w:ascii="Symbol" w:hAnsi="Symbol"/>
        </w:rPr>
        <w:t></w:t>
      </w:r>
      <w:r>
        <w:rPr/>
        <w:t>H</w:t>
      </w:r>
      <w:r>
        <w:rPr>
          <w:vertAlign w:val="subscript"/>
        </w:rPr>
        <w:t>exoterm</w:t>
      </w:r>
      <w:r>
        <w:rPr/>
        <w:t xml:space="preserve">.  Как можно видеть из таблицы 1, эти эффекты сильно зависят от природы и положения заместителя в бензольном ядре и отчасти от природы противоионов. Среди солей </w:t>
      </w:r>
      <w:r>
        <w:rPr>
          <w:b/>
          <w:bCs/>
        </w:rPr>
        <w:t>1</w:t>
      </w:r>
      <w:r>
        <w:rPr>
          <w:b/>
          <w:bCs/>
          <w:lang w:val="en-US"/>
        </w:rPr>
        <w:t>a</w:t>
      </w:r>
      <w:r>
        <w:rPr>
          <w:b/>
          <w:bCs/>
        </w:rPr>
        <w:t>-</w:t>
      </w:r>
      <w:r>
        <w:rPr>
          <w:b/>
          <w:bCs/>
          <w:lang w:val="en-US"/>
        </w:rPr>
        <w:t>d</w:t>
      </w:r>
      <w:r>
        <w:rPr/>
        <w:t xml:space="preserve"> с трифлатным противоионом выделение  энергии при разложении максимально для 3-нитро-производного </w:t>
      </w:r>
      <w:r>
        <w:rPr>
          <w:b/>
          <w:bCs/>
        </w:rPr>
        <w:t>1</w:t>
      </w:r>
      <w:r>
        <w:rPr>
          <w:b/>
          <w:bCs/>
          <w:lang w:val="en-US"/>
        </w:rPr>
        <w:t>b</w:t>
      </w:r>
      <w:r>
        <w:rPr/>
        <w:t xml:space="preserve"> и заметно падает в ряду </w:t>
      </w:r>
      <w:r>
        <w:rPr>
          <w:b/>
          <w:bCs/>
        </w:rPr>
        <w:t>1</w:t>
      </w:r>
      <w:r>
        <w:rPr>
          <w:b/>
          <w:bCs/>
          <w:lang w:val="en-US"/>
        </w:rPr>
        <w:t>b</w:t>
      </w:r>
      <w:r>
        <w:rPr/>
        <w:t xml:space="preserve"> &gt; </w:t>
      </w:r>
      <w:r>
        <w:rPr>
          <w:b/>
          <w:bCs/>
        </w:rPr>
        <w:t>1</w:t>
      </w:r>
      <w:r>
        <w:rPr>
          <w:b/>
          <w:bCs/>
          <w:lang w:val="en-US"/>
        </w:rPr>
        <w:t>a</w:t>
      </w:r>
      <w:r>
        <w:rPr/>
        <w:t xml:space="preserve"> &gt; </w:t>
      </w:r>
      <w:r>
        <w:rPr>
          <w:b/>
          <w:bCs/>
        </w:rPr>
        <w:t>1</w:t>
      </w:r>
      <w:r>
        <w:rPr>
          <w:b/>
          <w:bCs/>
          <w:lang w:val="en-US"/>
        </w:rPr>
        <w:t>d</w:t>
      </w:r>
      <w:r>
        <w:rPr/>
        <w:t xml:space="preserve"> &gt; </w:t>
      </w:r>
      <w:r>
        <w:rPr>
          <w:b/>
          <w:bCs/>
        </w:rPr>
        <w:t>1</w:t>
      </w:r>
      <w:r>
        <w:rPr>
          <w:b/>
          <w:bCs/>
          <w:lang w:val="en-US"/>
        </w:rPr>
        <w:t>c</w:t>
      </w:r>
      <w:r>
        <w:rPr/>
        <w:t xml:space="preserve">. Влияние природы противоионов на экзотермичность разложения в ряду солей </w:t>
      </w:r>
      <w:r>
        <w:rPr>
          <w:b/>
          <w:bCs/>
        </w:rPr>
        <w:t>1</w:t>
      </w:r>
      <w:r>
        <w:rPr>
          <w:b/>
          <w:bCs/>
          <w:lang w:val="en-US"/>
        </w:rPr>
        <w:t>c</w:t>
      </w:r>
      <w:r>
        <w:rPr/>
        <w:t xml:space="preserve">, </w:t>
      </w:r>
      <w:r>
        <w:rPr>
          <w:b/>
          <w:bCs/>
        </w:rPr>
        <w:t>2</w:t>
      </w:r>
      <w:r>
        <w:rPr/>
        <w:t xml:space="preserve"> и </w:t>
      </w:r>
      <w:r>
        <w:rPr>
          <w:b/>
          <w:bCs/>
        </w:rPr>
        <w:t>3</w:t>
      </w:r>
      <w:r>
        <w:rPr/>
        <w:t xml:space="preserve"> с различными противоионами и одинаковым 4-нитробензолдиазоний катионом падает в ряду </w:t>
      </w:r>
      <w:r>
        <w:rPr>
          <w:b/>
          <w:bCs/>
        </w:rPr>
        <w:t>2</w:t>
      </w:r>
      <w:r>
        <w:rPr/>
        <w:t xml:space="preserve"> &gt; </w:t>
      </w:r>
      <w:r>
        <w:rPr>
          <w:b/>
          <w:bCs/>
        </w:rPr>
        <w:t>1</w:t>
      </w:r>
      <w:r>
        <w:rPr>
          <w:b/>
          <w:bCs/>
          <w:lang w:val="en-US"/>
        </w:rPr>
        <w:t>c</w:t>
      </w:r>
      <w:r>
        <w:rPr/>
        <w:t xml:space="preserve"> </w:t>
      </w:r>
      <w:r>
        <w:rPr>
          <w:rFonts w:cs="Times New Roman" w:ascii="Times New Roman" w:hAnsi="Times New Roman"/>
        </w:rPr>
        <w:t>≈</w:t>
      </w:r>
      <w:r>
        <w:rPr/>
        <w:t xml:space="preserve"> </w:t>
      </w:r>
      <w:r>
        <w:rPr>
          <w:b/>
          <w:bCs/>
        </w:rPr>
        <w:t>3</w:t>
      </w:r>
      <w:r>
        <w:rPr/>
        <w:t xml:space="preserve">,  т.е. наибольшее тепловыделение имеет место в случае </w:t>
      </w:r>
      <w:r>
        <w:rPr>
          <w:lang w:val="en-US"/>
        </w:rPr>
        <w:t>TsO</w:t>
      </w:r>
      <w:r>
        <w:rPr>
          <w:vertAlign w:val="superscript"/>
        </w:rPr>
        <w:t>-</w:t>
      </w:r>
      <w:r>
        <w:rPr/>
        <w:t xml:space="preserve"> противоиона, хотя изменение природы противоионов влияет на изменения экзотермического разложения существенно меньше, чем положение и тип заместителей в бензольном ядре.  </w:t>
      </w:r>
    </w:p>
    <w:p>
      <w:pPr>
        <w:pStyle w:val="2"/>
        <w:numPr>
          <w:ilvl w:val="1"/>
          <w:numId w:val="2"/>
        </w:numPr>
        <w:ind w:left="0" w:firstLine="397"/>
        <w:rPr/>
      </w:pPr>
      <w:r>
        <w:rPr/>
        <w:t>Изотермическая потоковая калориметрия</w:t>
      </w:r>
    </w:p>
    <w:p>
      <w:pPr>
        <w:pStyle w:val="Style20"/>
        <w:rPr/>
      </w:pPr>
      <w:r>
        <w:rPr/>
        <w:t xml:space="preserve">Известно, что на устойчивость </w:t>
      </w:r>
      <w:r>
        <w:rPr>
          <w:lang w:val="en-US"/>
        </w:rPr>
        <w:t>DS</w:t>
      </w:r>
      <w:r>
        <w:rPr/>
        <w:t xml:space="preserve"> влияет наличие примесей, которые часто не контролируются обычными аналитическими методами [1</w:t>
      </w:r>
      <w:r>
        <w:rPr>
          <w:lang w:val="en-US"/>
        </w:rPr>
        <w:t>a</w:t>
      </w:r>
      <w:r>
        <w:rPr/>
        <w:t xml:space="preserve">, 7a]. На примере </w:t>
      </w:r>
      <w:r>
        <w:rPr>
          <w:rFonts w:cs="Times New Roman" w:ascii="Times New Roman" w:hAnsi="Times New Roman"/>
          <w:lang w:val="en-US"/>
        </w:rPr>
        <w:t>ADT</w:t>
      </w:r>
      <w:r>
        <w:rPr>
          <w:rFonts w:cs="Times New Roman" w:ascii="Times New Roman" w:hAnsi="Times New Roman"/>
        </w:rPr>
        <w:t>S</w:t>
      </w:r>
      <w:r>
        <w:rPr/>
        <w:t xml:space="preserve"> </w:t>
      </w:r>
      <w:r>
        <w:rPr>
          <w:b/>
          <w:bCs/>
        </w:rPr>
        <w:t>2</w:t>
      </w:r>
      <w:r>
        <w:rPr/>
        <w:t xml:space="preserve"> мы определили интегральную энтальпию, величины начального и максимального тепловых потоков, константы скорости, и начальные концентрации продукта аппроксимированные по уравнению 2 для изотермического разложения образцов (Sample) трех синтетических партий, полученных в идентичных условиях (samples 1-3), а также образцов, очищенных однократным и двукратным (</w:t>
      </w:r>
      <w:r>
        <w:rPr>
          <w:lang w:val="en-US"/>
        </w:rPr>
        <w:t>repricipitation</w:t>
      </w:r>
      <w:r>
        <w:rPr/>
        <w:t xml:space="preserve"> 1 </w:t>
      </w:r>
      <w:r>
        <w:rPr>
          <w:lang w:val="en-US"/>
        </w:rPr>
        <w:t>and</w:t>
      </w:r>
      <w:r>
        <w:rPr/>
        <w:t xml:space="preserve"> 2) осаждением образца 3 из растворов в уксусной кислоте эфиром. Также изучено разложение образцов при заполнении ампул азотом, аргоном и воздухом. Полученные результаты, представленные в таблице 2, показывают, что измерения воспроизводимы и в пределах статистически достоверных различий не зависят от источника образца, хотя существует тенденция снижения величины начального теплового потока в зависимости от числа переосаждений, различия между первым и вторым переосаждением минимальны. Не замечено </w:t>
      </w:r>
      <w:r>
        <w:rPr>
          <w:color w:val="00000A"/>
        </w:rPr>
        <w:t>качественных и статистически значимых</w:t>
      </w:r>
      <w:r>
        <w:rPr/>
        <w:t xml:space="preserve"> различий для проведения разложения в атмосфере азота, воздуха и аргона. Дальнейшие исследования </w:t>
      </w:r>
      <w:r>
        <w:rPr>
          <w:rFonts w:eastAsia="Times New Roman" w:cs="Times New Roman"/>
        </w:rPr>
        <w:t xml:space="preserve">изотермической </w:t>
      </w:r>
      <w:r>
        <w:rPr/>
        <w:t>потоковой калориметрии проводились в атмосфере азота и после однократного переосаждения (r</w:t>
      </w:r>
      <w:r>
        <w:rPr>
          <w:lang w:val="en-US"/>
        </w:rPr>
        <w:t>epricipitation</w:t>
      </w:r>
      <w:r>
        <w:rPr/>
        <w:t>) исходных ДС. Среднестатистическое отклонение (RMD) для величин констант скорости (в соответствии с уравнением 2) и энтальпии составляет 5%.</w:t>
      </w:r>
    </w:p>
    <w:p>
      <w:pPr>
        <w:pStyle w:val="Normal"/>
        <w:jc w:val="right"/>
        <w:rPr/>
      </w:pPr>
      <w:r>
        <w:rPr/>
        <w:t xml:space="preserve">Таблица 2. </w:t>
      </w:r>
    </w:p>
    <w:p>
      <w:pPr>
        <w:pStyle w:val="Normal"/>
        <w:ind w:hanging="0"/>
        <w:jc w:val="center"/>
        <w:rPr/>
      </w:pPr>
      <w:r>
        <w:rPr>
          <w:color w:val="000000"/>
        </w:rPr>
        <w:t xml:space="preserve">Воспроизводимость </w:t>
      </w:r>
      <w:r>
        <w:rPr/>
        <w:t xml:space="preserve">результатов изотермического разложения соли </w:t>
      </w:r>
      <w:r>
        <w:rPr>
          <w:b/>
        </w:rPr>
        <w:t>2</w:t>
      </w:r>
      <w:r>
        <w:rPr/>
        <w:t xml:space="preserve"> в </w:t>
      </w:r>
    </w:p>
    <w:p>
      <w:pPr>
        <w:pStyle w:val="Normal"/>
        <w:ind w:hanging="0"/>
        <w:jc w:val="center"/>
        <w:rPr/>
      </w:pPr>
      <w:r>
        <w:rPr/>
        <w:t>зависимости от полученной партии и числа переосаждений при температуре 85 </w:t>
      </w:r>
      <w:r>
        <w:rPr>
          <w:rFonts w:cs="Times New Roman" w:ascii="Times New Roman" w:hAnsi="Times New Roman"/>
          <w:vertAlign w:val="superscript"/>
        </w:rPr>
        <w:t>o</w:t>
      </w:r>
      <w:r>
        <w:rPr/>
        <w:t>С</w:t>
      </w:r>
    </w:p>
    <w:p>
      <w:pPr>
        <w:pStyle w:val="Normal"/>
        <w:ind w:hanging="0"/>
        <w:jc w:val="center"/>
        <w:rPr/>
      </w:pPr>
      <w:r>
        <w:rPr/>
        <w:t>(где k - константа скорости, С</w:t>
      </w:r>
      <w:r>
        <w:rPr>
          <w:vertAlign w:val="subscript"/>
        </w:rPr>
        <w:t>0</w:t>
      </w:r>
      <w:r>
        <w:rPr/>
        <w:t xml:space="preserve"> — начальная концентрация продукта по уравнению 2, </w:t>
      </w:r>
    </w:p>
    <w:p>
      <w:pPr>
        <w:pStyle w:val="Normal"/>
        <w:ind w:hanging="0"/>
        <w:jc w:val="center"/>
        <w:rPr/>
      </w:pPr>
      <w:r>
        <w:rPr>
          <w:rFonts w:ascii="Symbol" w:hAnsi="Symbol"/>
          <w:sz w:val="16"/>
          <w:szCs w:val="16"/>
        </w:rPr>
        <w:t></w:t>
      </w:r>
      <w:r>
        <w:rPr/>
        <w:t>H - интегральная энтальпия, P</w:t>
      </w:r>
      <w:r>
        <w:rPr>
          <w:vertAlign w:val="subscript"/>
        </w:rPr>
        <w:t>0</w:t>
      </w:r>
      <w:r>
        <w:rPr/>
        <w:t xml:space="preserve"> — величина начального теплового потока) </w:t>
      </w:r>
    </w:p>
    <w:tbl>
      <w:tblPr>
        <w:tblW w:w="4750" w:type="pct"/>
        <w:jc w:val="center"/>
        <w:tblInd w:w="0" w:type="dxa"/>
        <w:tblBorders>
          <w:top w:val="single" w:sz="2" w:space="0" w:color="000001"/>
          <w:left w:val="single" w:sz="2" w:space="0" w:color="000001"/>
          <w:bottom w:val="single" w:sz="2" w:space="0" w:color="000001"/>
          <w:insideH w:val="single" w:sz="2" w:space="0" w:color="000001"/>
        </w:tblBorders>
        <w:tblCellMar>
          <w:top w:w="55" w:type="dxa"/>
          <w:left w:w="56" w:type="dxa"/>
          <w:bottom w:w="55" w:type="dxa"/>
          <w:right w:w="55" w:type="dxa"/>
        </w:tblCellMar>
        <w:tblLook w:val="0000" w:noVBand="0" w:noHBand="0" w:lastColumn="0" w:firstColumn="0" w:lastRow="0" w:firstRow="0"/>
      </w:tblPr>
      <w:tblGrid>
        <w:gridCol w:w="4363"/>
        <w:gridCol w:w="1926"/>
        <w:gridCol w:w="1475"/>
        <w:gridCol w:w="1391"/>
      </w:tblGrid>
      <w:tr>
        <w:trPr/>
        <w:tc>
          <w:tcPr>
            <w:tcW w:w="4363" w:type="dxa"/>
            <w:tcBorders>
              <w:top w:val="single" w:sz="2" w:space="0" w:color="000001"/>
              <w:left w:val="single" w:sz="2" w:space="0" w:color="000001"/>
              <w:bottom w:val="single" w:sz="2" w:space="0" w:color="000001"/>
              <w:insideH w:val="single" w:sz="2" w:space="0" w:color="000001"/>
            </w:tcBorders>
            <w:shd w:color="auto" w:fill="auto" w:val="clear"/>
            <w:tcMar>
              <w:left w:w="56" w:type="dxa"/>
            </w:tcMar>
            <w:vAlign w:val="center"/>
          </w:tcPr>
          <w:p>
            <w:pPr>
              <w:pStyle w:val="Style24"/>
              <w:ind w:hanging="0"/>
              <w:jc w:val="center"/>
              <w:rPr>
                <w:rFonts w:ascii="Free Times" w:hAnsi="Free Times" w:cs="Arial"/>
                <w:b/>
                <w:b/>
                <w:sz w:val="22"/>
                <w:szCs w:val="22"/>
              </w:rPr>
            </w:pPr>
            <w:r>
              <w:rPr>
                <w:rFonts w:cs="Arial" w:ascii="Free Times" w:hAnsi="Free Times"/>
                <w:b/>
                <w:sz w:val="22"/>
                <w:szCs w:val="22"/>
              </w:rPr>
              <w:t>Sample</w:t>
            </w:r>
          </w:p>
        </w:tc>
        <w:tc>
          <w:tcPr>
            <w:tcW w:w="1926" w:type="dxa"/>
            <w:tcBorders>
              <w:top w:val="single" w:sz="2" w:space="0" w:color="000001"/>
              <w:left w:val="single" w:sz="2" w:space="0" w:color="000001"/>
              <w:bottom w:val="single" w:sz="2" w:space="0" w:color="000001"/>
              <w:insideH w:val="single" w:sz="2" w:space="0" w:color="000001"/>
            </w:tcBorders>
            <w:shd w:color="auto" w:fill="auto" w:val="clear"/>
            <w:tcMar>
              <w:left w:w="56" w:type="dxa"/>
            </w:tcMar>
            <w:vAlign w:val="center"/>
          </w:tcPr>
          <w:p>
            <w:pPr>
              <w:pStyle w:val="Style24"/>
              <w:ind w:hanging="0"/>
              <w:jc w:val="center"/>
              <w:rPr/>
            </w:pPr>
            <w:r>
              <w:rPr>
                <w:rFonts w:cs="Arial" w:ascii="Free Times" w:hAnsi="Free Times"/>
                <w:b/>
                <w:sz w:val="22"/>
                <w:szCs w:val="22"/>
              </w:rPr>
              <w:t>k, g·mol</w:t>
            </w:r>
            <w:r>
              <w:rPr>
                <w:rFonts w:cs="Arial" w:ascii="Free Times" w:hAnsi="Free Times"/>
                <w:b/>
                <w:sz w:val="22"/>
                <w:szCs w:val="22"/>
                <w:vertAlign w:val="superscript"/>
              </w:rPr>
              <w:t>-1</w:t>
            </w:r>
            <w:r>
              <w:rPr>
                <w:rFonts w:cs="Arial" w:ascii="Free Times" w:hAnsi="Free Times"/>
                <w:b/>
                <w:sz w:val="22"/>
                <w:szCs w:val="22"/>
              </w:rPr>
              <w:t>·с</w:t>
            </w:r>
            <w:r>
              <w:rPr>
                <w:rFonts w:cs="Arial" w:ascii="Free Times" w:hAnsi="Free Times"/>
                <w:b/>
                <w:sz w:val="22"/>
                <w:szCs w:val="22"/>
                <w:vertAlign w:val="superscript"/>
              </w:rPr>
              <w:t>-1</w:t>
            </w:r>
          </w:p>
        </w:tc>
        <w:tc>
          <w:tcPr>
            <w:tcW w:w="1475" w:type="dxa"/>
            <w:tcBorders>
              <w:top w:val="single" w:sz="2" w:space="0" w:color="000001"/>
              <w:left w:val="single" w:sz="2" w:space="0" w:color="000001"/>
              <w:bottom w:val="single" w:sz="2" w:space="0" w:color="000001"/>
              <w:insideH w:val="single" w:sz="2" w:space="0" w:color="000001"/>
            </w:tcBorders>
            <w:shd w:color="auto" w:fill="auto" w:val="clear"/>
            <w:tcMar>
              <w:left w:w="56" w:type="dxa"/>
            </w:tcMar>
            <w:vAlign w:val="center"/>
          </w:tcPr>
          <w:p>
            <w:pPr>
              <w:pStyle w:val="Style24"/>
              <w:ind w:hanging="0"/>
              <w:jc w:val="center"/>
              <w:rPr/>
            </w:pPr>
            <w:r>
              <w:rPr>
                <w:rFonts w:cs="Arial" w:ascii="Symbol" w:hAnsi="Symbol"/>
                <w:b/>
                <w:sz w:val="16"/>
                <w:szCs w:val="16"/>
              </w:rPr>
              <w:t></w:t>
            </w:r>
            <w:r>
              <w:rPr>
                <w:rFonts w:cs="Arial" w:ascii="Free Times" w:hAnsi="Free Times"/>
                <w:b/>
                <w:sz w:val="22"/>
                <w:szCs w:val="22"/>
              </w:rPr>
              <w:t>H, kJ·mol</w:t>
            </w:r>
            <w:r>
              <w:rPr>
                <w:rFonts w:cs="Arial" w:ascii="Free Times" w:hAnsi="Free Times"/>
                <w:b/>
                <w:sz w:val="22"/>
                <w:szCs w:val="22"/>
                <w:vertAlign w:val="superscript"/>
              </w:rPr>
              <w:t>-1</w:t>
            </w:r>
            <w:r>
              <w:rPr>
                <w:rFonts w:cs="Arial" w:ascii="Free Times" w:hAnsi="Free Times"/>
                <w:b/>
                <w:sz w:val="22"/>
                <w:szCs w:val="22"/>
              </w:rPr>
              <w:t xml:space="preserve"> </w:t>
            </w:r>
          </w:p>
        </w:tc>
        <w:tc>
          <w:tcPr>
            <w:tcW w:w="13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6" w:type="dxa"/>
            </w:tcMar>
            <w:vAlign w:val="center"/>
          </w:tcPr>
          <w:p>
            <w:pPr>
              <w:pStyle w:val="Style24"/>
              <w:ind w:hanging="0"/>
              <w:jc w:val="center"/>
              <w:rPr/>
            </w:pPr>
            <w:r>
              <w:rPr>
                <w:rFonts w:cs="Arial" w:ascii="Free Times" w:hAnsi="Free Times"/>
                <w:b/>
                <w:sz w:val="22"/>
                <w:szCs w:val="22"/>
              </w:rPr>
              <w:t>P</w:t>
            </w:r>
            <w:r>
              <w:rPr>
                <w:rFonts w:cs="Arial" w:ascii="Free Times" w:hAnsi="Free Times"/>
                <w:b/>
                <w:sz w:val="22"/>
                <w:szCs w:val="22"/>
                <w:vertAlign w:val="subscript"/>
              </w:rPr>
              <w:t>0</w:t>
            </w:r>
            <w:r>
              <w:rPr>
                <w:rFonts w:cs="Arial" w:ascii="Free Times" w:hAnsi="Free Times"/>
                <w:b/>
                <w:sz w:val="22"/>
                <w:szCs w:val="22"/>
              </w:rPr>
              <w:t>,</w:t>
            </w:r>
            <w:r>
              <w:rPr>
                <w:rFonts w:cs="Arial" w:ascii="Free Times" w:hAnsi="Free Times"/>
                <w:b/>
                <w:sz w:val="22"/>
                <w:szCs w:val="22"/>
                <w:vertAlign w:val="subscript"/>
              </w:rPr>
              <w:t xml:space="preserve"> </w:t>
            </w:r>
            <w:r>
              <w:rPr>
                <w:rFonts w:cs="Times New Roman" w:ascii="Free Times" w:hAnsi="Free Times"/>
                <w:b/>
                <w:sz w:val="22"/>
                <w:szCs w:val="22"/>
              </w:rPr>
              <w:t>mW/g</w:t>
            </w:r>
          </w:p>
        </w:tc>
      </w:tr>
      <w:tr>
        <w:trPr/>
        <w:tc>
          <w:tcPr>
            <w:tcW w:w="4363" w:type="dxa"/>
            <w:tcBorders>
              <w:top w:val="single" w:sz="2" w:space="0" w:color="000001"/>
              <w:left w:val="single" w:sz="2" w:space="0" w:color="000001"/>
              <w:bottom w:val="single" w:sz="2" w:space="0" w:color="000001"/>
              <w:insideH w:val="single" w:sz="2" w:space="0" w:color="000001"/>
            </w:tcBorders>
            <w:shd w:color="auto" w:fill="auto" w:val="clear"/>
            <w:tcMar>
              <w:left w:w="58" w:type="dxa"/>
            </w:tcMar>
            <w:vAlign w:val="center"/>
          </w:tcPr>
          <w:p>
            <w:pPr>
              <w:pStyle w:val="Style24"/>
              <w:spacing w:lineRule="auto" w:line="240"/>
              <w:ind w:hanging="0"/>
              <w:jc w:val="center"/>
              <w:rPr>
                <w:rFonts w:ascii="Free Times" w:hAnsi="Free Times" w:cs="Arial"/>
                <w:sz w:val="4"/>
                <w:szCs w:val="4"/>
              </w:rPr>
            </w:pPr>
            <w:r>
              <w:rPr>
                <w:rFonts w:cs="Arial" w:ascii="Free Times" w:hAnsi="Free Times"/>
                <w:sz w:val="4"/>
                <w:szCs w:val="4"/>
              </w:rPr>
            </w:r>
          </w:p>
        </w:tc>
        <w:tc>
          <w:tcPr>
            <w:tcW w:w="1926" w:type="dxa"/>
            <w:tcBorders>
              <w:top w:val="single" w:sz="2" w:space="0" w:color="000001"/>
              <w:bottom w:val="single" w:sz="2" w:space="0" w:color="000001"/>
              <w:insideH w:val="single" w:sz="2" w:space="0" w:color="000001"/>
            </w:tcBorders>
            <w:shd w:color="auto" w:fill="auto" w:val="clear"/>
            <w:tcMar>
              <w:left w:w="61" w:type="dxa"/>
            </w:tcMar>
            <w:vAlign w:val="center"/>
          </w:tcPr>
          <w:p>
            <w:pPr>
              <w:pStyle w:val="Style24"/>
              <w:spacing w:lineRule="auto" w:line="240"/>
              <w:ind w:hanging="0"/>
              <w:jc w:val="center"/>
              <w:rPr>
                <w:rFonts w:ascii="Free Times" w:hAnsi="Free Times" w:cs="Arial"/>
                <w:sz w:val="4"/>
                <w:szCs w:val="4"/>
              </w:rPr>
            </w:pPr>
            <w:r>
              <w:rPr>
                <w:rFonts w:cs="Arial" w:ascii="Free Times" w:hAnsi="Free Times"/>
                <w:sz w:val="4"/>
                <w:szCs w:val="4"/>
              </w:rPr>
            </w:r>
          </w:p>
        </w:tc>
        <w:tc>
          <w:tcPr>
            <w:tcW w:w="1475" w:type="dxa"/>
            <w:tcBorders>
              <w:top w:val="single" w:sz="2" w:space="0" w:color="000001"/>
              <w:bottom w:val="single" w:sz="2" w:space="0" w:color="000001"/>
              <w:insideH w:val="single" w:sz="2" w:space="0" w:color="000001"/>
            </w:tcBorders>
            <w:shd w:color="auto" w:fill="auto" w:val="clear"/>
            <w:tcMar>
              <w:left w:w="61" w:type="dxa"/>
            </w:tcMar>
            <w:vAlign w:val="center"/>
          </w:tcPr>
          <w:p>
            <w:pPr>
              <w:pStyle w:val="Style24"/>
              <w:spacing w:lineRule="auto" w:line="240"/>
              <w:ind w:hanging="0"/>
              <w:jc w:val="center"/>
              <w:rPr>
                <w:rFonts w:ascii="Free Times" w:hAnsi="Free Times" w:cs="Arial"/>
                <w:sz w:val="4"/>
                <w:szCs w:val="4"/>
              </w:rPr>
            </w:pPr>
            <w:r>
              <w:rPr>
                <w:rFonts w:cs="Arial" w:ascii="Free Times" w:hAnsi="Free Times"/>
                <w:sz w:val="4"/>
                <w:szCs w:val="4"/>
              </w:rPr>
            </w:r>
          </w:p>
        </w:tc>
        <w:tc>
          <w:tcPr>
            <w:tcW w:w="1391" w:type="dxa"/>
            <w:tcBorders>
              <w:top w:val="single" w:sz="2" w:space="0" w:color="000001"/>
              <w:bottom w:val="single" w:sz="2" w:space="0" w:color="000001"/>
              <w:insideH w:val="single" w:sz="2" w:space="0" w:color="000001"/>
            </w:tcBorders>
            <w:shd w:color="auto" w:fill="auto" w:val="clear"/>
            <w:tcMar>
              <w:left w:w="61" w:type="dxa"/>
            </w:tcMar>
            <w:vAlign w:val="center"/>
          </w:tcPr>
          <w:p>
            <w:pPr>
              <w:pStyle w:val="Style24"/>
              <w:spacing w:lineRule="auto" w:line="240"/>
              <w:ind w:hanging="0"/>
              <w:jc w:val="center"/>
              <w:rPr>
                <w:rFonts w:ascii="Free Times" w:hAnsi="Free Times" w:cs="Arial"/>
                <w:sz w:val="4"/>
                <w:szCs w:val="4"/>
              </w:rPr>
            </w:pPr>
            <w:r>
              <w:rPr>
                <w:rFonts w:cs="Arial" w:ascii="Free Times" w:hAnsi="Free Times"/>
                <w:sz w:val="4"/>
                <w:szCs w:val="4"/>
              </w:rPr>
            </w:r>
          </w:p>
        </w:tc>
      </w:tr>
      <w:tr>
        <w:trPr/>
        <w:tc>
          <w:tcPr>
            <w:tcW w:w="4363" w:type="dxa"/>
            <w:tcBorders>
              <w:top w:val="single" w:sz="2" w:space="0" w:color="000001"/>
              <w:left w:val="single" w:sz="2" w:space="0" w:color="000001"/>
              <w:bottom w:val="single" w:sz="2" w:space="0" w:color="000001"/>
              <w:insideH w:val="single" w:sz="2" w:space="0" w:color="000001"/>
            </w:tcBorders>
            <w:shd w:color="auto" w:fill="auto" w:val="clear"/>
            <w:tcMar>
              <w:left w:w="56" w:type="dxa"/>
            </w:tcMar>
            <w:vAlign w:val="center"/>
          </w:tcPr>
          <w:p>
            <w:pPr>
              <w:pStyle w:val="Style24"/>
              <w:ind w:hanging="0"/>
              <w:jc w:val="center"/>
              <w:rPr>
                <w:rFonts w:ascii="Free Times" w:hAnsi="Free Times" w:cs="Arial"/>
                <w:sz w:val="22"/>
                <w:szCs w:val="22"/>
              </w:rPr>
            </w:pPr>
            <w:r>
              <w:rPr>
                <w:rFonts w:cs="Arial" w:ascii="Free Times" w:hAnsi="Free Times"/>
                <w:sz w:val="22"/>
                <w:szCs w:val="22"/>
              </w:rPr>
              <w:t>Sample 1 Nitrogen (</w:t>
            </w:r>
            <w:r>
              <w:rPr>
                <w:rFonts w:cs="Arial" w:ascii="Free Times" w:hAnsi="Free Times"/>
                <w:sz w:val="22"/>
                <w:szCs w:val="22"/>
                <w:lang w:val="en-US"/>
              </w:rPr>
              <w:t>repricipitation</w:t>
            </w:r>
            <w:r>
              <w:rPr>
                <w:rFonts w:cs="Arial" w:ascii="Free Times" w:hAnsi="Free Times"/>
                <w:sz w:val="22"/>
                <w:szCs w:val="22"/>
              </w:rPr>
              <w:t xml:space="preserve"> 1)</w:t>
            </w:r>
          </w:p>
        </w:tc>
        <w:tc>
          <w:tcPr>
            <w:tcW w:w="1926" w:type="dxa"/>
            <w:tcBorders>
              <w:top w:val="single" w:sz="2" w:space="0" w:color="000001"/>
              <w:left w:val="single" w:sz="2" w:space="0" w:color="000001"/>
              <w:bottom w:val="single" w:sz="2" w:space="0" w:color="000001"/>
              <w:insideH w:val="single" w:sz="2" w:space="0" w:color="000001"/>
            </w:tcBorders>
            <w:shd w:color="auto" w:fill="auto" w:val="clear"/>
            <w:tcMar>
              <w:left w:w="56" w:type="dxa"/>
            </w:tcMar>
            <w:vAlign w:val="center"/>
          </w:tcPr>
          <w:p>
            <w:pPr>
              <w:pStyle w:val="Style24"/>
              <w:ind w:hanging="0"/>
              <w:jc w:val="center"/>
              <w:rPr>
                <w:rFonts w:ascii="Free Times" w:hAnsi="Free Times" w:cs="Arial"/>
                <w:sz w:val="22"/>
                <w:szCs w:val="22"/>
              </w:rPr>
            </w:pPr>
            <w:r>
              <w:rPr>
                <w:rFonts w:cs="Arial" w:ascii="Free Times" w:hAnsi="Free Times"/>
                <w:sz w:val="22"/>
                <w:szCs w:val="22"/>
              </w:rPr>
              <w:t>0.0875 ± 0.0117</w:t>
            </w:r>
          </w:p>
        </w:tc>
        <w:tc>
          <w:tcPr>
            <w:tcW w:w="1475" w:type="dxa"/>
            <w:tcBorders>
              <w:top w:val="single" w:sz="2" w:space="0" w:color="000001"/>
              <w:left w:val="single" w:sz="2" w:space="0" w:color="000001"/>
              <w:bottom w:val="single" w:sz="2" w:space="0" w:color="000001"/>
              <w:insideH w:val="single" w:sz="2" w:space="0" w:color="000001"/>
            </w:tcBorders>
            <w:shd w:color="auto" w:fill="auto" w:val="clear"/>
            <w:tcMar>
              <w:left w:w="56" w:type="dxa"/>
            </w:tcMar>
            <w:vAlign w:val="center"/>
          </w:tcPr>
          <w:p>
            <w:pPr>
              <w:pStyle w:val="Style24"/>
              <w:ind w:hanging="0"/>
              <w:jc w:val="center"/>
              <w:rPr>
                <w:rFonts w:ascii="Free Times" w:hAnsi="Free Times" w:cs="Arial"/>
                <w:sz w:val="22"/>
                <w:szCs w:val="22"/>
              </w:rPr>
            </w:pPr>
            <w:r>
              <w:rPr>
                <w:rFonts w:cs="Arial" w:ascii="Free Times" w:hAnsi="Free Times"/>
                <w:sz w:val="22"/>
                <w:szCs w:val="22"/>
              </w:rPr>
              <w:t>234.2 ± 3.0</w:t>
            </w:r>
          </w:p>
        </w:tc>
        <w:tc>
          <w:tcPr>
            <w:tcW w:w="13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6" w:type="dxa"/>
            </w:tcMar>
            <w:vAlign w:val="center"/>
          </w:tcPr>
          <w:p>
            <w:pPr>
              <w:pStyle w:val="Style24"/>
              <w:ind w:hanging="0"/>
              <w:jc w:val="center"/>
              <w:rPr>
                <w:rFonts w:ascii="Free Times" w:hAnsi="Free Times" w:cs="Arial"/>
                <w:sz w:val="22"/>
                <w:szCs w:val="22"/>
              </w:rPr>
            </w:pPr>
            <w:r>
              <w:rPr>
                <w:rFonts w:cs="Arial" w:ascii="Free Times" w:hAnsi="Free Times"/>
                <w:sz w:val="22"/>
                <w:szCs w:val="22"/>
              </w:rPr>
              <w:t xml:space="preserve">  </w:t>
            </w:r>
            <w:r>
              <w:rPr>
                <w:rFonts w:cs="Arial" w:ascii="Free Times" w:hAnsi="Free Times"/>
                <w:sz w:val="22"/>
                <w:szCs w:val="22"/>
              </w:rPr>
              <w:t>31.2 ± 8.1</w:t>
            </w:r>
          </w:p>
        </w:tc>
      </w:tr>
      <w:tr>
        <w:trPr/>
        <w:tc>
          <w:tcPr>
            <w:tcW w:w="4363" w:type="dxa"/>
            <w:tcBorders>
              <w:top w:val="single" w:sz="2" w:space="0" w:color="000001"/>
              <w:left w:val="single" w:sz="2" w:space="0" w:color="000001"/>
              <w:bottom w:val="single" w:sz="2" w:space="0" w:color="000001"/>
              <w:insideH w:val="single" w:sz="2" w:space="0" w:color="000001"/>
            </w:tcBorders>
            <w:shd w:color="auto" w:fill="auto" w:val="clear"/>
            <w:tcMar>
              <w:left w:w="56" w:type="dxa"/>
            </w:tcMar>
            <w:vAlign w:val="center"/>
          </w:tcPr>
          <w:p>
            <w:pPr>
              <w:pStyle w:val="Style24"/>
              <w:ind w:hanging="0"/>
              <w:jc w:val="center"/>
              <w:rPr>
                <w:rFonts w:ascii="Free Times" w:hAnsi="Free Times" w:cs="Arial"/>
                <w:sz w:val="22"/>
                <w:szCs w:val="22"/>
              </w:rPr>
            </w:pPr>
            <w:r>
              <w:rPr>
                <w:rFonts w:cs="Arial" w:ascii="Free Times" w:hAnsi="Free Times"/>
                <w:sz w:val="22"/>
                <w:szCs w:val="22"/>
              </w:rPr>
              <w:t xml:space="preserve">Sample 2 Nitrogen, (source, </w:t>
            </w:r>
            <w:r>
              <w:rPr>
                <w:rFonts w:cs="Arial" w:ascii="Free Times" w:hAnsi="Free Times"/>
                <w:sz w:val="22"/>
                <w:szCs w:val="22"/>
                <w:lang w:val="en-US"/>
              </w:rPr>
              <w:t>repricipitation</w:t>
            </w:r>
            <w:r>
              <w:rPr>
                <w:rFonts w:cs="Arial" w:ascii="Free Times" w:hAnsi="Free Times"/>
                <w:sz w:val="22"/>
                <w:szCs w:val="22"/>
              </w:rPr>
              <w:t xml:space="preserve"> 1)</w:t>
            </w:r>
          </w:p>
        </w:tc>
        <w:tc>
          <w:tcPr>
            <w:tcW w:w="1926" w:type="dxa"/>
            <w:tcBorders>
              <w:top w:val="single" w:sz="2" w:space="0" w:color="000001"/>
              <w:left w:val="single" w:sz="2" w:space="0" w:color="000001"/>
              <w:bottom w:val="single" w:sz="2" w:space="0" w:color="000001"/>
              <w:insideH w:val="single" w:sz="2" w:space="0" w:color="000001"/>
            </w:tcBorders>
            <w:shd w:color="auto" w:fill="auto" w:val="clear"/>
            <w:tcMar>
              <w:left w:w="56" w:type="dxa"/>
            </w:tcMar>
            <w:vAlign w:val="center"/>
          </w:tcPr>
          <w:p>
            <w:pPr>
              <w:pStyle w:val="Style24"/>
              <w:ind w:hanging="0"/>
              <w:jc w:val="center"/>
              <w:rPr>
                <w:rFonts w:ascii="Free Times" w:hAnsi="Free Times" w:cs="Arial"/>
                <w:sz w:val="22"/>
                <w:szCs w:val="22"/>
              </w:rPr>
            </w:pPr>
            <w:r>
              <w:rPr>
                <w:rFonts w:cs="Arial" w:ascii="Free Times" w:hAnsi="Free Times"/>
                <w:sz w:val="22"/>
                <w:szCs w:val="22"/>
              </w:rPr>
              <w:t>0.0825 ± 0.0119</w:t>
            </w:r>
          </w:p>
        </w:tc>
        <w:tc>
          <w:tcPr>
            <w:tcW w:w="1475" w:type="dxa"/>
            <w:tcBorders>
              <w:top w:val="single" w:sz="2" w:space="0" w:color="000001"/>
              <w:left w:val="single" w:sz="2" w:space="0" w:color="000001"/>
              <w:bottom w:val="single" w:sz="2" w:space="0" w:color="000001"/>
              <w:insideH w:val="single" w:sz="2" w:space="0" w:color="000001"/>
            </w:tcBorders>
            <w:shd w:color="auto" w:fill="auto" w:val="clear"/>
            <w:tcMar>
              <w:left w:w="56" w:type="dxa"/>
            </w:tcMar>
            <w:vAlign w:val="center"/>
          </w:tcPr>
          <w:p>
            <w:pPr>
              <w:pStyle w:val="Style24"/>
              <w:ind w:hanging="0"/>
              <w:jc w:val="center"/>
              <w:rPr>
                <w:rFonts w:ascii="Free Times" w:hAnsi="Free Times" w:cs="Arial"/>
                <w:sz w:val="22"/>
                <w:szCs w:val="22"/>
              </w:rPr>
            </w:pPr>
            <w:r>
              <w:rPr>
                <w:rFonts w:cs="Arial" w:ascii="Free Times" w:hAnsi="Free Times"/>
                <w:sz w:val="22"/>
                <w:szCs w:val="22"/>
              </w:rPr>
              <w:t>243.6 ± 20.7</w:t>
            </w:r>
          </w:p>
        </w:tc>
        <w:tc>
          <w:tcPr>
            <w:tcW w:w="13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6" w:type="dxa"/>
            </w:tcMar>
            <w:vAlign w:val="center"/>
          </w:tcPr>
          <w:p>
            <w:pPr>
              <w:pStyle w:val="Style24"/>
              <w:ind w:hanging="0"/>
              <w:jc w:val="center"/>
              <w:rPr>
                <w:rFonts w:ascii="Free Times" w:hAnsi="Free Times" w:cs="Arial"/>
                <w:sz w:val="22"/>
                <w:szCs w:val="22"/>
              </w:rPr>
            </w:pPr>
            <w:r>
              <w:rPr>
                <w:rFonts w:cs="Arial" w:ascii="Free Times" w:hAnsi="Free Times"/>
                <w:sz w:val="22"/>
                <w:szCs w:val="22"/>
              </w:rPr>
              <w:t>12.7 ± 3.5</w:t>
            </w:r>
          </w:p>
        </w:tc>
      </w:tr>
      <w:tr>
        <w:trPr/>
        <w:tc>
          <w:tcPr>
            <w:tcW w:w="4363" w:type="dxa"/>
            <w:tcBorders>
              <w:top w:val="single" w:sz="2" w:space="0" w:color="000001"/>
              <w:left w:val="single" w:sz="2" w:space="0" w:color="000001"/>
              <w:bottom w:val="single" w:sz="2" w:space="0" w:color="000001"/>
              <w:insideH w:val="single" w:sz="2" w:space="0" w:color="000001"/>
            </w:tcBorders>
            <w:shd w:color="auto" w:fill="auto" w:val="clear"/>
            <w:tcMar>
              <w:left w:w="56" w:type="dxa"/>
            </w:tcMar>
            <w:vAlign w:val="center"/>
          </w:tcPr>
          <w:p>
            <w:pPr>
              <w:pStyle w:val="Style24"/>
              <w:ind w:hanging="0"/>
              <w:jc w:val="center"/>
              <w:rPr>
                <w:rFonts w:ascii="Free Times" w:hAnsi="Free Times" w:cs="Arial"/>
                <w:sz w:val="22"/>
                <w:szCs w:val="22"/>
              </w:rPr>
            </w:pPr>
            <w:r>
              <w:rPr>
                <w:rFonts w:cs="Arial" w:ascii="Free Times" w:hAnsi="Free Times"/>
                <w:sz w:val="22"/>
                <w:szCs w:val="22"/>
              </w:rPr>
              <w:t xml:space="preserve">Sample 3 Nitrogen, (source, </w:t>
            </w:r>
            <w:r>
              <w:rPr>
                <w:rFonts w:cs="Arial" w:ascii="Free Times" w:hAnsi="Free Times"/>
                <w:sz w:val="22"/>
                <w:szCs w:val="22"/>
                <w:lang w:val="en-US"/>
              </w:rPr>
              <w:t>repricipitation</w:t>
            </w:r>
            <w:r>
              <w:rPr>
                <w:rFonts w:cs="Arial" w:ascii="Free Times" w:hAnsi="Free Times"/>
                <w:sz w:val="22"/>
                <w:szCs w:val="22"/>
              </w:rPr>
              <w:t xml:space="preserve"> 1)</w:t>
            </w:r>
          </w:p>
        </w:tc>
        <w:tc>
          <w:tcPr>
            <w:tcW w:w="1926" w:type="dxa"/>
            <w:tcBorders>
              <w:top w:val="single" w:sz="2" w:space="0" w:color="000001"/>
              <w:left w:val="single" w:sz="2" w:space="0" w:color="000001"/>
              <w:bottom w:val="single" w:sz="2" w:space="0" w:color="000001"/>
              <w:insideH w:val="single" w:sz="2" w:space="0" w:color="000001"/>
            </w:tcBorders>
            <w:shd w:color="auto" w:fill="auto" w:val="clear"/>
            <w:tcMar>
              <w:left w:w="56" w:type="dxa"/>
            </w:tcMar>
            <w:vAlign w:val="center"/>
          </w:tcPr>
          <w:p>
            <w:pPr>
              <w:pStyle w:val="Style24"/>
              <w:ind w:hanging="0"/>
              <w:jc w:val="center"/>
              <w:rPr>
                <w:rFonts w:ascii="Free Times" w:hAnsi="Free Times" w:cs="Arial"/>
                <w:sz w:val="22"/>
                <w:szCs w:val="22"/>
              </w:rPr>
            </w:pPr>
            <w:r>
              <w:rPr>
                <w:rFonts w:cs="Arial" w:ascii="Free Times" w:hAnsi="Free Times"/>
                <w:sz w:val="22"/>
                <w:szCs w:val="22"/>
              </w:rPr>
              <w:t>0.0848 ± 0.0091</w:t>
            </w:r>
          </w:p>
        </w:tc>
        <w:tc>
          <w:tcPr>
            <w:tcW w:w="1475" w:type="dxa"/>
            <w:tcBorders>
              <w:top w:val="single" w:sz="2" w:space="0" w:color="000001"/>
              <w:left w:val="single" w:sz="2" w:space="0" w:color="000001"/>
              <w:bottom w:val="single" w:sz="2" w:space="0" w:color="000001"/>
              <w:insideH w:val="single" w:sz="2" w:space="0" w:color="000001"/>
            </w:tcBorders>
            <w:shd w:color="auto" w:fill="auto" w:val="clear"/>
            <w:tcMar>
              <w:left w:w="56" w:type="dxa"/>
            </w:tcMar>
            <w:vAlign w:val="center"/>
          </w:tcPr>
          <w:p>
            <w:pPr>
              <w:pStyle w:val="Style24"/>
              <w:ind w:hanging="0"/>
              <w:jc w:val="center"/>
              <w:rPr>
                <w:rFonts w:ascii="Free Times" w:hAnsi="Free Times" w:cs="Arial"/>
                <w:sz w:val="22"/>
                <w:szCs w:val="22"/>
              </w:rPr>
            </w:pPr>
            <w:r>
              <w:rPr>
                <w:rFonts w:cs="Arial" w:ascii="Free Times" w:hAnsi="Free Times"/>
                <w:sz w:val="22"/>
                <w:szCs w:val="22"/>
              </w:rPr>
              <w:t>235.5 ± 7.0</w:t>
            </w:r>
          </w:p>
        </w:tc>
        <w:tc>
          <w:tcPr>
            <w:tcW w:w="13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6" w:type="dxa"/>
            </w:tcMar>
            <w:vAlign w:val="center"/>
          </w:tcPr>
          <w:p>
            <w:pPr>
              <w:pStyle w:val="Style24"/>
              <w:ind w:hanging="0"/>
              <w:jc w:val="center"/>
              <w:rPr>
                <w:rFonts w:ascii="Free Times" w:hAnsi="Free Times" w:cs="Arial"/>
                <w:sz w:val="22"/>
                <w:szCs w:val="22"/>
              </w:rPr>
            </w:pPr>
            <w:r>
              <w:rPr>
                <w:rFonts w:cs="Arial" w:ascii="Free Times" w:hAnsi="Free Times"/>
                <w:sz w:val="22"/>
                <w:szCs w:val="22"/>
              </w:rPr>
              <w:t>10.1 ± 3.5</w:t>
            </w:r>
          </w:p>
        </w:tc>
      </w:tr>
      <w:tr>
        <w:trPr/>
        <w:tc>
          <w:tcPr>
            <w:tcW w:w="4363" w:type="dxa"/>
            <w:tcBorders>
              <w:top w:val="single" w:sz="2" w:space="0" w:color="000001"/>
              <w:left w:val="single" w:sz="2" w:space="0" w:color="000001"/>
              <w:bottom w:val="single" w:sz="2" w:space="0" w:color="000001"/>
              <w:insideH w:val="single" w:sz="2" w:space="0" w:color="000001"/>
            </w:tcBorders>
            <w:shd w:color="auto" w:fill="auto" w:val="clear"/>
            <w:tcMar>
              <w:left w:w="58" w:type="dxa"/>
            </w:tcMar>
            <w:vAlign w:val="center"/>
          </w:tcPr>
          <w:p>
            <w:pPr>
              <w:pStyle w:val="Style24"/>
              <w:ind w:hanging="0"/>
              <w:jc w:val="center"/>
              <w:rPr>
                <w:rFonts w:ascii="Free Times" w:hAnsi="Free Times" w:cs="Arial"/>
                <w:sz w:val="4"/>
                <w:szCs w:val="4"/>
                <w:highlight w:val="green"/>
              </w:rPr>
            </w:pPr>
            <w:r>
              <w:rPr>
                <w:rFonts w:cs="Arial" w:ascii="Free Times" w:hAnsi="Free Times"/>
                <w:sz w:val="4"/>
                <w:szCs w:val="4"/>
                <w:highlight w:val="green"/>
              </w:rPr>
            </w:r>
          </w:p>
        </w:tc>
        <w:tc>
          <w:tcPr>
            <w:tcW w:w="1926" w:type="dxa"/>
            <w:tcBorders>
              <w:top w:val="single" w:sz="2" w:space="0" w:color="000001"/>
              <w:bottom w:val="single" w:sz="2" w:space="0" w:color="000001"/>
              <w:insideH w:val="single" w:sz="2" w:space="0" w:color="000001"/>
            </w:tcBorders>
            <w:shd w:color="auto" w:fill="auto" w:val="clear"/>
            <w:tcMar>
              <w:left w:w="61" w:type="dxa"/>
            </w:tcMar>
            <w:vAlign w:val="center"/>
          </w:tcPr>
          <w:p>
            <w:pPr>
              <w:pStyle w:val="Style24"/>
              <w:ind w:hanging="0"/>
              <w:jc w:val="center"/>
              <w:rPr>
                <w:rFonts w:ascii="Free Times" w:hAnsi="Free Times" w:cs="Arial"/>
                <w:sz w:val="4"/>
                <w:szCs w:val="4"/>
                <w:highlight w:val="green"/>
              </w:rPr>
            </w:pPr>
            <w:r>
              <w:rPr>
                <w:rFonts w:cs="Arial" w:ascii="Free Times" w:hAnsi="Free Times"/>
                <w:sz w:val="4"/>
                <w:szCs w:val="4"/>
                <w:highlight w:val="green"/>
              </w:rPr>
            </w:r>
          </w:p>
        </w:tc>
        <w:tc>
          <w:tcPr>
            <w:tcW w:w="1475" w:type="dxa"/>
            <w:tcBorders>
              <w:top w:val="single" w:sz="2" w:space="0" w:color="000001"/>
              <w:bottom w:val="single" w:sz="2" w:space="0" w:color="000001"/>
              <w:insideH w:val="single" w:sz="2" w:space="0" w:color="000001"/>
            </w:tcBorders>
            <w:shd w:color="auto" w:fill="auto" w:val="clear"/>
            <w:tcMar>
              <w:left w:w="61" w:type="dxa"/>
            </w:tcMar>
            <w:vAlign w:val="center"/>
          </w:tcPr>
          <w:p>
            <w:pPr>
              <w:pStyle w:val="Style24"/>
              <w:ind w:hanging="0"/>
              <w:jc w:val="center"/>
              <w:rPr>
                <w:rFonts w:ascii="Free Times" w:hAnsi="Free Times" w:cs="Arial"/>
                <w:sz w:val="4"/>
                <w:szCs w:val="4"/>
                <w:highlight w:val="green"/>
              </w:rPr>
            </w:pPr>
            <w:r>
              <w:rPr>
                <w:rFonts w:cs="Arial" w:ascii="Free Times" w:hAnsi="Free Times"/>
                <w:sz w:val="4"/>
                <w:szCs w:val="4"/>
                <w:highlight w:val="green"/>
              </w:rPr>
            </w:r>
          </w:p>
        </w:tc>
        <w:tc>
          <w:tcPr>
            <w:tcW w:w="1391" w:type="dxa"/>
            <w:tcBorders>
              <w:top w:val="single" w:sz="2" w:space="0" w:color="000001"/>
              <w:bottom w:val="single" w:sz="2" w:space="0" w:color="000001"/>
              <w:insideH w:val="single" w:sz="2" w:space="0" w:color="000001"/>
            </w:tcBorders>
            <w:shd w:color="auto" w:fill="auto" w:val="clear"/>
            <w:tcMar>
              <w:left w:w="61" w:type="dxa"/>
            </w:tcMar>
            <w:vAlign w:val="center"/>
          </w:tcPr>
          <w:p>
            <w:pPr>
              <w:pStyle w:val="Style24"/>
              <w:ind w:hanging="0"/>
              <w:jc w:val="center"/>
              <w:rPr>
                <w:rFonts w:ascii="Free Times" w:hAnsi="Free Times" w:cs="Arial"/>
                <w:sz w:val="4"/>
                <w:szCs w:val="4"/>
                <w:highlight w:val="green"/>
              </w:rPr>
            </w:pPr>
            <w:r>
              <w:rPr>
                <w:rFonts w:cs="Arial" w:ascii="Free Times" w:hAnsi="Free Times"/>
                <w:sz w:val="4"/>
                <w:szCs w:val="4"/>
                <w:highlight w:val="green"/>
              </w:rPr>
            </w:r>
          </w:p>
        </w:tc>
      </w:tr>
      <w:tr>
        <w:trPr/>
        <w:tc>
          <w:tcPr>
            <w:tcW w:w="4363" w:type="dxa"/>
            <w:tcBorders>
              <w:top w:val="single" w:sz="2" w:space="0" w:color="000001"/>
              <w:left w:val="single" w:sz="2" w:space="0" w:color="000001"/>
              <w:bottom w:val="single" w:sz="2" w:space="0" w:color="000001"/>
              <w:insideH w:val="single" w:sz="2" w:space="0" w:color="000001"/>
            </w:tcBorders>
            <w:shd w:color="auto" w:fill="auto" w:val="clear"/>
            <w:tcMar>
              <w:left w:w="56" w:type="dxa"/>
            </w:tcMar>
            <w:vAlign w:val="center"/>
          </w:tcPr>
          <w:p>
            <w:pPr>
              <w:pStyle w:val="Style24"/>
              <w:ind w:hanging="0"/>
              <w:jc w:val="center"/>
              <w:rPr>
                <w:rFonts w:ascii="Free Times" w:hAnsi="Free Times" w:cs="Arial"/>
                <w:sz w:val="22"/>
                <w:szCs w:val="22"/>
              </w:rPr>
            </w:pPr>
            <w:r>
              <w:rPr>
                <w:rFonts w:cs="Arial" w:ascii="Free Times" w:hAnsi="Free Times"/>
                <w:sz w:val="22"/>
                <w:szCs w:val="22"/>
              </w:rPr>
              <w:t xml:space="preserve">Sample 3 Air, </w:t>
            </w:r>
            <w:r>
              <w:rPr>
                <w:rFonts w:cs="Arial" w:ascii="Free Times" w:hAnsi="Free Times"/>
                <w:sz w:val="22"/>
                <w:szCs w:val="22"/>
                <w:lang w:val="en-US"/>
              </w:rPr>
              <w:t>repricipitation</w:t>
            </w:r>
            <w:r>
              <w:rPr>
                <w:rFonts w:cs="Arial" w:ascii="Free Times" w:hAnsi="Free Times"/>
                <w:sz w:val="22"/>
                <w:szCs w:val="22"/>
              </w:rPr>
              <w:t xml:space="preserve"> 2</w:t>
            </w:r>
          </w:p>
        </w:tc>
        <w:tc>
          <w:tcPr>
            <w:tcW w:w="1926" w:type="dxa"/>
            <w:tcBorders>
              <w:top w:val="single" w:sz="2" w:space="0" w:color="000001"/>
              <w:left w:val="single" w:sz="2" w:space="0" w:color="000001"/>
              <w:bottom w:val="single" w:sz="2" w:space="0" w:color="000001"/>
              <w:insideH w:val="single" w:sz="2" w:space="0" w:color="000001"/>
            </w:tcBorders>
            <w:shd w:color="auto" w:fill="auto" w:val="clear"/>
            <w:tcMar>
              <w:left w:w="56" w:type="dxa"/>
            </w:tcMar>
            <w:vAlign w:val="center"/>
          </w:tcPr>
          <w:p>
            <w:pPr>
              <w:pStyle w:val="Style24"/>
              <w:ind w:hanging="0"/>
              <w:jc w:val="center"/>
              <w:rPr>
                <w:rFonts w:ascii="Free Times" w:hAnsi="Free Times" w:cs="Arial"/>
                <w:sz w:val="22"/>
                <w:szCs w:val="22"/>
              </w:rPr>
            </w:pPr>
            <w:r>
              <w:rPr>
                <w:rFonts w:cs="Arial" w:ascii="Free Times" w:hAnsi="Free Times"/>
                <w:sz w:val="22"/>
                <w:szCs w:val="22"/>
              </w:rPr>
              <w:t>0.0862 ± 0.0107</w:t>
            </w:r>
          </w:p>
        </w:tc>
        <w:tc>
          <w:tcPr>
            <w:tcW w:w="1475" w:type="dxa"/>
            <w:tcBorders>
              <w:top w:val="single" w:sz="2" w:space="0" w:color="000001"/>
              <w:left w:val="single" w:sz="2" w:space="0" w:color="000001"/>
              <w:bottom w:val="single" w:sz="2" w:space="0" w:color="000001"/>
              <w:insideH w:val="single" w:sz="2" w:space="0" w:color="000001"/>
            </w:tcBorders>
            <w:shd w:color="auto" w:fill="auto" w:val="clear"/>
            <w:tcMar>
              <w:left w:w="56" w:type="dxa"/>
            </w:tcMar>
            <w:vAlign w:val="center"/>
          </w:tcPr>
          <w:p>
            <w:pPr>
              <w:pStyle w:val="Style24"/>
              <w:ind w:hanging="0"/>
              <w:jc w:val="center"/>
              <w:rPr>
                <w:rFonts w:ascii="Free Times" w:hAnsi="Free Times" w:cs="Arial"/>
                <w:sz w:val="22"/>
                <w:szCs w:val="22"/>
              </w:rPr>
            </w:pPr>
            <w:r>
              <w:rPr>
                <w:rFonts w:cs="Arial" w:ascii="Free Times" w:hAnsi="Free Times"/>
                <w:sz w:val="22"/>
                <w:szCs w:val="22"/>
              </w:rPr>
              <w:t>229.0 ± 28.9</w:t>
            </w:r>
          </w:p>
        </w:tc>
        <w:tc>
          <w:tcPr>
            <w:tcW w:w="13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6" w:type="dxa"/>
            </w:tcMar>
            <w:vAlign w:val="center"/>
          </w:tcPr>
          <w:p>
            <w:pPr>
              <w:pStyle w:val="Style24"/>
              <w:ind w:hanging="0"/>
              <w:jc w:val="center"/>
              <w:rPr>
                <w:rFonts w:ascii="Free Times" w:hAnsi="Free Times" w:cs="Arial"/>
                <w:sz w:val="22"/>
                <w:szCs w:val="22"/>
              </w:rPr>
            </w:pPr>
            <w:r>
              <w:rPr>
                <w:rFonts w:cs="Arial" w:ascii="Free Times" w:hAnsi="Free Times"/>
                <w:sz w:val="22"/>
                <w:szCs w:val="22"/>
              </w:rPr>
              <w:t>8.7 ± 8.5</w:t>
            </w:r>
          </w:p>
        </w:tc>
      </w:tr>
      <w:tr>
        <w:trPr/>
        <w:tc>
          <w:tcPr>
            <w:tcW w:w="4363" w:type="dxa"/>
            <w:tcBorders>
              <w:top w:val="single" w:sz="2" w:space="0" w:color="000001"/>
              <w:left w:val="single" w:sz="2" w:space="0" w:color="000001"/>
              <w:bottom w:val="single" w:sz="2" w:space="0" w:color="000001"/>
              <w:insideH w:val="single" w:sz="2" w:space="0" w:color="000001"/>
            </w:tcBorders>
            <w:shd w:color="auto" w:fill="auto" w:val="clear"/>
            <w:tcMar>
              <w:left w:w="56" w:type="dxa"/>
            </w:tcMar>
            <w:vAlign w:val="center"/>
          </w:tcPr>
          <w:p>
            <w:pPr>
              <w:pStyle w:val="Style24"/>
              <w:ind w:hanging="0"/>
              <w:jc w:val="center"/>
              <w:rPr>
                <w:rFonts w:ascii="Free Times" w:hAnsi="Free Times" w:cs="Arial"/>
                <w:sz w:val="22"/>
                <w:szCs w:val="22"/>
              </w:rPr>
            </w:pPr>
            <w:r>
              <w:rPr>
                <w:rFonts w:cs="Arial" w:ascii="Free Times" w:hAnsi="Free Times"/>
                <w:sz w:val="22"/>
                <w:szCs w:val="22"/>
              </w:rPr>
              <w:t xml:space="preserve">Sample 3 Argon, </w:t>
            </w:r>
            <w:r>
              <w:rPr>
                <w:rFonts w:cs="Arial" w:ascii="Free Times" w:hAnsi="Free Times"/>
                <w:sz w:val="22"/>
                <w:szCs w:val="22"/>
                <w:lang w:val="en-US"/>
              </w:rPr>
              <w:t>repricipitation</w:t>
            </w:r>
            <w:r>
              <w:rPr>
                <w:rFonts w:cs="Arial" w:ascii="Free Times" w:hAnsi="Free Times"/>
                <w:sz w:val="22"/>
                <w:szCs w:val="22"/>
              </w:rPr>
              <w:t xml:space="preserve"> 2</w:t>
            </w:r>
          </w:p>
        </w:tc>
        <w:tc>
          <w:tcPr>
            <w:tcW w:w="1926" w:type="dxa"/>
            <w:tcBorders>
              <w:top w:val="single" w:sz="2" w:space="0" w:color="000001"/>
              <w:left w:val="single" w:sz="2" w:space="0" w:color="000001"/>
              <w:bottom w:val="single" w:sz="2" w:space="0" w:color="000001"/>
              <w:insideH w:val="single" w:sz="2" w:space="0" w:color="000001"/>
            </w:tcBorders>
            <w:shd w:color="auto" w:fill="auto" w:val="clear"/>
            <w:tcMar>
              <w:left w:w="56" w:type="dxa"/>
            </w:tcMar>
            <w:vAlign w:val="center"/>
          </w:tcPr>
          <w:p>
            <w:pPr>
              <w:pStyle w:val="Style24"/>
              <w:ind w:hanging="0"/>
              <w:jc w:val="center"/>
              <w:rPr>
                <w:rFonts w:ascii="Free Times" w:hAnsi="Free Times" w:cs="Arial"/>
                <w:sz w:val="22"/>
                <w:szCs w:val="22"/>
              </w:rPr>
            </w:pPr>
            <w:r>
              <w:rPr>
                <w:rFonts w:cs="Arial" w:ascii="Free Times" w:hAnsi="Free Times"/>
                <w:sz w:val="22"/>
                <w:szCs w:val="22"/>
              </w:rPr>
              <w:t>0.1002 ± 0.0113</w:t>
            </w:r>
          </w:p>
        </w:tc>
        <w:tc>
          <w:tcPr>
            <w:tcW w:w="1475" w:type="dxa"/>
            <w:tcBorders>
              <w:top w:val="single" w:sz="2" w:space="0" w:color="000001"/>
              <w:left w:val="single" w:sz="2" w:space="0" w:color="000001"/>
              <w:bottom w:val="single" w:sz="2" w:space="0" w:color="000001"/>
              <w:insideH w:val="single" w:sz="2" w:space="0" w:color="000001"/>
            </w:tcBorders>
            <w:shd w:color="auto" w:fill="auto" w:val="clear"/>
            <w:tcMar>
              <w:left w:w="56" w:type="dxa"/>
            </w:tcMar>
            <w:vAlign w:val="center"/>
          </w:tcPr>
          <w:p>
            <w:pPr>
              <w:pStyle w:val="Style24"/>
              <w:ind w:hanging="0"/>
              <w:jc w:val="center"/>
              <w:rPr>
                <w:rFonts w:ascii="Free Times" w:hAnsi="Free Times" w:cs="Arial"/>
                <w:sz w:val="22"/>
                <w:szCs w:val="22"/>
              </w:rPr>
            </w:pPr>
            <w:r>
              <w:rPr>
                <w:rFonts w:cs="Arial" w:ascii="Free Times" w:hAnsi="Free Times"/>
                <w:sz w:val="22"/>
                <w:szCs w:val="22"/>
              </w:rPr>
              <w:t>242.3 ± 8.0</w:t>
            </w:r>
          </w:p>
        </w:tc>
        <w:tc>
          <w:tcPr>
            <w:tcW w:w="13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6" w:type="dxa"/>
            </w:tcMar>
            <w:vAlign w:val="center"/>
          </w:tcPr>
          <w:p>
            <w:pPr>
              <w:pStyle w:val="Style24"/>
              <w:ind w:hanging="0"/>
              <w:jc w:val="center"/>
              <w:rPr>
                <w:rFonts w:ascii="Free Times" w:hAnsi="Free Times" w:cs="Arial"/>
                <w:sz w:val="22"/>
                <w:szCs w:val="22"/>
              </w:rPr>
            </w:pPr>
            <w:r>
              <w:rPr>
                <w:rFonts w:cs="Arial" w:ascii="Free Times" w:hAnsi="Free Times"/>
                <w:sz w:val="22"/>
                <w:szCs w:val="22"/>
              </w:rPr>
              <w:t xml:space="preserve">12.8 ± 2.4 </w:t>
            </w:r>
          </w:p>
        </w:tc>
      </w:tr>
      <w:tr>
        <w:trPr/>
        <w:tc>
          <w:tcPr>
            <w:tcW w:w="4363" w:type="dxa"/>
            <w:tcBorders>
              <w:top w:val="single" w:sz="2" w:space="0" w:color="000001"/>
              <w:left w:val="single" w:sz="2" w:space="0" w:color="000001"/>
              <w:bottom w:val="single" w:sz="2" w:space="0" w:color="000001"/>
              <w:insideH w:val="single" w:sz="2" w:space="0" w:color="000001"/>
            </w:tcBorders>
            <w:shd w:color="auto" w:fill="auto" w:val="clear"/>
            <w:tcMar>
              <w:left w:w="56" w:type="dxa"/>
            </w:tcMar>
            <w:vAlign w:val="center"/>
          </w:tcPr>
          <w:p>
            <w:pPr>
              <w:pStyle w:val="Style24"/>
              <w:spacing w:lineRule="auto" w:line="240"/>
              <w:ind w:hanging="0"/>
              <w:jc w:val="center"/>
              <w:rPr>
                <w:rFonts w:ascii="Free Times" w:hAnsi="Free Times" w:cs="Arial"/>
                <w:sz w:val="22"/>
                <w:szCs w:val="22"/>
              </w:rPr>
            </w:pPr>
            <w:r>
              <w:rPr>
                <w:rFonts w:cs="Arial" w:ascii="Free Times" w:hAnsi="Free Times"/>
                <w:sz w:val="22"/>
                <w:szCs w:val="22"/>
              </w:rPr>
              <w:t xml:space="preserve">Sample 2, 3 Nitrogen, </w:t>
            </w:r>
          </w:p>
          <w:p>
            <w:pPr>
              <w:pStyle w:val="Style24"/>
              <w:spacing w:lineRule="auto" w:line="240"/>
              <w:ind w:hanging="0"/>
              <w:jc w:val="center"/>
              <w:rPr>
                <w:rFonts w:ascii="Free Times" w:hAnsi="Free Times" w:cs="Arial"/>
                <w:sz w:val="22"/>
                <w:szCs w:val="22"/>
              </w:rPr>
            </w:pPr>
            <w:r>
              <w:rPr>
                <w:rFonts w:cs="Arial" w:ascii="Free Times" w:hAnsi="Free Times"/>
                <w:sz w:val="22"/>
                <w:szCs w:val="22"/>
              </w:rPr>
              <w:t xml:space="preserve">(source, </w:t>
            </w:r>
            <w:r>
              <w:rPr>
                <w:rFonts w:cs="Arial" w:ascii="Free Times" w:hAnsi="Free Times"/>
                <w:sz w:val="22"/>
                <w:szCs w:val="22"/>
                <w:lang w:val="en-US"/>
              </w:rPr>
              <w:t>repricipitation</w:t>
            </w:r>
            <w:r>
              <w:rPr>
                <w:rFonts w:cs="Arial" w:ascii="Free Times" w:hAnsi="Free Times"/>
                <w:sz w:val="22"/>
                <w:szCs w:val="22"/>
              </w:rPr>
              <w:t xml:space="preserve"> 1, 2)</w:t>
            </w:r>
          </w:p>
        </w:tc>
        <w:tc>
          <w:tcPr>
            <w:tcW w:w="1926" w:type="dxa"/>
            <w:tcBorders>
              <w:top w:val="single" w:sz="2" w:space="0" w:color="000001"/>
              <w:left w:val="single" w:sz="2" w:space="0" w:color="000001"/>
              <w:bottom w:val="single" w:sz="2" w:space="0" w:color="000001"/>
              <w:insideH w:val="single" w:sz="2" w:space="0" w:color="000001"/>
            </w:tcBorders>
            <w:shd w:color="auto" w:fill="auto" w:val="clear"/>
            <w:tcMar>
              <w:left w:w="56" w:type="dxa"/>
            </w:tcMar>
            <w:vAlign w:val="center"/>
          </w:tcPr>
          <w:p>
            <w:pPr>
              <w:pStyle w:val="Style24"/>
              <w:ind w:hanging="0"/>
              <w:jc w:val="center"/>
              <w:rPr>
                <w:rFonts w:ascii="Free Times" w:hAnsi="Free Times" w:cs="Arial"/>
                <w:sz w:val="22"/>
                <w:szCs w:val="22"/>
              </w:rPr>
            </w:pPr>
            <w:r>
              <w:rPr>
                <w:rFonts w:cs="Arial" w:ascii="Free Times" w:hAnsi="Free Times"/>
                <w:sz w:val="22"/>
                <w:szCs w:val="22"/>
              </w:rPr>
              <w:t>0.0838 ± 0.0059</w:t>
            </w:r>
          </w:p>
        </w:tc>
        <w:tc>
          <w:tcPr>
            <w:tcW w:w="1475" w:type="dxa"/>
            <w:tcBorders>
              <w:top w:val="single" w:sz="2" w:space="0" w:color="000001"/>
              <w:left w:val="single" w:sz="2" w:space="0" w:color="000001"/>
              <w:bottom w:val="single" w:sz="2" w:space="0" w:color="000001"/>
              <w:insideH w:val="single" w:sz="2" w:space="0" w:color="000001"/>
            </w:tcBorders>
            <w:shd w:color="auto" w:fill="auto" w:val="clear"/>
            <w:tcMar>
              <w:left w:w="56" w:type="dxa"/>
            </w:tcMar>
            <w:vAlign w:val="center"/>
          </w:tcPr>
          <w:p>
            <w:pPr>
              <w:pStyle w:val="Style24"/>
              <w:ind w:hanging="0"/>
              <w:jc w:val="center"/>
              <w:rPr>
                <w:rFonts w:ascii="Free Times" w:hAnsi="Free Times" w:cs="Arial"/>
                <w:sz w:val="22"/>
                <w:szCs w:val="22"/>
              </w:rPr>
            </w:pPr>
            <w:r>
              <w:rPr>
                <w:rFonts w:cs="Arial" w:ascii="Free Times" w:hAnsi="Free Times"/>
                <w:sz w:val="22"/>
                <w:szCs w:val="22"/>
              </w:rPr>
              <w:t>238.9 ± 7.8</w:t>
            </w:r>
          </w:p>
        </w:tc>
        <w:tc>
          <w:tcPr>
            <w:tcW w:w="13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6" w:type="dxa"/>
            </w:tcMar>
            <w:vAlign w:val="center"/>
          </w:tcPr>
          <w:p>
            <w:pPr>
              <w:pStyle w:val="Style24"/>
              <w:ind w:hanging="0"/>
              <w:jc w:val="center"/>
              <w:rPr>
                <w:rFonts w:ascii="Free Times" w:hAnsi="Free Times" w:cs="Arial"/>
                <w:sz w:val="22"/>
                <w:szCs w:val="22"/>
              </w:rPr>
            </w:pPr>
            <w:r>
              <w:rPr>
                <w:rFonts w:cs="Arial" w:ascii="Free Times" w:hAnsi="Free Times"/>
                <w:sz w:val="22"/>
                <w:szCs w:val="22"/>
              </w:rPr>
              <w:t>11.2 ± 2.3</w:t>
            </w:r>
          </w:p>
        </w:tc>
      </w:tr>
      <w:tr>
        <w:trPr/>
        <w:tc>
          <w:tcPr>
            <w:tcW w:w="4363" w:type="dxa"/>
            <w:tcBorders>
              <w:top w:val="single" w:sz="2" w:space="0" w:color="000001"/>
              <w:left w:val="single" w:sz="2" w:space="0" w:color="000001"/>
              <w:bottom w:val="single" w:sz="2" w:space="0" w:color="000001"/>
              <w:insideH w:val="single" w:sz="2" w:space="0" w:color="000001"/>
            </w:tcBorders>
            <w:shd w:color="auto" w:fill="auto" w:val="clear"/>
            <w:tcMar>
              <w:left w:w="58" w:type="dxa"/>
            </w:tcMar>
            <w:vAlign w:val="center"/>
          </w:tcPr>
          <w:p>
            <w:pPr>
              <w:pStyle w:val="Style24"/>
              <w:ind w:hanging="0"/>
              <w:jc w:val="center"/>
              <w:rPr>
                <w:sz w:val="4"/>
                <w:szCs w:val="4"/>
              </w:rPr>
            </w:pPr>
            <w:r>
              <w:rPr>
                <w:sz w:val="4"/>
                <w:szCs w:val="4"/>
              </w:rPr>
            </w:r>
          </w:p>
        </w:tc>
        <w:tc>
          <w:tcPr>
            <w:tcW w:w="1926" w:type="dxa"/>
            <w:tcBorders>
              <w:top w:val="single" w:sz="2" w:space="0" w:color="000001"/>
              <w:bottom w:val="single" w:sz="2" w:space="0" w:color="000001"/>
              <w:insideH w:val="single" w:sz="2" w:space="0" w:color="000001"/>
            </w:tcBorders>
            <w:shd w:color="auto" w:fill="auto" w:val="clear"/>
            <w:tcMar>
              <w:left w:w="61" w:type="dxa"/>
            </w:tcMar>
            <w:vAlign w:val="center"/>
          </w:tcPr>
          <w:p>
            <w:pPr>
              <w:pStyle w:val="Style24"/>
              <w:ind w:hanging="0"/>
              <w:jc w:val="center"/>
              <w:rPr>
                <w:rFonts w:ascii="Free Times" w:hAnsi="Free Times" w:cs="Arial"/>
                <w:sz w:val="4"/>
                <w:szCs w:val="4"/>
              </w:rPr>
            </w:pPr>
            <w:r>
              <w:rPr>
                <w:rFonts w:cs="Arial" w:ascii="Free Times" w:hAnsi="Free Times"/>
                <w:sz w:val="4"/>
                <w:szCs w:val="4"/>
              </w:rPr>
            </w:r>
          </w:p>
        </w:tc>
        <w:tc>
          <w:tcPr>
            <w:tcW w:w="1475" w:type="dxa"/>
            <w:tcBorders>
              <w:top w:val="single" w:sz="2" w:space="0" w:color="000001"/>
              <w:bottom w:val="single" w:sz="2" w:space="0" w:color="000001"/>
              <w:insideH w:val="single" w:sz="2" w:space="0" w:color="000001"/>
            </w:tcBorders>
            <w:shd w:color="auto" w:fill="auto" w:val="clear"/>
            <w:tcMar>
              <w:left w:w="61" w:type="dxa"/>
            </w:tcMar>
            <w:vAlign w:val="center"/>
          </w:tcPr>
          <w:p>
            <w:pPr>
              <w:pStyle w:val="Style24"/>
              <w:ind w:hanging="0"/>
              <w:jc w:val="center"/>
              <w:rPr>
                <w:rFonts w:ascii="Free Times" w:hAnsi="Free Times" w:cs="Arial"/>
                <w:sz w:val="4"/>
                <w:szCs w:val="4"/>
              </w:rPr>
            </w:pPr>
            <w:r>
              <w:rPr>
                <w:rFonts w:cs="Arial" w:ascii="Free Times" w:hAnsi="Free Times"/>
                <w:sz w:val="4"/>
                <w:szCs w:val="4"/>
              </w:rPr>
            </w:r>
          </w:p>
        </w:tc>
        <w:tc>
          <w:tcPr>
            <w:tcW w:w="1391" w:type="dxa"/>
            <w:tcBorders>
              <w:top w:val="single" w:sz="2" w:space="0" w:color="000001"/>
              <w:bottom w:val="single" w:sz="2" w:space="0" w:color="000001"/>
              <w:insideH w:val="single" w:sz="2" w:space="0" w:color="000001"/>
            </w:tcBorders>
            <w:shd w:color="auto" w:fill="auto" w:val="clear"/>
            <w:tcMar>
              <w:left w:w="61" w:type="dxa"/>
            </w:tcMar>
            <w:vAlign w:val="center"/>
          </w:tcPr>
          <w:p>
            <w:pPr>
              <w:pStyle w:val="Style24"/>
              <w:ind w:hanging="0"/>
              <w:jc w:val="center"/>
              <w:rPr>
                <w:rFonts w:ascii="Free Times" w:hAnsi="Free Times" w:cs="Arial"/>
                <w:sz w:val="4"/>
                <w:szCs w:val="4"/>
              </w:rPr>
            </w:pPr>
            <w:r>
              <w:rPr>
                <w:rFonts w:cs="Arial" w:ascii="Free Times" w:hAnsi="Free Times"/>
                <w:sz w:val="4"/>
                <w:szCs w:val="4"/>
              </w:rPr>
            </w:r>
          </w:p>
        </w:tc>
      </w:tr>
      <w:tr>
        <w:trPr/>
        <w:tc>
          <w:tcPr>
            <w:tcW w:w="4363" w:type="dxa"/>
            <w:tcBorders>
              <w:top w:val="single" w:sz="2" w:space="0" w:color="000001"/>
              <w:left w:val="single" w:sz="2" w:space="0" w:color="000001"/>
              <w:bottom w:val="single" w:sz="2" w:space="0" w:color="000001"/>
              <w:insideH w:val="single" w:sz="2" w:space="0" w:color="000001"/>
            </w:tcBorders>
            <w:shd w:color="auto" w:fill="auto" w:val="clear"/>
            <w:tcMar>
              <w:left w:w="56" w:type="dxa"/>
            </w:tcMar>
            <w:vAlign w:val="center"/>
          </w:tcPr>
          <w:p>
            <w:pPr>
              <w:pStyle w:val="Style24"/>
              <w:ind w:hanging="0"/>
              <w:jc w:val="center"/>
              <w:rPr/>
            </w:pPr>
            <w:r>
              <w:rPr>
                <w:rFonts w:cs="Arial" w:ascii="Free Times" w:hAnsi="Free Times"/>
                <w:sz w:val="22"/>
                <w:szCs w:val="22"/>
              </w:rPr>
              <w:t xml:space="preserve">Sample 4 Nitrogen, </w:t>
            </w:r>
            <w:r>
              <w:rPr>
                <w:rFonts w:cs="Arial" w:ascii="Free Times" w:hAnsi="Free Times"/>
                <w:sz w:val="22"/>
                <w:szCs w:val="22"/>
                <w:lang w:val="en-US"/>
              </w:rPr>
              <w:t>source</w:t>
            </w:r>
          </w:p>
        </w:tc>
        <w:tc>
          <w:tcPr>
            <w:tcW w:w="1926" w:type="dxa"/>
            <w:tcBorders>
              <w:top w:val="single" w:sz="2" w:space="0" w:color="000001"/>
              <w:left w:val="single" w:sz="2" w:space="0" w:color="000001"/>
              <w:bottom w:val="single" w:sz="2" w:space="0" w:color="000001"/>
              <w:insideH w:val="single" w:sz="2" w:space="0" w:color="000001"/>
            </w:tcBorders>
            <w:shd w:color="auto" w:fill="auto" w:val="clear"/>
            <w:tcMar>
              <w:left w:w="56" w:type="dxa"/>
            </w:tcMar>
            <w:vAlign w:val="center"/>
          </w:tcPr>
          <w:p>
            <w:pPr>
              <w:pStyle w:val="Style24"/>
              <w:ind w:hanging="0"/>
              <w:jc w:val="center"/>
              <w:rPr>
                <w:rFonts w:ascii="Free Times" w:hAnsi="Free Times" w:cs="Arial"/>
                <w:sz w:val="22"/>
                <w:szCs w:val="22"/>
              </w:rPr>
            </w:pPr>
            <w:r>
              <w:rPr>
                <w:rFonts w:cs="Arial" w:ascii="Free Times" w:hAnsi="Free Times"/>
                <w:sz w:val="22"/>
                <w:szCs w:val="22"/>
              </w:rPr>
              <w:t>0.0832 ± 0.0109</w:t>
            </w:r>
          </w:p>
        </w:tc>
        <w:tc>
          <w:tcPr>
            <w:tcW w:w="1475" w:type="dxa"/>
            <w:tcBorders>
              <w:top w:val="single" w:sz="2" w:space="0" w:color="000001"/>
              <w:left w:val="single" w:sz="2" w:space="0" w:color="000001"/>
              <w:bottom w:val="single" w:sz="2" w:space="0" w:color="000001"/>
              <w:insideH w:val="single" w:sz="2" w:space="0" w:color="000001"/>
            </w:tcBorders>
            <w:shd w:color="auto" w:fill="auto" w:val="clear"/>
            <w:tcMar>
              <w:left w:w="56" w:type="dxa"/>
            </w:tcMar>
            <w:vAlign w:val="center"/>
          </w:tcPr>
          <w:p>
            <w:pPr>
              <w:pStyle w:val="Style24"/>
              <w:ind w:hanging="0"/>
              <w:jc w:val="center"/>
              <w:rPr>
                <w:rFonts w:ascii="Free Times" w:hAnsi="Free Times" w:cs="Arial"/>
                <w:sz w:val="22"/>
                <w:szCs w:val="22"/>
              </w:rPr>
            </w:pPr>
            <w:r>
              <w:rPr>
                <w:rFonts w:cs="Arial" w:ascii="Free Times" w:hAnsi="Free Times"/>
                <w:sz w:val="22"/>
                <w:szCs w:val="22"/>
              </w:rPr>
              <w:t>241.7 ± 16.2</w:t>
            </w:r>
          </w:p>
        </w:tc>
        <w:tc>
          <w:tcPr>
            <w:tcW w:w="13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6" w:type="dxa"/>
            </w:tcMar>
            <w:vAlign w:val="center"/>
          </w:tcPr>
          <w:p>
            <w:pPr>
              <w:pStyle w:val="Style24"/>
              <w:ind w:hanging="0"/>
              <w:jc w:val="center"/>
              <w:rPr>
                <w:rFonts w:ascii="Free Times" w:hAnsi="Free Times" w:cs="Arial"/>
                <w:sz w:val="22"/>
                <w:szCs w:val="22"/>
              </w:rPr>
            </w:pPr>
            <w:r>
              <w:rPr>
                <w:rFonts w:cs="Arial" w:ascii="Free Times" w:hAnsi="Free Times"/>
                <w:sz w:val="22"/>
                <w:szCs w:val="22"/>
              </w:rPr>
              <w:t>12.0 ± 2.0</w:t>
            </w:r>
          </w:p>
        </w:tc>
      </w:tr>
      <w:tr>
        <w:trPr/>
        <w:tc>
          <w:tcPr>
            <w:tcW w:w="4363" w:type="dxa"/>
            <w:tcBorders>
              <w:top w:val="single" w:sz="2" w:space="0" w:color="000001"/>
              <w:left w:val="single" w:sz="2" w:space="0" w:color="000001"/>
              <w:bottom w:val="single" w:sz="2" w:space="0" w:color="000001"/>
              <w:insideH w:val="single" w:sz="2" w:space="0" w:color="000001"/>
            </w:tcBorders>
            <w:shd w:color="auto" w:fill="auto" w:val="clear"/>
            <w:tcMar>
              <w:left w:w="56" w:type="dxa"/>
            </w:tcMar>
            <w:vAlign w:val="center"/>
          </w:tcPr>
          <w:p>
            <w:pPr>
              <w:pStyle w:val="Style24"/>
              <w:ind w:hanging="0"/>
              <w:jc w:val="center"/>
              <w:rPr/>
            </w:pPr>
            <w:r>
              <w:rPr>
                <w:rFonts w:cs="Arial" w:ascii="Free Times" w:hAnsi="Free Times"/>
                <w:sz w:val="22"/>
                <w:szCs w:val="22"/>
              </w:rPr>
              <w:t xml:space="preserve">Sample 4 Nitrogen, </w:t>
            </w:r>
            <w:r>
              <w:rPr>
                <w:rFonts w:cs="Arial" w:ascii="Free Times" w:hAnsi="Free Times"/>
                <w:sz w:val="22"/>
                <w:szCs w:val="22"/>
                <w:lang w:val="en-US"/>
              </w:rPr>
              <w:t>repricipitation</w:t>
            </w:r>
            <w:r>
              <w:rPr>
                <w:rFonts w:cs="Arial" w:ascii="Free Times" w:hAnsi="Free Times"/>
                <w:sz w:val="22"/>
                <w:szCs w:val="22"/>
              </w:rPr>
              <w:t xml:space="preserve"> 1</w:t>
            </w:r>
          </w:p>
        </w:tc>
        <w:tc>
          <w:tcPr>
            <w:tcW w:w="1926" w:type="dxa"/>
            <w:tcBorders>
              <w:top w:val="single" w:sz="2" w:space="0" w:color="000001"/>
              <w:left w:val="single" w:sz="2" w:space="0" w:color="000001"/>
              <w:bottom w:val="single" w:sz="2" w:space="0" w:color="000001"/>
              <w:insideH w:val="single" w:sz="2" w:space="0" w:color="000001"/>
            </w:tcBorders>
            <w:shd w:color="auto" w:fill="auto" w:val="clear"/>
            <w:tcMar>
              <w:left w:w="56" w:type="dxa"/>
            </w:tcMar>
            <w:vAlign w:val="center"/>
          </w:tcPr>
          <w:p>
            <w:pPr>
              <w:pStyle w:val="Style24"/>
              <w:ind w:hanging="0"/>
              <w:jc w:val="center"/>
              <w:rPr>
                <w:rFonts w:ascii="Free Times" w:hAnsi="Free Times" w:cs="Arial"/>
                <w:sz w:val="22"/>
                <w:szCs w:val="22"/>
              </w:rPr>
            </w:pPr>
            <w:r>
              <w:rPr>
                <w:rFonts w:cs="Arial" w:ascii="Free Times" w:hAnsi="Free Times"/>
                <w:sz w:val="22"/>
                <w:szCs w:val="22"/>
              </w:rPr>
              <w:t>0.0838 ± 0.0158</w:t>
            </w:r>
          </w:p>
        </w:tc>
        <w:tc>
          <w:tcPr>
            <w:tcW w:w="1475" w:type="dxa"/>
            <w:tcBorders>
              <w:top w:val="single" w:sz="2" w:space="0" w:color="000001"/>
              <w:left w:val="single" w:sz="2" w:space="0" w:color="000001"/>
              <w:bottom w:val="single" w:sz="2" w:space="0" w:color="000001"/>
              <w:insideH w:val="single" w:sz="2" w:space="0" w:color="000001"/>
            </w:tcBorders>
            <w:shd w:color="auto" w:fill="auto" w:val="clear"/>
            <w:tcMar>
              <w:left w:w="56" w:type="dxa"/>
            </w:tcMar>
            <w:vAlign w:val="center"/>
          </w:tcPr>
          <w:p>
            <w:pPr>
              <w:pStyle w:val="Style24"/>
              <w:ind w:hanging="0"/>
              <w:jc w:val="center"/>
              <w:rPr>
                <w:rFonts w:ascii="Free Times" w:hAnsi="Free Times" w:cs="Arial"/>
                <w:sz w:val="22"/>
                <w:szCs w:val="22"/>
              </w:rPr>
            </w:pPr>
            <w:r>
              <w:rPr>
                <w:rFonts w:cs="Arial" w:ascii="Free Times" w:hAnsi="Free Times"/>
                <w:sz w:val="22"/>
                <w:szCs w:val="22"/>
              </w:rPr>
              <w:t>235.1 ± 17.9</w:t>
            </w:r>
          </w:p>
        </w:tc>
        <w:tc>
          <w:tcPr>
            <w:tcW w:w="13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6" w:type="dxa"/>
            </w:tcMar>
            <w:vAlign w:val="center"/>
          </w:tcPr>
          <w:p>
            <w:pPr>
              <w:pStyle w:val="Style24"/>
              <w:ind w:hanging="0"/>
              <w:jc w:val="center"/>
              <w:rPr>
                <w:rFonts w:ascii="Free Times" w:hAnsi="Free Times" w:cs="Arial"/>
                <w:sz w:val="22"/>
                <w:szCs w:val="22"/>
              </w:rPr>
            </w:pPr>
            <w:r>
              <w:rPr>
                <w:rFonts w:cs="Arial" w:ascii="Free Times" w:hAnsi="Free Times"/>
                <w:sz w:val="22"/>
                <w:szCs w:val="22"/>
              </w:rPr>
              <w:t>10.2 ± 6.3</w:t>
            </w:r>
          </w:p>
        </w:tc>
      </w:tr>
      <w:tr>
        <w:trPr/>
        <w:tc>
          <w:tcPr>
            <w:tcW w:w="4363" w:type="dxa"/>
            <w:tcBorders>
              <w:top w:val="single" w:sz="2" w:space="0" w:color="000001"/>
              <w:left w:val="single" w:sz="2" w:space="0" w:color="000001"/>
              <w:bottom w:val="single" w:sz="2" w:space="0" w:color="000001"/>
              <w:insideH w:val="single" w:sz="2" w:space="0" w:color="000001"/>
            </w:tcBorders>
            <w:shd w:color="auto" w:fill="auto" w:val="clear"/>
            <w:tcMar>
              <w:left w:w="56" w:type="dxa"/>
            </w:tcMar>
            <w:vAlign w:val="center"/>
          </w:tcPr>
          <w:p>
            <w:pPr>
              <w:pStyle w:val="Style24"/>
              <w:ind w:hanging="0"/>
              <w:jc w:val="center"/>
              <w:rPr/>
            </w:pPr>
            <w:r>
              <w:rPr>
                <w:rFonts w:cs="Arial" w:ascii="Free Times" w:hAnsi="Free Times"/>
                <w:sz w:val="22"/>
                <w:szCs w:val="22"/>
              </w:rPr>
              <w:t xml:space="preserve">Sample 4 Nitrogen, </w:t>
            </w:r>
            <w:r>
              <w:rPr>
                <w:rFonts w:cs="Arial" w:ascii="Free Times" w:hAnsi="Free Times"/>
                <w:sz w:val="22"/>
                <w:szCs w:val="22"/>
                <w:lang w:val="en-US"/>
              </w:rPr>
              <w:t>repricipitation</w:t>
            </w:r>
            <w:r>
              <w:rPr>
                <w:rFonts w:cs="Arial" w:ascii="Free Times" w:hAnsi="Free Times"/>
                <w:sz w:val="22"/>
                <w:szCs w:val="22"/>
              </w:rPr>
              <w:t xml:space="preserve"> 2</w:t>
            </w:r>
          </w:p>
        </w:tc>
        <w:tc>
          <w:tcPr>
            <w:tcW w:w="1926" w:type="dxa"/>
            <w:tcBorders>
              <w:top w:val="single" w:sz="2" w:space="0" w:color="000001"/>
              <w:left w:val="single" w:sz="2" w:space="0" w:color="000001"/>
              <w:bottom w:val="single" w:sz="2" w:space="0" w:color="000001"/>
              <w:insideH w:val="single" w:sz="2" w:space="0" w:color="000001"/>
            </w:tcBorders>
            <w:shd w:color="auto" w:fill="auto" w:val="clear"/>
            <w:tcMar>
              <w:left w:w="56" w:type="dxa"/>
            </w:tcMar>
            <w:vAlign w:val="center"/>
          </w:tcPr>
          <w:p>
            <w:pPr>
              <w:pStyle w:val="Style24"/>
              <w:ind w:hanging="0"/>
              <w:jc w:val="center"/>
              <w:rPr>
                <w:rFonts w:ascii="Free Times" w:hAnsi="Free Times" w:cs="Arial"/>
                <w:sz w:val="22"/>
                <w:szCs w:val="22"/>
              </w:rPr>
            </w:pPr>
            <w:r>
              <w:rPr>
                <w:rFonts w:cs="Arial" w:ascii="Free Times" w:hAnsi="Free Times"/>
                <w:sz w:val="22"/>
                <w:szCs w:val="22"/>
              </w:rPr>
              <w:t>0.0931 ± 0.0071</w:t>
            </w:r>
          </w:p>
        </w:tc>
        <w:tc>
          <w:tcPr>
            <w:tcW w:w="1475" w:type="dxa"/>
            <w:tcBorders>
              <w:top w:val="single" w:sz="2" w:space="0" w:color="000001"/>
              <w:left w:val="single" w:sz="2" w:space="0" w:color="000001"/>
              <w:bottom w:val="single" w:sz="2" w:space="0" w:color="000001"/>
              <w:insideH w:val="single" w:sz="2" w:space="0" w:color="000001"/>
            </w:tcBorders>
            <w:shd w:color="auto" w:fill="auto" w:val="clear"/>
            <w:tcMar>
              <w:left w:w="56" w:type="dxa"/>
            </w:tcMar>
            <w:vAlign w:val="center"/>
          </w:tcPr>
          <w:p>
            <w:pPr>
              <w:pStyle w:val="Style24"/>
              <w:ind w:hanging="0"/>
              <w:jc w:val="center"/>
              <w:rPr>
                <w:rFonts w:ascii="Free Times" w:hAnsi="Free Times" w:cs="Arial"/>
                <w:sz w:val="22"/>
                <w:szCs w:val="22"/>
              </w:rPr>
            </w:pPr>
            <w:r>
              <w:rPr>
                <w:rFonts w:cs="Arial" w:ascii="Free Times" w:hAnsi="Free Times"/>
                <w:sz w:val="22"/>
                <w:szCs w:val="22"/>
              </w:rPr>
              <w:t>238.1 ± 6.8</w:t>
            </w:r>
          </w:p>
        </w:tc>
        <w:tc>
          <w:tcPr>
            <w:tcW w:w="13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6" w:type="dxa"/>
            </w:tcMar>
            <w:vAlign w:val="center"/>
          </w:tcPr>
          <w:p>
            <w:pPr>
              <w:pStyle w:val="Style24"/>
              <w:ind w:hanging="0"/>
              <w:jc w:val="center"/>
              <w:rPr>
                <w:rFonts w:ascii="Free Times" w:hAnsi="Free Times" w:cs="Arial"/>
                <w:sz w:val="22"/>
                <w:szCs w:val="22"/>
              </w:rPr>
            </w:pPr>
            <w:r>
              <w:rPr>
                <w:rFonts w:cs="Arial" w:ascii="Free Times" w:hAnsi="Free Times"/>
                <w:sz w:val="22"/>
                <w:szCs w:val="22"/>
              </w:rPr>
              <w:t>11.3 ± 2.3</w:t>
            </w:r>
          </w:p>
        </w:tc>
      </w:tr>
      <w:tr>
        <w:trPr/>
        <w:tc>
          <w:tcPr>
            <w:tcW w:w="4363" w:type="dxa"/>
            <w:tcBorders>
              <w:top w:val="single" w:sz="2" w:space="0" w:color="000001"/>
              <w:left w:val="single" w:sz="2" w:space="0" w:color="000001"/>
              <w:bottom w:val="single" w:sz="2" w:space="0" w:color="000001"/>
              <w:insideH w:val="single" w:sz="2" w:space="0" w:color="000001"/>
            </w:tcBorders>
            <w:shd w:color="auto" w:fill="auto" w:val="clear"/>
            <w:tcMar>
              <w:left w:w="58" w:type="dxa"/>
            </w:tcMar>
            <w:vAlign w:val="center"/>
          </w:tcPr>
          <w:p>
            <w:pPr>
              <w:pStyle w:val="Style24"/>
              <w:ind w:hanging="0"/>
              <w:jc w:val="center"/>
              <w:rPr>
                <w:sz w:val="4"/>
                <w:szCs w:val="4"/>
              </w:rPr>
            </w:pPr>
            <w:r>
              <w:rPr>
                <w:sz w:val="4"/>
                <w:szCs w:val="4"/>
              </w:rPr>
            </w:r>
          </w:p>
        </w:tc>
        <w:tc>
          <w:tcPr>
            <w:tcW w:w="1926" w:type="dxa"/>
            <w:tcBorders>
              <w:top w:val="single" w:sz="2" w:space="0" w:color="000001"/>
              <w:bottom w:val="single" w:sz="2" w:space="0" w:color="000001"/>
              <w:insideH w:val="single" w:sz="2" w:space="0" w:color="000001"/>
            </w:tcBorders>
            <w:shd w:color="auto" w:fill="auto" w:val="clear"/>
            <w:tcMar>
              <w:left w:w="61" w:type="dxa"/>
            </w:tcMar>
            <w:vAlign w:val="center"/>
          </w:tcPr>
          <w:p>
            <w:pPr>
              <w:pStyle w:val="Style24"/>
              <w:ind w:hanging="0"/>
              <w:jc w:val="center"/>
              <w:rPr>
                <w:rFonts w:ascii="Free Times" w:hAnsi="Free Times" w:cs="Arial"/>
                <w:sz w:val="4"/>
                <w:szCs w:val="4"/>
              </w:rPr>
            </w:pPr>
            <w:r>
              <w:rPr>
                <w:rFonts w:cs="Arial" w:ascii="Free Times" w:hAnsi="Free Times"/>
                <w:sz w:val="4"/>
                <w:szCs w:val="4"/>
              </w:rPr>
            </w:r>
          </w:p>
        </w:tc>
        <w:tc>
          <w:tcPr>
            <w:tcW w:w="1475" w:type="dxa"/>
            <w:tcBorders>
              <w:top w:val="single" w:sz="2" w:space="0" w:color="000001"/>
              <w:bottom w:val="single" w:sz="2" w:space="0" w:color="000001"/>
              <w:insideH w:val="single" w:sz="2" w:space="0" w:color="000001"/>
            </w:tcBorders>
            <w:shd w:color="auto" w:fill="auto" w:val="clear"/>
            <w:tcMar>
              <w:left w:w="61" w:type="dxa"/>
            </w:tcMar>
            <w:vAlign w:val="center"/>
          </w:tcPr>
          <w:p>
            <w:pPr>
              <w:pStyle w:val="Style24"/>
              <w:ind w:hanging="0"/>
              <w:jc w:val="center"/>
              <w:rPr>
                <w:rFonts w:ascii="Free Times" w:hAnsi="Free Times" w:cs="Arial"/>
                <w:sz w:val="4"/>
                <w:szCs w:val="4"/>
              </w:rPr>
            </w:pPr>
            <w:r>
              <w:rPr>
                <w:rFonts w:cs="Arial" w:ascii="Free Times" w:hAnsi="Free Times"/>
                <w:sz w:val="4"/>
                <w:szCs w:val="4"/>
              </w:rPr>
            </w:r>
          </w:p>
        </w:tc>
        <w:tc>
          <w:tcPr>
            <w:tcW w:w="1391" w:type="dxa"/>
            <w:tcBorders>
              <w:top w:val="single" w:sz="2" w:space="0" w:color="000001"/>
              <w:bottom w:val="single" w:sz="2" w:space="0" w:color="000001"/>
              <w:insideH w:val="single" w:sz="2" w:space="0" w:color="000001"/>
            </w:tcBorders>
            <w:shd w:color="auto" w:fill="auto" w:val="clear"/>
            <w:tcMar>
              <w:left w:w="61" w:type="dxa"/>
            </w:tcMar>
            <w:vAlign w:val="center"/>
          </w:tcPr>
          <w:p>
            <w:pPr>
              <w:pStyle w:val="Style24"/>
              <w:ind w:hanging="0"/>
              <w:jc w:val="center"/>
              <w:rPr>
                <w:rFonts w:ascii="Free Times" w:hAnsi="Free Times" w:cs="Arial"/>
                <w:sz w:val="4"/>
                <w:szCs w:val="4"/>
              </w:rPr>
            </w:pPr>
            <w:r>
              <w:rPr>
                <w:rFonts w:cs="Arial" w:ascii="Free Times" w:hAnsi="Free Times"/>
                <w:sz w:val="4"/>
                <w:szCs w:val="4"/>
              </w:rPr>
            </w:r>
          </w:p>
        </w:tc>
      </w:tr>
      <w:tr>
        <w:trPr/>
        <w:tc>
          <w:tcPr>
            <w:tcW w:w="4363" w:type="dxa"/>
            <w:tcBorders>
              <w:top w:val="single" w:sz="2" w:space="0" w:color="000001"/>
              <w:left w:val="single" w:sz="2" w:space="0" w:color="000001"/>
              <w:bottom w:val="single" w:sz="2" w:space="0" w:color="000001"/>
              <w:insideH w:val="single" w:sz="2" w:space="0" w:color="000001"/>
            </w:tcBorders>
            <w:shd w:color="auto" w:fill="auto" w:val="clear"/>
            <w:tcMar>
              <w:left w:w="56" w:type="dxa"/>
            </w:tcMar>
            <w:vAlign w:val="center"/>
          </w:tcPr>
          <w:p>
            <w:pPr>
              <w:pStyle w:val="Style24"/>
              <w:ind w:hanging="0"/>
              <w:jc w:val="center"/>
              <w:rPr>
                <w:rFonts w:ascii="Free Times" w:hAnsi="Free Times" w:cs="Arial"/>
                <w:b/>
                <w:b/>
                <w:sz w:val="22"/>
                <w:szCs w:val="22"/>
              </w:rPr>
            </w:pPr>
            <w:r>
              <w:rPr>
                <w:rFonts w:cs="Arial" w:ascii="Free Times" w:hAnsi="Free Times"/>
                <w:b/>
                <w:sz w:val="22"/>
                <w:szCs w:val="22"/>
              </w:rPr>
              <w:t>General statistics</w:t>
            </w:r>
          </w:p>
        </w:tc>
        <w:tc>
          <w:tcPr>
            <w:tcW w:w="1926" w:type="dxa"/>
            <w:tcBorders>
              <w:top w:val="single" w:sz="2" w:space="0" w:color="000001"/>
              <w:left w:val="single" w:sz="2" w:space="0" w:color="000001"/>
              <w:bottom w:val="single" w:sz="2" w:space="0" w:color="000001"/>
              <w:insideH w:val="single" w:sz="2" w:space="0" w:color="000001"/>
            </w:tcBorders>
            <w:shd w:color="auto" w:fill="auto" w:val="clear"/>
            <w:tcMar>
              <w:left w:w="56" w:type="dxa"/>
            </w:tcMar>
            <w:vAlign w:val="center"/>
          </w:tcPr>
          <w:p>
            <w:pPr>
              <w:pStyle w:val="Style24"/>
              <w:ind w:hanging="0"/>
              <w:jc w:val="center"/>
              <w:rPr>
                <w:rFonts w:ascii="Free Times" w:hAnsi="Free Times" w:cs="Arial"/>
                <w:b/>
                <w:b/>
                <w:sz w:val="22"/>
                <w:szCs w:val="22"/>
              </w:rPr>
            </w:pPr>
            <w:r>
              <w:rPr>
                <w:rFonts w:cs="Arial" w:ascii="Free Times" w:hAnsi="Free Times"/>
                <w:b/>
                <w:sz w:val="22"/>
                <w:szCs w:val="22"/>
              </w:rPr>
              <w:t>0.0882 ± 0.0045</w:t>
            </w:r>
          </w:p>
        </w:tc>
        <w:tc>
          <w:tcPr>
            <w:tcW w:w="1475" w:type="dxa"/>
            <w:tcBorders>
              <w:top w:val="single" w:sz="2" w:space="0" w:color="000001"/>
              <w:left w:val="single" w:sz="2" w:space="0" w:color="000001"/>
              <w:bottom w:val="single" w:sz="2" w:space="0" w:color="000001"/>
              <w:insideH w:val="single" w:sz="2" w:space="0" w:color="000001"/>
            </w:tcBorders>
            <w:shd w:color="auto" w:fill="auto" w:val="clear"/>
            <w:tcMar>
              <w:left w:w="56" w:type="dxa"/>
            </w:tcMar>
            <w:vAlign w:val="center"/>
          </w:tcPr>
          <w:p>
            <w:pPr>
              <w:pStyle w:val="Style24"/>
              <w:ind w:hanging="0"/>
              <w:jc w:val="center"/>
              <w:rPr>
                <w:rFonts w:ascii="Free Times" w:hAnsi="Free Times" w:cs="Arial"/>
                <w:b/>
                <w:b/>
                <w:sz w:val="22"/>
                <w:szCs w:val="22"/>
              </w:rPr>
            </w:pPr>
            <w:r>
              <w:rPr>
                <w:rFonts w:cs="Arial" w:ascii="Free Times" w:hAnsi="Free Times"/>
                <w:b/>
                <w:sz w:val="22"/>
                <w:szCs w:val="22"/>
              </w:rPr>
              <w:t>237.7 ± 4.6</w:t>
            </w:r>
          </w:p>
        </w:tc>
        <w:tc>
          <w:tcPr>
            <w:tcW w:w="13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6" w:type="dxa"/>
            </w:tcMar>
            <w:vAlign w:val="center"/>
          </w:tcPr>
          <w:p>
            <w:pPr>
              <w:pStyle w:val="Style24"/>
              <w:ind w:hanging="0"/>
              <w:jc w:val="center"/>
              <w:rPr>
                <w:rFonts w:ascii="Free Times" w:hAnsi="Free Times" w:cs="Arial"/>
                <w:b/>
                <w:b/>
                <w:sz w:val="22"/>
                <w:szCs w:val="22"/>
              </w:rPr>
            </w:pPr>
            <w:r>
              <w:rPr>
                <w:rFonts w:cs="Arial" w:ascii="Free Times" w:hAnsi="Free Times"/>
                <w:b/>
                <w:sz w:val="22"/>
                <w:szCs w:val="22"/>
              </w:rPr>
              <w:t>13.8 ± 3.3</w:t>
            </w:r>
          </w:p>
        </w:tc>
      </w:tr>
    </w:tbl>
    <w:p>
      <w:pPr>
        <w:pStyle w:val="Normal"/>
        <w:jc w:val="center"/>
        <w:rPr>
          <w:highlight w:val="yellow"/>
        </w:rPr>
      </w:pPr>
      <w:r>
        <w:rPr>
          <w:highlight w:val="yellow"/>
        </w:rPr>
      </w:r>
    </w:p>
    <w:p>
      <w:pPr>
        <w:pStyle w:val="Normal"/>
        <w:rPr/>
      </w:pPr>
      <w:r>
        <w:rPr/>
        <w:t xml:space="preserve">Результаты изотермического разложения солей </w:t>
      </w:r>
      <w:r>
        <w:rPr>
          <w:b/>
          <w:bCs/>
        </w:rPr>
        <w:t>1-3</w:t>
      </w:r>
      <w:r>
        <w:rPr/>
        <w:t xml:space="preserve"> при 75 </w:t>
      </w:r>
      <w:r>
        <w:rPr>
          <w:vertAlign w:val="superscript"/>
        </w:rPr>
        <w:t>о</w:t>
      </w:r>
      <w:r>
        <w:rPr/>
        <w:t>С, 80 </w:t>
      </w:r>
      <w:r>
        <w:rPr>
          <w:vertAlign w:val="superscript"/>
        </w:rPr>
        <w:t>о</w:t>
      </w:r>
      <w:r>
        <w:rPr/>
        <w:t>С, 85 </w:t>
      </w:r>
      <w:r>
        <w:rPr>
          <w:vertAlign w:val="superscript"/>
        </w:rPr>
        <w:t>о</w:t>
      </w:r>
      <w:r>
        <w:rPr/>
        <w:t xml:space="preserve">С представлены в таблице 3 и  рисунках 7-10. По результатам экспериментов значения максимального теплового потока для 4-нитробензолдиазониевых солей </w:t>
      </w:r>
      <w:commentRangeStart w:id="2"/>
      <w:r>
        <w:rPr>
          <w:b/>
          <w:bCs/>
          <w:highlight w:val="yellow"/>
          <w:u w:val="single"/>
        </w:rPr>
        <w:t>1</w:t>
      </w:r>
      <w:r>
        <w:rPr>
          <w:b/>
          <w:bCs/>
          <w:highlight w:val="yellow"/>
          <w:u w:val="single"/>
          <w:lang w:val="en-US"/>
        </w:rPr>
        <w:t>c</w:t>
      </w:r>
      <w:r>
        <w:rPr>
          <w:b/>
          <w:bCs/>
          <w:highlight w:val="yellow"/>
          <w:u w:val="single"/>
        </w:rPr>
        <w:t>, 2, 3</w:t>
      </w:r>
      <w:r>
        <w:rPr>
          <w:highlight w:val="yellow"/>
          <w:u w:val="single"/>
        </w:rPr>
        <w:t xml:space="preserve">  практически не зависят от аниона</w:t>
      </w:r>
      <w:r>
        <w:rPr>
          <w:highlight w:val="yellow"/>
          <w:u w:val="single"/>
        </w:rPr>
      </w:r>
      <w:commentRangeEnd w:id="2"/>
      <w:r>
        <w:commentReference w:id="2"/>
      </w:r>
      <w:r>
        <w:rPr/>
        <w:t xml:space="preserve">. 4-Methoxybenzenediazonium trflate </w:t>
      </w:r>
      <w:r>
        <w:rPr>
          <w:rFonts w:ascii="Times New Roman" w:hAnsi="Times New Roman"/>
          <w:b/>
          <w:bCs/>
        </w:rPr>
        <w:t>1</w:t>
      </w:r>
      <w:r>
        <w:rPr>
          <w:rFonts w:ascii="Times New Roman" w:hAnsi="Times New Roman"/>
          <w:b/>
          <w:bCs/>
          <w:lang w:val="en-US"/>
        </w:rPr>
        <w:t>d</w:t>
      </w:r>
      <w:r>
        <w:rPr/>
        <w:t xml:space="preserve"> имеет значительно меньшие величины P </w:t>
      </w:r>
      <w:r>
        <w:rPr>
          <w:vertAlign w:val="subscript"/>
        </w:rPr>
        <w:t>max</w:t>
      </w:r>
      <w:r>
        <w:rPr/>
        <w:t xml:space="preserve"> в сравнении с 4-nitroderivative </w:t>
      </w:r>
      <w:r>
        <w:rPr>
          <w:b/>
          <w:bCs/>
        </w:rPr>
        <w:t>1c</w:t>
      </w:r>
      <w:r>
        <w:rPr/>
        <w:t xml:space="preserve"> </w:t>
      </w:r>
      <w:commentRangeStart w:id="3"/>
      <w:r>
        <w:rPr>
          <w:strike/>
          <w:highlight w:val="yellow"/>
        </w:rPr>
        <w:t>and other disazonium salts</w:t>
      </w:r>
      <w:r>
        <w:rPr>
          <w:strike/>
          <w:highlight w:val="yellow"/>
        </w:rPr>
      </w:r>
      <w:commentRangeEnd w:id="3"/>
      <w:r>
        <w:commentReference w:id="3"/>
      </w:r>
      <w:r>
        <w:rPr/>
        <w:t xml:space="preserve">. Среди nitrobenzenediazonium triflates </w:t>
      </w:r>
      <w:r>
        <w:rPr>
          <w:b/>
          <w:bCs/>
        </w:rPr>
        <w:t xml:space="preserve">1a-c </w:t>
      </w:r>
      <w:r>
        <w:rPr/>
        <w:t xml:space="preserve">наблюдается уменьшение величины максимального теплового потока в ряду пара- </w:t>
      </w:r>
      <w:r>
        <w:rPr>
          <w:b/>
          <w:bCs/>
        </w:rPr>
        <w:t>1c</w:t>
      </w:r>
      <w:r>
        <w:rPr/>
        <w:t xml:space="preserve"> &gt; мета- </w:t>
      </w:r>
      <w:r>
        <w:rPr>
          <w:b/>
          <w:bCs/>
        </w:rPr>
        <w:t>1b</w:t>
      </w:r>
      <w:r>
        <w:rPr/>
        <w:t xml:space="preserve"> &gt; орто- </w:t>
      </w:r>
      <w:r>
        <w:rPr>
          <w:b/>
          <w:bCs/>
        </w:rPr>
        <w:t>1a</w:t>
      </w:r>
      <w:r>
        <w:rPr/>
        <w:t xml:space="preserve"> замещенных. </w:t>
      </w:r>
      <w:r>
        <w:rPr>
          <w:color w:val="000000"/>
        </w:rPr>
        <w:t>Величины максимальных тепловых потоков важны не только для математического моделирования кинетики реакций, но и с практической точки зрения, как важная характеристика, количественно описывающая один из аспектов безопасности этих веществ.</w:t>
      </w:r>
    </w:p>
    <w:p>
      <w:pPr>
        <w:pStyle w:val="Normal"/>
        <w:rPr/>
      </w:pPr>
      <w:r>
        <w:rPr/>
      </w:r>
    </w:p>
    <w:p>
      <w:pPr>
        <w:pStyle w:val="Normal"/>
        <w:jc w:val="right"/>
        <w:rPr/>
      </w:pPr>
      <w:r>
        <w:rPr/>
        <w:t>Таблица 3</w:t>
      </w:r>
    </w:p>
    <w:p>
      <w:pPr>
        <w:pStyle w:val="Normal"/>
        <w:jc w:val="center"/>
        <w:rPr/>
      </w:pPr>
      <w:r>
        <w:rPr/>
        <w:t xml:space="preserve">Интегральная энтальпия и величина максимального теплового потока </w:t>
      </w:r>
    </w:p>
    <w:p>
      <w:pPr>
        <w:pStyle w:val="Normal"/>
        <w:jc w:val="center"/>
        <w:rPr/>
      </w:pPr>
      <w:r>
        <w:rPr/>
        <w:t xml:space="preserve">при разложении диазониевых солей </w:t>
      </w:r>
      <w:r>
        <w:rPr>
          <w:b/>
        </w:rPr>
        <w:t>1-3</w:t>
      </w:r>
    </w:p>
    <w:p>
      <w:pPr>
        <w:pStyle w:val="Normal"/>
        <w:ind w:hanging="0"/>
        <w:jc w:val="center"/>
        <w:rPr/>
      </w:pPr>
      <w:r>
        <w:rPr>
          <w:rFonts w:ascii="Standard Symbols L" w:hAnsi="Standard Symbols L"/>
          <w:sz w:val="16"/>
          <w:szCs w:val="16"/>
        </w:rPr>
        <w:t>(</w:t>
      </w:r>
      <w:r>
        <w:rPr>
          <w:rFonts w:ascii="Symbol" w:hAnsi="Symbol"/>
          <w:sz w:val="16"/>
          <w:szCs w:val="16"/>
        </w:rPr>
        <w:t></w:t>
      </w:r>
      <w:r>
        <w:rPr/>
        <w:t>H интегральная энтальпия, P</w:t>
      </w:r>
      <w:r>
        <w:rPr>
          <w:vertAlign w:val="subscript"/>
        </w:rPr>
        <w:t>max</w:t>
      </w:r>
      <w:r>
        <w:rPr/>
        <w:t xml:space="preserve">  величина максимального теплового потока)</w:t>
      </w:r>
    </w:p>
    <w:tbl>
      <w:tblPr>
        <w:tblW w:w="9640" w:type="dxa"/>
        <w:jc w:val="left"/>
        <w:tblInd w:w="53" w:type="dxa"/>
        <w:tblBorders>
          <w:top w:val="single" w:sz="2" w:space="0" w:color="000001"/>
          <w:left w:val="single" w:sz="2" w:space="0" w:color="000001"/>
          <w:bottom w:val="single" w:sz="2" w:space="0" w:color="000001"/>
          <w:insideH w:val="single" w:sz="2" w:space="0" w:color="000001"/>
        </w:tblBorders>
        <w:tblCellMar>
          <w:top w:w="55" w:type="dxa"/>
          <w:left w:w="50" w:type="dxa"/>
          <w:bottom w:w="55" w:type="dxa"/>
          <w:right w:w="55" w:type="dxa"/>
        </w:tblCellMar>
        <w:tblLook w:val="0000" w:noVBand="0" w:noHBand="0" w:lastColumn="0" w:firstColumn="0" w:lastRow="0" w:firstRow="0"/>
      </w:tblPr>
      <w:tblGrid>
        <w:gridCol w:w="2811"/>
        <w:gridCol w:w="1083"/>
        <w:gridCol w:w="1083"/>
        <w:gridCol w:w="1108"/>
        <w:gridCol w:w="1"/>
        <w:gridCol w:w="1163"/>
        <w:gridCol w:w="1152"/>
        <w:gridCol w:w="1238"/>
      </w:tblGrid>
      <w:tr>
        <w:trPr>
          <w:tblHeader w:val="true"/>
          <w:cantSplit w:val="true"/>
        </w:trPr>
        <w:tc>
          <w:tcPr>
            <w:tcW w:w="2811"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5"/>
              <w:spacing w:lineRule="auto" w:line="240"/>
              <w:ind w:hanging="0"/>
              <w:rPr>
                <w:rFonts w:ascii="Times New Roman" w:hAnsi="Times New Roman" w:cs="Times New Roman"/>
                <w:b w:val="false"/>
                <w:b w:val="false"/>
                <w:bCs w:val="false"/>
              </w:rPr>
            </w:pPr>
            <w:r>
              <w:rPr>
                <w:rFonts w:cs="Times New Roman" w:ascii="Times New Roman" w:hAnsi="Times New Roman"/>
                <w:b w:val="false"/>
                <w:bCs w:val="false"/>
              </w:rPr>
              <w:t>Substance</w:t>
            </w:r>
          </w:p>
        </w:tc>
        <w:tc>
          <w:tcPr>
            <w:tcW w:w="3275" w:type="dxa"/>
            <w:gridSpan w:val="4"/>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5"/>
              <w:spacing w:lineRule="auto" w:line="240"/>
              <w:ind w:hanging="0"/>
              <w:rPr/>
            </w:pPr>
            <w:r>
              <w:rPr>
                <w:rFonts w:eastAsia="Symbol" w:cs="Symbol" w:ascii="Symbol" w:hAnsi="Symbol"/>
                <w:b w:val="false"/>
                <w:bCs w:val="false"/>
                <w:sz w:val="16"/>
                <w:szCs w:val="16"/>
              </w:rPr>
              <w:t></w:t>
            </w:r>
            <w:r>
              <w:rPr>
                <w:rFonts w:cs="Times New Roman" w:ascii="Times New Roman" w:hAnsi="Times New Roman"/>
                <w:b w:val="false"/>
                <w:bCs w:val="false"/>
              </w:rPr>
              <w:t>H, kJ/mol</w:t>
            </w:r>
          </w:p>
        </w:tc>
        <w:tc>
          <w:tcPr>
            <w:tcW w:w="3553"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0" w:type="dxa"/>
            </w:tcMar>
            <w:vAlign w:val="center"/>
          </w:tcPr>
          <w:p>
            <w:pPr>
              <w:pStyle w:val="Style24"/>
              <w:spacing w:lineRule="auto" w:line="240"/>
              <w:ind w:hanging="0"/>
              <w:jc w:val="center"/>
              <w:rPr/>
            </w:pPr>
            <w:r>
              <w:rPr>
                <w:rFonts w:cs="Times New Roman" w:ascii="Times New Roman" w:hAnsi="Times New Roman"/>
              </w:rPr>
              <w:t>P</w:t>
            </w:r>
            <w:r>
              <w:rPr>
                <w:rFonts w:cs="Times New Roman" w:ascii="Times New Roman" w:hAnsi="Times New Roman"/>
                <w:vertAlign w:val="subscript"/>
              </w:rPr>
              <w:t>max</w:t>
            </w:r>
            <w:r>
              <w:rPr>
                <w:rFonts w:cs="Times New Roman" w:ascii="Times New Roman" w:hAnsi="Times New Roman"/>
              </w:rPr>
              <w:t>, mW/g</w:t>
            </w:r>
          </w:p>
        </w:tc>
      </w:tr>
      <w:tr>
        <w:trPr>
          <w:cantSplit w:val="true"/>
        </w:trPr>
        <w:tc>
          <w:tcPr>
            <w:tcW w:w="2811"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Normal"/>
              <w:rPr/>
            </w:pPr>
            <w:r>
              <w:rPr/>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pPr>
            <w:r>
              <w:rPr>
                <w:rFonts w:cs="Times New Roman" w:ascii="Times New Roman" w:hAnsi="Times New Roman"/>
              </w:rPr>
              <w:t>75</w:t>
            </w:r>
            <w:r>
              <w:rPr>
                <w:rFonts w:cs="Times New Roman" w:ascii="Times New Roman" w:hAnsi="Times New Roman"/>
                <w:vertAlign w:val="superscript"/>
              </w:rPr>
              <w:t>o</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pPr>
            <w:r>
              <w:rPr>
                <w:rFonts w:cs="Times New Roman" w:ascii="Times New Roman" w:hAnsi="Times New Roman"/>
              </w:rPr>
              <w:t>80</w:t>
            </w:r>
            <w:r>
              <w:rPr>
                <w:rFonts w:cs="Times New Roman" w:ascii="Times New Roman" w:hAnsi="Times New Roman"/>
                <w:vertAlign w:val="superscript"/>
              </w:rPr>
              <w:t>o</w:t>
            </w:r>
          </w:p>
        </w:tc>
        <w:tc>
          <w:tcPr>
            <w:tcW w:w="1108"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pPr>
            <w:r>
              <w:rPr>
                <w:rFonts w:cs="Times New Roman" w:ascii="Times New Roman" w:hAnsi="Times New Roman"/>
              </w:rPr>
              <w:t>85</w:t>
            </w:r>
            <w:r>
              <w:rPr>
                <w:rFonts w:cs="Times New Roman" w:ascii="Times New Roman" w:hAnsi="Times New Roman"/>
                <w:vertAlign w:val="superscript"/>
              </w:rPr>
              <w:t>o</w:t>
            </w:r>
          </w:p>
        </w:tc>
        <w:tc>
          <w:tcPr>
            <w:tcW w:w="1164" w:type="dxa"/>
            <w:gridSpan w:val="2"/>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pPr>
            <w:r>
              <w:rPr>
                <w:rFonts w:cs="Times New Roman" w:ascii="Times New Roman" w:hAnsi="Times New Roman"/>
              </w:rPr>
              <w:t>75</w:t>
            </w:r>
            <w:r>
              <w:rPr>
                <w:rFonts w:cs="Times New Roman" w:ascii="Times New Roman" w:hAnsi="Times New Roman"/>
                <w:vertAlign w:val="superscript"/>
              </w:rPr>
              <w:t>o</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pPr>
            <w:r>
              <w:rPr>
                <w:rFonts w:cs="Times New Roman" w:ascii="Times New Roman" w:hAnsi="Times New Roman"/>
              </w:rPr>
              <w:t>80</w:t>
            </w:r>
            <w:r>
              <w:rPr>
                <w:rFonts w:cs="Times New Roman" w:ascii="Times New Roman" w:hAnsi="Times New Roman"/>
                <w:vertAlign w:val="superscript"/>
              </w:rPr>
              <w:t>o</w:t>
            </w:r>
          </w:p>
        </w:tc>
        <w:tc>
          <w:tcPr>
            <w:tcW w:w="12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0" w:type="dxa"/>
            </w:tcMar>
            <w:vAlign w:val="center"/>
          </w:tcPr>
          <w:p>
            <w:pPr>
              <w:pStyle w:val="Style24"/>
              <w:spacing w:lineRule="auto" w:line="240"/>
              <w:ind w:hanging="0"/>
              <w:jc w:val="center"/>
              <w:rPr/>
            </w:pPr>
            <w:r>
              <w:rPr>
                <w:rFonts w:cs="Times New Roman" w:ascii="Times New Roman" w:hAnsi="Times New Roman"/>
              </w:rPr>
              <w:t>85</w:t>
            </w:r>
            <w:r>
              <w:rPr>
                <w:rFonts w:cs="Times New Roman" w:ascii="Times New Roman" w:hAnsi="Times New Roman"/>
                <w:vertAlign w:val="superscript"/>
              </w:rPr>
              <w:t>o</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pPr>
            <w:r>
              <w:rPr>
                <w:rFonts w:ascii="Times New Roman" w:hAnsi="Times New Roman"/>
                <w:szCs w:val="28"/>
                <w:lang w:val="en-US"/>
              </w:rPr>
              <w:t>2-NO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1a</w:t>
            </w:r>
            <w:r>
              <w:rPr>
                <w:rFonts w:ascii="Times New Roman" w:hAnsi="Times New Roman"/>
                <w:szCs w:val="28"/>
                <w:lang w:val="en-US"/>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rFonts w:ascii="Times New Roman" w:hAnsi="Times New Roman" w:cs="Times New Roman"/>
              </w:rPr>
            </w:pPr>
            <w:r>
              <w:rPr>
                <w:rFonts w:cs="Times New Roman" w:ascii="Times New Roman" w:hAnsi="Times New Roman"/>
              </w:rPr>
              <w:t>414.0</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rFonts w:ascii="Times New Roman" w:hAnsi="Times New Roman" w:cs="Times New Roman"/>
              </w:rPr>
            </w:pPr>
            <w:r>
              <w:rPr>
                <w:rFonts w:cs="Times New Roman" w:ascii="Times New Roman" w:hAnsi="Times New Roman"/>
              </w:rPr>
              <w:t>386.0</w:t>
            </w:r>
          </w:p>
        </w:tc>
        <w:tc>
          <w:tcPr>
            <w:tcW w:w="1108"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rFonts w:ascii="Times New Roman" w:hAnsi="Times New Roman" w:cs="Times New Roman"/>
                <w:color w:val="000000"/>
              </w:rPr>
            </w:pPr>
            <w:r>
              <w:rPr>
                <w:rFonts w:cs="Times New Roman" w:ascii="Times New Roman" w:hAnsi="Times New Roman"/>
                <w:color w:val="000000"/>
              </w:rPr>
              <w:t>396.0</w:t>
            </w:r>
          </w:p>
        </w:tc>
        <w:tc>
          <w:tcPr>
            <w:tcW w:w="1164" w:type="dxa"/>
            <w:gridSpan w:val="2"/>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rFonts w:ascii="Times New Roman" w:hAnsi="Times New Roman" w:cs="Times New Roman"/>
              </w:rPr>
            </w:pPr>
            <w:r>
              <w:rPr>
                <w:rFonts w:cs="Times New Roman" w:ascii="Times New Roman" w:hAnsi="Times New Roman"/>
              </w:rPr>
              <w:t>0.705</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rFonts w:ascii="Times New Roman" w:hAnsi="Times New Roman" w:cs="Times New Roman"/>
              </w:rPr>
            </w:pPr>
            <w:r>
              <w:rPr>
                <w:rFonts w:cs="Times New Roman" w:ascii="Times New Roman" w:hAnsi="Times New Roman"/>
              </w:rPr>
              <w:t>1.49</w:t>
            </w:r>
          </w:p>
        </w:tc>
        <w:tc>
          <w:tcPr>
            <w:tcW w:w="12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0" w:type="dxa"/>
            </w:tcMar>
            <w:vAlign w:val="center"/>
          </w:tcPr>
          <w:p>
            <w:pPr>
              <w:pStyle w:val="Style24"/>
              <w:spacing w:lineRule="auto" w:line="240"/>
              <w:ind w:hanging="0"/>
              <w:jc w:val="center"/>
              <w:rPr>
                <w:rFonts w:ascii="Times New Roman" w:hAnsi="Times New Roman" w:cs="Times New Roman"/>
              </w:rPr>
            </w:pPr>
            <w:r>
              <w:rPr>
                <w:rFonts w:cs="Times New Roman" w:ascii="Times New Roman" w:hAnsi="Times New Roman"/>
              </w:rPr>
              <w:t>2.33</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1b</w:t>
            </w:r>
            <w:r>
              <w:rPr>
                <w:rFonts w:ascii="Times New Roman" w:hAnsi="Times New Roman"/>
                <w:szCs w:val="28"/>
                <w:lang w:val="en-US"/>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rFonts w:ascii="Times New Roman" w:hAnsi="Times New Roman" w:cs="Times New Roman"/>
              </w:rPr>
            </w:pPr>
            <w:r>
              <w:rPr>
                <w:rFonts w:cs="Times New Roman" w:ascii="Times New Roman" w:hAnsi="Times New Roman"/>
              </w:rPr>
              <w:t>227,9</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rFonts w:ascii="Times New Roman" w:hAnsi="Times New Roman" w:cs="Times New Roman"/>
              </w:rPr>
            </w:pPr>
            <w:r>
              <w:rPr>
                <w:rFonts w:cs="Times New Roman" w:ascii="Times New Roman" w:hAnsi="Times New Roman"/>
              </w:rPr>
              <w:t>230.0</w:t>
            </w:r>
          </w:p>
        </w:tc>
        <w:tc>
          <w:tcPr>
            <w:tcW w:w="1108"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rFonts w:ascii="Times New Roman" w:hAnsi="Times New Roman" w:cs="Times New Roman"/>
                <w:color w:val="000000"/>
              </w:rPr>
            </w:pPr>
            <w:r>
              <w:rPr>
                <w:rFonts w:cs="Times New Roman" w:ascii="Times New Roman" w:hAnsi="Times New Roman"/>
                <w:color w:val="000000"/>
              </w:rPr>
              <w:t>225.4</w:t>
            </w:r>
          </w:p>
        </w:tc>
        <w:tc>
          <w:tcPr>
            <w:tcW w:w="1164" w:type="dxa"/>
            <w:gridSpan w:val="2"/>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rFonts w:ascii="Times New Roman" w:hAnsi="Times New Roman" w:cs="Times New Roman"/>
              </w:rPr>
            </w:pPr>
            <w:r>
              <w:rPr>
                <w:rFonts w:cs="Times New Roman" w:ascii="Times New Roman" w:hAnsi="Times New Roman"/>
              </w:rPr>
              <w:t>6.57</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rFonts w:ascii="Times New Roman" w:hAnsi="Times New Roman" w:cs="Times New Roman"/>
              </w:rPr>
            </w:pPr>
            <w:r>
              <w:rPr>
                <w:rFonts w:cs="Times New Roman" w:ascii="Times New Roman" w:hAnsi="Times New Roman"/>
              </w:rPr>
              <w:t>14.15</w:t>
            </w:r>
          </w:p>
        </w:tc>
        <w:tc>
          <w:tcPr>
            <w:tcW w:w="12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0" w:type="dxa"/>
            </w:tcMar>
            <w:vAlign w:val="center"/>
          </w:tcPr>
          <w:p>
            <w:pPr>
              <w:pStyle w:val="Style24"/>
              <w:spacing w:lineRule="auto" w:line="240"/>
              <w:ind w:hanging="0"/>
              <w:jc w:val="center"/>
              <w:rPr>
                <w:rFonts w:ascii="Times New Roman" w:hAnsi="Times New Roman" w:cs="Times New Roman"/>
              </w:rPr>
            </w:pPr>
            <w:r>
              <w:rPr>
                <w:rFonts w:cs="Times New Roman" w:ascii="Times New Roman" w:hAnsi="Times New Roman"/>
              </w:rPr>
              <w:t>28.8</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1c</w:t>
            </w:r>
            <w:r>
              <w:rPr>
                <w:rFonts w:ascii="Times New Roman" w:hAnsi="Times New Roman"/>
                <w:szCs w:val="28"/>
                <w:lang w:val="en-US"/>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rFonts w:ascii="Times New Roman" w:hAnsi="Times New Roman" w:cs="Times New Roman"/>
              </w:rPr>
            </w:pPr>
            <w:r>
              <w:rPr>
                <w:rFonts w:cs="Times New Roman" w:ascii="Times New Roman" w:hAnsi="Times New Roman"/>
              </w:rPr>
              <w:t xml:space="preserve">200.0 </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rFonts w:ascii="Times New Roman" w:hAnsi="Times New Roman" w:cs="Times New Roman"/>
              </w:rPr>
            </w:pPr>
            <w:r>
              <w:rPr>
                <w:rFonts w:cs="Times New Roman" w:ascii="Times New Roman" w:hAnsi="Times New Roman"/>
              </w:rPr>
              <w:t xml:space="preserve">235.1 </w:t>
            </w:r>
          </w:p>
        </w:tc>
        <w:tc>
          <w:tcPr>
            <w:tcW w:w="1108"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rFonts w:ascii="Times New Roman" w:hAnsi="Times New Roman" w:cs="Times New Roman"/>
                <w:color w:val="000000"/>
              </w:rPr>
            </w:pPr>
            <w:r>
              <w:rPr>
                <w:rFonts w:cs="Times New Roman" w:ascii="Times New Roman" w:hAnsi="Times New Roman"/>
                <w:color w:val="000000"/>
              </w:rPr>
              <w:t>250.0</w:t>
            </w:r>
          </w:p>
        </w:tc>
        <w:tc>
          <w:tcPr>
            <w:tcW w:w="1164" w:type="dxa"/>
            <w:gridSpan w:val="2"/>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rFonts w:ascii="Times New Roman" w:hAnsi="Times New Roman" w:cs="Times New Roman"/>
              </w:rPr>
            </w:pPr>
            <w:r>
              <w:rPr>
                <w:rFonts w:cs="Times New Roman" w:ascii="Times New Roman" w:hAnsi="Times New Roman"/>
              </w:rPr>
              <w:t>20.12</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rFonts w:ascii="Times New Roman" w:hAnsi="Times New Roman" w:cs="Times New Roman"/>
              </w:rPr>
            </w:pPr>
            <w:r>
              <w:rPr>
                <w:rFonts w:cs="Times New Roman" w:ascii="Times New Roman" w:hAnsi="Times New Roman"/>
              </w:rPr>
              <w:t>47.89</w:t>
            </w:r>
          </w:p>
        </w:tc>
        <w:tc>
          <w:tcPr>
            <w:tcW w:w="12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0" w:type="dxa"/>
            </w:tcMar>
            <w:vAlign w:val="center"/>
          </w:tcPr>
          <w:p>
            <w:pPr>
              <w:pStyle w:val="Style24"/>
              <w:spacing w:lineRule="auto" w:line="240"/>
              <w:ind w:hanging="0"/>
              <w:jc w:val="center"/>
              <w:rPr>
                <w:rFonts w:ascii="Times New Roman" w:hAnsi="Times New Roman" w:cs="Times New Roman"/>
              </w:rPr>
            </w:pPr>
            <w:r>
              <w:rPr>
                <w:rFonts w:cs="Times New Roman" w:ascii="Times New Roman" w:hAnsi="Times New Roman"/>
              </w:rPr>
              <w:t>101.5</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pPr>
            <w:r>
              <w:rPr>
                <w:rFonts w:ascii="Times New Roman" w:hAnsi="Times New Roman"/>
                <w:szCs w:val="28"/>
                <w:lang w:val="en-US"/>
              </w:rPr>
              <w:t>4-MeO</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1d</w:t>
            </w:r>
            <w:r>
              <w:rPr>
                <w:rFonts w:ascii="Times New Roman" w:hAnsi="Times New Roman"/>
                <w:szCs w:val="28"/>
                <w:lang w:val="en-US"/>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rFonts w:ascii="Times New Roman" w:hAnsi="Times New Roman" w:cs="Times New Roman"/>
              </w:rPr>
            </w:pPr>
            <w:r>
              <w:rPr>
                <w:rFonts w:cs="Times New Roman" w:ascii="Times New Roman" w:hAnsi="Times New Roman"/>
              </w:rPr>
              <w:t>183.1</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rFonts w:ascii="Times New Roman" w:hAnsi="Times New Roman" w:cs="Times New Roman"/>
              </w:rPr>
            </w:pPr>
            <w:r>
              <w:rPr>
                <w:rFonts w:cs="Times New Roman" w:ascii="Times New Roman" w:hAnsi="Times New Roman"/>
              </w:rPr>
              <w:t xml:space="preserve">183.2 </w:t>
            </w:r>
          </w:p>
        </w:tc>
        <w:tc>
          <w:tcPr>
            <w:tcW w:w="1108"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rFonts w:ascii="Times New Roman" w:hAnsi="Times New Roman" w:cs="Times New Roman"/>
                <w:color w:val="000000"/>
              </w:rPr>
            </w:pPr>
            <w:r>
              <w:rPr>
                <w:rFonts w:cs="Times New Roman" w:ascii="Times New Roman" w:hAnsi="Times New Roman"/>
                <w:color w:val="000000"/>
              </w:rPr>
              <w:t>106.0</w:t>
            </w:r>
          </w:p>
        </w:tc>
        <w:tc>
          <w:tcPr>
            <w:tcW w:w="1164" w:type="dxa"/>
            <w:gridSpan w:val="2"/>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rFonts w:ascii="Times New Roman" w:hAnsi="Times New Roman" w:cs="Times New Roman"/>
              </w:rPr>
            </w:pPr>
            <w:r>
              <w:rPr>
                <w:rFonts w:cs="Times New Roman" w:ascii="Times New Roman" w:hAnsi="Times New Roman"/>
              </w:rPr>
              <w:t>1.34</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rFonts w:ascii="Times New Roman" w:hAnsi="Times New Roman" w:cs="Times New Roman"/>
              </w:rPr>
            </w:pPr>
            <w:r>
              <w:rPr>
                <w:rFonts w:cs="Times New Roman" w:ascii="Times New Roman" w:hAnsi="Times New Roman"/>
              </w:rPr>
              <w:t>2.97</w:t>
            </w:r>
          </w:p>
        </w:tc>
        <w:tc>
          <w:tcPr>
            <w:tcW w:w="12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0" w:type="dxa"/>
            </w:tcMar>
            <w:vAlign w:val="center"/>
          </w:tcPr>
          <w:p>
            <w:pPr>
              <w:pStyle w:val="Style24"/>
              <w:spacing w:lineRule="auto" w:line="240"/>
              <w:ind w:hanging="0"/>
              <w:jc w:val="center"/>
              <w:rPr>
                <w:rFonts w:ascii="Times New Roman" w:hAnsi="Times New Roman" w:cs="Times New Roman"/>
              </w:rPr>
            </w:pPr>
            <w:r>
              <w:rPr>
                <w:rFonts w:cs="Times New Roman" w:ascii="Times New Roman" w:hAnsi="Times New Roman"/>
              </w:rPr>
              <w:t>5.37</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TsO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r>
              <w:rPr>
                <w:rFonts w:ascii="Times New Roman" w:hAnsi="Times New Roman"/>
                <w:szCs w:val="28"/>
                <w:lang w:val="en-US"/>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rFonts w:ascii="Times New Roman" w:hAnsi="Times New Roman" w:cs="Times New Roman"/>
              </w:rPr>
            </w:pPr>
            <w:r>
              <w:rPr>
                <w:rFonts w:cs="Times New Roman" w:ascii="Times New Roman" w:hAnsi="Times New Roman"/>
              </w:rPr>
              <w:t xml:space="preserve">253.0 </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rFonts w:ascii="Times New Roman" w:hAnsi="Times New Roman" w:cs="Times New Roman"/>
              </w:rPr>
            </w:pPr>
            <w:r>
              <w:rPr>
                <w:rFonts w:cs="Times New Roman" w:ascii="Times New Roman" w:hAnsi="Times New Roman"/>
              </w:rPr>
              <w:t xml:space="preserve">232.4 </w:t>
            </w:r>
          </w:p>
        </w:tc>
        <w:tc>
          <w:tcPr>
            <w:tcW w:w="1108"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rFonts w:ascii="Times New Roman" w:hAnsi="Times New Roman" w:cs="Times New Roman"/>
              </w:rPr>
            </w:pPr>
            <w:r>
              <w:rPr>
                <w:rFonts w:cs="Times New Roman" w:ascii="Times New Roman" w:hAnsi="Times New Roman"/>
              </w:rPr>
              <w:t xml:space="preserve">231.0 </w:t>
            </w:r>
          </w:p>
        </w:tc>
        <w:tc>
          <w:tcPr>
            <w:tcW w:w="1164" w:type="dxa"/>
            <w:gridSpan w:val="2"/>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rFonts w:ascii="Times New Roman" w:hAnsi="Times New Roman" w:cs="Times New Roman"/>
              </w:rPr>
            </w:pPr>
            <w:r>
              <w:rPr>
                <w:rFonts w:cs="Times New Roman" w:ascii="Times New Roman" w:hAnsi="Times New Roman"/>
              </w:rPr>
              <w:t>21.10</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rFonts w:ascii="Times New Roman" w:hAnsi="Times New Roman" w:cs="Times New Roman"/>
              </w:rPr>
            </w:pPr>
            <w:r>
              <w:rPr>
                <w:rFonts w:cs="Times New Roman" w:ascii="Times New Roman" w:hAnsi="Times New Roman"/>
              </w:rPr>
              <w:t>34.82</w:t>
            </w:r>
          </w:p>
        </w:tc>
        <w:tc>
          <w:tcPr>
            <w:tcW w:w="12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0" w:type="dxa"/>
            </w:tcMar>
            <w:vAlign w:val="center"/>
          </w:tcPr>
          <w:p>
            <w:pPr>
              <w:pStyle w:val="Style24"/>
              <w:spacing w:lineRule="auto" w:line="240"/>
              <w:ind w:hanging="0"/>
              <w:jc w:val="center"/>
              <w:rPr>
                <w:rFonts w:ascii="Times New Roman" w:hAnsi="Times New Roman" w:cs="Times New Roman"/>
              </w:rPr>
            </w:pPr>
            <w:r>
              <w:rPr>
                <w:rFonts w:cs="Times New Roman" w:ascii="Times New Roman" w:hAnsi="Times New Roman"/>
              </w:rPr>
              <w:t>64.60</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r>
              <w:rPr>
                <w:rFonts w:ascii="Times New Roman" w:hAnsi="Times New Roman"/>
                <w:szCs w:val="28"/>
                <w:lang w:val="en-US"/>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rFonts w:ascii="Times New Roman" w:hAnsi="Times New Roman" w:cs="Times New Roman"/>
              </w:rPr>
            </w:pPr>
            <w:r>
              <w:rPr>
                <w:rFonts w:cs="Times New Roman" w:ascii="Times New Roman" w:hAnsi="Times New Roman"/>
              </w:rPr>
              <w:t xml:space="preserve">173.0 </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rFonts w:ascii="Times New Roman" w:hAnsi="Times New Roman" w:cs="Times New Roman"/>
              </w:rPr>
            </w:pPr>
            <w:r>
              <w:rPr>
                <w:rFonts w:cs="Times New Roman" w:ascii="Times New Roman" w:hAnsi="Times New Roman"/>
              </w:rPr>
              <w:t xml:space="preserve">156.0 </w:t>
            </w:r>
          </w:p>
        </w:tc>
        <w:tc>
          <w:tcPr>
            <w:tcW w:w="1108"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rFonts w:ascii="Times New Roman" w:hAnsi="Times New Roman" w:cs="Times New Roman"/>
              </w:rPr>
            </w:pPr>
            <w:r>
              <w:rPr>
                <w:rFonts w:cs="Times New Roman" w:ascii="Times New Roman" w:hAnsi="Times New Roman"/>
              </w:rPr>
              <w:t>147.0</w:t>
            </w:r>
          </w:p>
        </w:tc>
        <w:tc>
          <w:tcPr>
            <w:tcW w:w="1164" w:type="dxa"/>
            <w:gridSpan w:val="2"/>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rFonts w:ascii="Times New Roman" w:hAnsi="Times New Roman" w:cs="Times New Roman"/>
              </w:rPr>
            </w:pPr>
            <w:r>
              <w:rPr>
                <w:rFonts w:cs="Times New Roman" w:ascii="Times New Roman" w:hAnsi="Times New Roman"/>
              </w:rPr>
              <w:t>20.02</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rFonts w:ascii="Times New Roman" w:hAnsi="Times New Roman" w:cs="Times New Roman"/>
              </w:rPr>
            </w:pPr>
            <w:r>
              <w:rPr>
                <w:rFonts w:cs="Times New Roman" w:ascii="Times New Roman" w:hAnsi="Times New Roman"/>
              </w:rPr>
              <w:t>31.63</w:t>
            </w:r>
          </w:p>
        </w:tc>
        <w:tc>
          <w:tcPr>
            <w:tcW w:w="12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0" w:type="dxa"/>
            </w:tcMar>
            <w:vAlign w:val="center"/>
          </w:tcPr>
          <w:p>
            <w:pPr>
              <w:pStyle w:val="Style24"/>
              <w:spacing w:lineRule="auto" w:line="240"/>
              <w:ind w:hanging="0"/>
              <w:jc w:val="center"/>
              <w:rPr>
                <w:rFonts w:ascii="Times New Roman" w:hAnsi="Times New Roman" w:cs="Times New Roman"/>
              </w:rPr>
            </w:pPr>
            <w:r>
              <w:rPr>
                <w:rFonts w:cs="Times New Roman" w:ascii="Times New Roman" w:hAnsi="Times New Roman"/>
              </w:rPr>
              <w:t>66.87</w:t>
            </w:r>
          </w:p>
        </w:tc>
      </w:tr>
    </w:tbl>
    <w:p>
      <w:pPr>
        <w:pStyle w:val="Normal"/>
        <w:rPr>
          <w:color w:val="000000"/>
        </w:rPr>
      </w:pPr>
      <w:r>
        <w:rPr>
          <w:color w:val="000000"/>
        </w:rPr>
      </w:r>
    </w:p>
    <w:p>
      <w:pPr>
        <w:pStyle w:val="Normal"/>
        <w:rPr/>
      </w:pPr>
      <w:r>
        <w:rPr/>
        <w:t>Был проведен кинетический анализ кривых изотермического разложения (рис. 7-10), экспериментальные зависимости теплового потока были аппроксимированы кинетическим уравнением для автокаталитических реакций (2), которое качественно соответствует зависимости теплового потока от времени. Определены основные параметры (k - константа скорости, P</w:t>
      </w:r>
      <w:r>
        <w:rPr>
          <w:vertAlign w:val="subscript"/>
        </w:rPr>
        <w:t>0</w:t>
      </w:r>
      <w:r>
        <w:rPr/>
        <w:t>, P</w:t>
      </w:r>
      <w:r>
        <w:rPr>
          <w:vertAlign w:val="subscript"/>
        </w:rPr>
        <w:t>max</w:t>
      </w:r>
      <w:r>
        <w:rPr/>
        <w:t xml:space="preserve"> - величины начального и максимального тепловых потоков </w:t>
      </w:r>
      <w:r>
        <w:rPr>
          <w:color w:val="00000A"/>
        </w:rPr>
        <w:t>в уравнении автокаталитической реакции 2</w:t>
      </w:r>
      <w:r>
        <w:rPr/>
        <w:t xml:space="preserve">. Кинетические параметры уравнения 2 аппроксимирующие экспериментальные зависимости тепловых потоков  для солей </w:t>
      </w:r>
      <w:r>
        <w:rPr>
          <w:b/>
          <w:bCs/>
        </w:rPr>
        <w:t>1a-1d, 2, 3</w:t>
      </w:r>
      <w:r>
        <w:rPr/>
        <w:t xml:space="preserve"> представлены в таблице 4. Кинетическое уравнения для автокаталитических реакций: </w:t>
      </w:r>
      <w:r>
        <w:rPr>
          <w:b/>
          <w:bCs/>
        </w:rPr>
        <w:t xml:space="preserve"> </w:t>
      </w:r>
      <w:r>
        <w:rPr>
          <w:b/>
          <w:bCs/>
          <w:i/>
          <w:iCs/>
          <w:sz w:val="28"/>
          <w:szCs w:val="28"/>
        </w:rPr>
        <w:t>a A </w:t>
      </w:r>
      <w:r>
        <w:rPr>
          <w:rFonts w:eastAsia="Liberation Serif" w:cs="Liberation Serif"/>
          <w:b/>
          <w:bCs/>
          <w:i/>
          <w:iCs/>
          <w:sz w:val="28"/>
          <w:szCs w:val="28"/>
        </w:rPr>
        <w:t>→ </w:t>
      </w:r>
      <w:r>
        <w:rPr>
          <w:b/>
          <w:bCs/>
          <w:i/>
          <w:iCs/>
          <w:sz w:val="28"/>
          <w:szCs w:val="28"/>
        </w:rPr>
        <w:t>c C</w:t>
      </w:r>
      <w:r>
        <w:rPr>
          <w:b/>
          <w:bCs/>
          <w:i/>
          <w:iCs/>
        </w:rPr>
        <w:t xml:space="preserve"> </w:t>
      </w:r>
    </w:p>
    <w:p>
      <w:pPr>
        <w:pStyle w:val="Normal"/>
        <w:ind w:hanging="0"/>
        <w:jc w:val="center"/>
        <w:rPr/>
      </w:pPr>
      <w:r>
        <w:rPr/>
        <w:drawing>
          <wp:inline distT="0" distB="0" distL="0" distR="0">
            <wp:extent cx="2131695" cy="760095"/>
            <wp:effectExtent l="0" t="0" r="0" b="0"/>
            <wp:docPr id="14"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32" descr=""/>
                    <pic:cNvPicPr>
                      <a:picLocks noChangeAspect="1" noChangeArrowheads="1"/>
                    </pic:cNvPicPr>
                  </pic:nvPicPr>
                  <pic:blipFill>
                    <a:blip r:embed="rId16"/>
                    <a:stretch>
                      <a:fillRect/>
                    </a:stretch>
                  </pic:blipFill>
                  <pic:spPr bwMode="auto">
                    <a:xfrm>
                      <a:off x="0" y="0"/>
                      <a:ext cx="2131695" cy="760095"/>
                    </a:xfrm>
                    <a:prstGeom prst="rect">
                      <a:avLst/>
                    </a:prstGeom>
                  </pic:spPr>
                </pic:pic>
              </a:graphicData>
            </a:graphic>
          </wp:inline>
        </w:drawing>
      </w:r>
      <w:r>
        <w:rPr>
          <w:rFonts w:eastAsia="Liberation Serif" w:cs="Liberation Serif"/>
        </w:rPr>
        <w:t xml:space="preserve">  </w:t>
      </w:r>
      <w:r>
        <w:rPr>
          <w:rFonts w:eastAsia="Liberation Serif" w:cs="Liberation Serif"/>
        </w:rPr>
        <w:t>(2)</w:t>
      </w:r>
    </w:p>
    <w:p>
      <w:pPr>
        <w:pStyle w:val="Normal"/>
        <w:ind w:hanging="0"/>
        <w:jc w:val="center"/>
        <w:rPr/>
      </w:pPr>
      <w:r>
        <w:rPr>
          <w:highlight w:val="white"/>
        </w:rPr>
        <w:t xml:space="preserve">(где </w:t>
      </w:r>
      <w:commentRangeStart w:id="4"/>
      <w:r>
        <w:rPr>
          <w:i/>
          <w:iCs/>
          <w:highlight w:val="yellow"/>
        </w:rPr>
        <w:t>A</w:t>
      </w:r>
      <w:r>
        <w:rPr>
          <w:highlight w:val="yellow"/>
          <w:vertAlign w:val="subscript"/>
        </w:rPr>
        <w:t>0</w:t>
      </w:r>
      <w:r>
        <w:rPr>
          <w:highlight w:val="yellow"/>
        </w:rPr>
        <w:t xml:space="preserve"> - начальная концентрация исходной ДС</w:t>
      </w:r>
      <w:r>
        <w:rPr>
          <w:highlight w:val="yellow"/>
        </w:rPr>
      </w:r>
      <w:commentRangeEnd w:id="4"/>
      <w:r>
        <w:commentReference w:id="4"/>
      </w:r>
      <w:r>
        <w:rPr>
          <w:highlight w:val="white"/>
        </w:rPr>
        <w:t xml:space="preserve">;  </w:t>
      </w:r>
      <w:r>
        <w:rPr>
          <w:i/>
          <w:iCs/>
          <w:highlight w:val="white"/>
        </w:rPr>
        <w:t>С</w:t>
      </w:r>
      <w:r>
        <w:rPr>
          <w:highlight w:val="white"/>
          <w:vertAlign w:val="subscript"/>
        </w:rPr>
        <w:t>0</w:t>
      </w:r>
      <w:r>
        <w:rPr>
          <w:highlight w:val="white"/>
        </w:rPr>
        <w:t xml:space="preserve">, </w:t>
      </w:r>
      <w:r>
        <w:rPr>
          <w:i/>
          <w:iCs/>
          <w:highlight w:val="white"/>
        </w:rPr>
        <w:t>С</w:t>
      </w:r>
      <w:r>
        <w:rPr>
          <w:highlight w:val="white"/>
        </w:rPr>
        <w:t xml:space="preserve"> - начальная и текущая концентрации продуктов, для твердофазных реакций выражаются в моль/г; </w:t>
      </w:r>
      <w:r>
        <w:rPr>
          <w:i/>
          <w:iCs/>
          <w:highlight w:val="white"/>
        </w:rPr>
        <w:t>k</w:t>
      </w:r>
      <w:r>
        <w:rPr>
          <w:highlight w:val="white"/>
        </w:rPr>
        <w:t xml:space="preserve"> - константа скорости;  </w:t>
      </w:r>
      <w:r>
        <w:rPr>
          <w:i/>
          <w:iCs/>
          <w:highlight w:val="white"/>
        </w:rPr>
        <w:t>a</w:t>
      </w:r>
      <w:r>
        <w:rPr>
          <w:highlight w:val="white"/>
        </w:rPr>
        <w:t xml:space="preserve">, </w:t>
      </w:r>
      <w:r>
        <w:rPr>
          <w:i/>
          <w:iCs/>
          <w:highlight w:val="white"/>
        </w:rPr>
        <w:t>c</w:t>
      </w:r>
      <w:r>
        <w:rPr>
          <w:highlight w:val="white"/>
        </w:rPr>
        <w:t xml:space="preserve"> - стехиометрические коэффициенты, для </w:t>
      </w:r>
      <w:r>
        <w:rPr/>
        <w:t xml:space="preserve">исследуемых процессов </w:t>
      </w:r>
      <w:r>
        <w:rPr>
          <w:i/>
          <w:iCs/>
        </w:rPr>
        <w:t>a</w:t>
      </w:r>
      <w:r>
        <w:rPr/>
        <w:t>/</w:t>
      </w:r>
      <w:r>
        <w:rPr>
          <w:i/>
          <w:iCs/>
          <w:highlight w:val="white"/>
        </w:rPr>
        <w:t>c</w:t>
      </w:r>
      <w:r>
        <w:rPr>
          <w:highlight w:val="white"/>
        </w:rPr>
        <w:t xml:space="preserve">=1; </w:t>
      </w:r>
      <w:r>
        <w:rPr>
          <w:i/>
          <w:iCs/>
          <w:highlight w:val="white"/>
        </w:rPr>
        <w:t>P</w:t>
      </w:r>
      <w:r>
        <w:rPr>
          <w:highlight w:val="white"/>
        </w:rPr>
        <w:t xml:space="preserve">, </w:t>
      </w:r>
      <w:r>
        <w:rPr>
          <w:i/>
          <w:iCs/>
          <w:highlight w:val="white"/>
        </w:rPr>
        <w:t>P</w:t>
      </w:r>
      <w:r>
        <w:rPr>
          <w:highlight w:val="white"/>
          <w:vertAlign w:val="subscript"/>
        </w:rPr>
        <w:t>0</w:t>
      </w:r>
      <w:r>
        <w:rPr>
          <w:highlight w:val="white"/>
        </w:rPr>
        <w:t xml:space="preserve"> - текущий и начальный тепловые потоки)</w:t>
      </w:r>
    </w:p>
    <w:p>
      <w:pPr>
        <w:pStyle w:val="Normal"/>
        <w:ind w:hanging="0"/>
        <w:jc w:val="center"/>
        <w:rPr>
          <w:highlight w:val="white"/>
        </w:rPr>
      </w:pPr>
      <w:r>
        <w:rPr>
          <w:highlight w:val="white"/>
        </w:rPr>
      </w:r>
    </w:p>
    <w:p>
      <w:pPr>
        <w:pStyle w:val="Normal"/>
        <w:rPr/>
      </w:pPr>
      <w:r>
        <w:rPr/>
        <w:t xml:space="preserve">На рисунке 7 приведены экспериментальные значения теплового потока разложения солей </w:t>
      </w:r>
      <w:r>
        <w:rPr>
          <w:b/>
        </w:rPr>
        <w:t>1</w:t>
      </w:r>
      <w:r>
        <w:rPr>
          <w:b/>
          <w:lang w:val="en-US"/>
        </w:rPr>
        <w:t>c</w:t>
      </w:r>
      <w:r>
        <w:rPr/>
        <w:t xml:space="preserve">, </w:t>
      </w:r>
      <w:r>
        <w:rPr>
          <w:b/>
        </w:rPr>
        <w:t>2</w:t>
      </w:r>
      <w:r>
        <w:rPr/>
        <w:t xml:space="preserve"> </w:t>
      </w:r>
      <w:r>
        <w:rPr>
          <w:lang w:val="en-US"/>
        </w:rPr>
        <w:t>and</w:t>
      </w:r>
      <w:r>
        <w:rPr/>
        <w:t xml:space="preserve"> </w:t>
      </w:r>
      <w:r>
        <w:rPr>
          <w:b/>
        </w:rPr>
        <w:t xml:space="preserve">3 </w:t>
      </w:r>
      <w:r>
        <w:rPr/>
        <w:t xml:space="preserve">при 85 </w:t>
      </w:r>
      <w:r>
        <w:rPr>
          <w:vertAlign w:val="superscript"/>
        </w:rPr>
        <w:t>о</w:t>
      </w:r>
      <w:r>
        <w:rPr/>
        <w:t xml:space="preserve">С. </w:t>
      </w:r>
      <w:r>
        <w:rPr>
          <w:color w:val="000000"/>
        </w:rPr>
        <w:t xml:space="preserve">Время полураспада солей зависит от вида аниона и составляет для  тетрафторбората </w:t>
      </w:r>
      <w:r>
        <w:rPr>
          <w:b/>
          <w:bCs/>
          <w:color w:val="000000"/>
        </w:rPr>
        <w:t>3</w:t>
      </w:r>
      <w:r>
        <w:rPr>
          <w:color w:val="000000"/>
        </w:rPr>
        <w:t xml:space="preserve"> - 2.1 часа, трифлата </w:t>
      </w:r>
      <w:r>
        <w:rPr>
          <w:b/>
          <w:bCs/>
          <w:color w:val="000000"/>
        </w:rPr>
        <w:t>1с</w:t>
      </w:r>
      <w:r>
        <w:rPr>
          <w:color w:val="000000"/>
        </w:rPr>
        <w:t xml:space="preserve"> - 4.5 ч. и для тозилата </w:t>
      </w:r>
      <w:r>
        <w:rPr>
          <w:b/>
          <w:bCs/>
          <w:color w:val="000000"/>
        </w:rPr>
        <w:t>2</w:t>
      </w:r>
      <w:r>
        <w:rPr>
          <w:color w:val="000000"/>
        </w:rPr>
        <w:t xml:space="preserve"> - 6 часов. </w:t>
      </w:r>
    </w:p>
    <w:p>
      <w:pPr>
        <w:pStyle w:val="Normal"/>
        <w:tabs>
          <w:tab w:val="center" w:pos="218" w:leader="none"/>
        </w:tabs>
        <w:spacing w:before="0" w:after="113"/>
        <w:rPr>
          <w:sz w:val="12"/>
          <w:szCs w:val="12"/>
          <w:highlight w:val="yellow"/>
        </w:rPr>
      </w:pPr>
      <w:r>
        <w:rPr>
          <w:sz w:val="12"/>
          <w:szCs w:val="12"/>
          <w:highlight w:val="yellow"/>
        </w:rPr>
      </w:r>
    </w:p>
    <w:p>
      <w:pPr>
        <w:pStyle w:val="Normal"/>
        <w:ind w:hanging="0"/>
        <w:jc w:val="center"/>
        <w:rPr/>
      </w:pPr>
      <w:r>
        <w:rPr/>
        <w:drawing>
          <wp:inline distT="0" distB="0" distL="0" distR="0">
            <wp:extent cx="4673600" cy="3550285"/>
            <wp:effectExtent l="0" t="0" r="0" b="0"/>
            <wp:docPr id="15"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4" descr=""/>
                    <pic:cNvPicPr>
                      <a:picLocks noChangeAspect="1" noChangeArrowheads="1"/>
                    </pic:cNvPicPr>
                  </pic:nvPicPr>
                  <pic:blipFill>
                    <a:blip r:embed="rId17"/>
                    <a:stretch>
                      <a:fillRect/>
                    </a:stretch>
                  </pic:blipFill>
                  <pic:spPr bwMode="auto">
                    <a:xfrm>
                      <a:off x="0" y="0"/>
                      <a:ext cx="4673600" cy="3550285"/>
                    </a:xfrm>
                    <a:prstGeom prst="rect">
                      <a:avLst/>
                    </a:prstGeom>
                  </pic:spPr>
                </pic:pic>
              </a:graphicData>
            </a:graphic>
          </wp:inline>
        </w:drawing>
      </w:r>
    </w:p>
    <w:p>
      <w:pPr>
        <w:pStyle w:val="Normal"/>
        <w:ind w:hanging="0"/>
        <w:jc w:val="center"/>
        <w:rPr/>
      </w:pPr>
      <w:r>
        <w:rPr/>
        <w:t>Рисунок 7. Значения теплового потока (P) изотермического разложения при температуре 85 </w:t>
      </w:r>
      <w:r>
        <w:rPr>
          <w:vertAlign w:val="superscript"/>
        </w:rPr>
        <w:t>о</w:t>
      </w:r>
      <w:r>
        <w:rPr/>
        <w:t xml:space="preserve">С для тетрафторбората </w:t>
      </w:r>
      <w:r>
        <w:rPr>
          <w:b/>
        </w:rPr>
        <w:t>3</w:t>
      </w:r>
      <w:r>
        <w:rPr/>
        <w:t xml:space="preserve">, тозилата </w:t>
      </w:r>
      <w:r>
        <w:rPr>
          <w:b/>
        </w:rPr>
        <w:t>2</w:t>
      </w:r>
      <w:r>
        <w:rPr/>
        <w:t xml:space="preserve"> и трифлата 4-нитрофенилдиазония </w:t>
      </w:r>
      <w:r>
        <w:rPr>
          <w:b/>
        </w:rPr>
        <w:t>1</w:t>
      </w:r>
      <w:r>
        <w:rPr>
          <w:b/>
          <w:lang w:val="en-US"/>
        </w:rPr>
        <w:t>c</w:t>
      </w:r>
    </w:p>
    <w:p>
      <w:pPr>
        <w:pStyle w:val="Normal"/>
        <w:ind w:hanging="0"/>
        <w:jc w:val="center"/>
        <w:rPr/>
      </w:pPr>
      <w:r>
        <w:rPr/>
      </w:r>
    </w:p>
    <w:p>
      <w:pPr>
        <w:pStyle w:val="Normal"/>
        <w:tabs>
          <w:tab w:val="center" w:pos="218" w:leader="none"/>
        </w:tabs>
        <w:spacing w:before="0" w:after="113"/>
        <w:rPr>
          <w:highlight w:val="green"/>
        </w:rPr>
      </w:pPr>
      <w:r>
        <w:rPr/>
        <w:t xml:space="preserve">Экспериментальные кривые теплового потока в изотермическом эксперименте для солей </w:t>
      </w:r>
      <w:r>
        <w:rPr>
          <w:b/>
          <w:bCs/>
        </w:rPr>
        <w:t>1a</w:t>
      </w:r>
      <w:r>
        <w:rPr/>
        <w:t xml:space="preserve">, </w:t>
      </w:r>
      <w:r>
        <w:rPr>
          <w:b/>
          <w:bCs/>
        </w:rPr>
        <w:t>1d</w:t>
      </w:r>
      <w:r>
        <w:rPr/>
        <w:t xml:space="preserve"> имеют имеют более сложный характер, наличие </w:t>
      </w:r>
      <w:commentRangeStart w:id="5"/>
      <w:r>
        <w:rPr>
          <w:u w:val="single"/>
        </w:rPr>
        <w:t>эндотермических процессов</w:t>
      </w:r>
      <w:r>
        <w:rPr/>
        <w:t xml:space="preserve">  </w:t>
      </w:r>
      <w:r>
        <w:rPr/>
      </w:r>
      <w:commentRangeEnd w:id="5"/>
      <w:r>
        <w:commentReference w:id="5"/>
      </w:r>
      <w:r>
        <w:rPr/>
        <w:t xml:space="preserve">согласуется с данными ДСК. Мы предприняли попытку описания кинетики этих реакций с использованием моделей двух последовательных и двух параллельных автокаталитических процессов. Результаты деконволюции подробно представлены в приложении 1s. В таблице 4 для этих солей </w:t>
      </w:r>
      <w:r>
        <w:rPr>
          <w:b/>
          <w:bCs/>
        </w:rPr>
        <w:t>1a</w:t>
      </w:r>
      <w:r>
        <w:rPr/>
        <w:t xml:space="preserve">, </w:t>
      </w:r>
      <w:r>
        <w:rPr>
          <w:b/>
          <w:bCs/>
        </w:rPr>
        <w:t>1d</w:t>
      </w:r>
      <w:r>
        <w:rPr/>
        <w:t xml:space="preserve"> приведены параметры аппроксимации кинетики тепловыделения одним автокаталитическим процессом, соответствующим основной экзотермической стадии, которая  определяет характеристики безопасности и устойчивости ДС.</w:t>
      </w:r>
      <w:r>
        <w:br w:type="page"/>
      </w:r>
    </w:p>
    <w:p>
      <w:pPr>
        <w:pStyle w:val="Normal"/>
        <w:tabs>
          <w:tab w:val="center" w:pos="218" w:leader="none"/>
        </w:tabs>
        <w:spacing w:before="0" w:after="113"/>
        <w:rPr>
          <w:highlight w:val="green"/>
        </w:rPr>
      </w:pPr>
      <w:r>
        <w:rPr>
          <w:highlight w:val="green"/>
        </w:rPr>
      </w:r>
    </w:p>
    <w:p>
      <w:pPr>
        <w:pStyle w:val="Normal"/>
        <w:jc w:val="right"/>
        <w:rPr/>
      </w:pPr>
      <w:r>
        <w:rPr/>
        <w:t>Таблица 4.</w:t>
      </w:r>
    </w:p>
    <w:p>
      <w:pPr>
        <w:pStyle w:val="Normal"/>
        <w:jc w:val="center"/>
        <w:rPr/>
      </w:pPr>
      <w:r>
        <w:rPr/>
        <w:t xml:space="preserve">Кинетические параметры реакций разложения диазониевых солей </w:t>
      </w:r>
      <w:r>
        <w:rPr>
          <w:b/>
        </w:rPr>
        <w:t>1-3</w:t>
      </w:r>
      <w:r>
        <w:rPr/>
        <w:t xml:space="preserve"> </w:t>
      </w:r>
    </w:p>
    <w:p>
      <w:pPr>
        <w:pStyle w:val="Normal"/>
        <w:jc w:val="center"/>
        <w:rPr/>
      </w:pPr>
      <w:r>
        <w:rPr/>
        <w:t>(P</w:t>
      </w:r>
      <w:r>
        <w:rPr>
          <w:vertAlign w:val="subscript"/>
        </w:rPr>
        <w:t>0</w:t>
      </w:r>
      <w:r>
        <w:rPr/>
        <w:t xml:space="preserve"> - начальное значение теплового потока, k - константа скорости по уравнению 2)</w:t>
      </w:r>
    </w:p>
    <w:tbl>
      <w:tblPr>
        <w:tblW w:w="9641" w:type="dxa"/>
        <w:jc w:val="left"/>
        <w:tblInd w:w="53" w:type="dxa"/>
        <w:tblBorders>
          <w:top w:val="single" w:sz="2" w:space="0" w:color="000001"/>
          <w:left w:val="single" w:sz="2" w:space="0" w:color="000001"/>
          <w:bottom w:val="single" w:sz="2" w:space="0" w:color="000001"/>
          <w:insideH w:val="single" w:sz="2" w:space="0" w:color="000001"/>
        </w:tblBorders>
        <w:tblCellMar>
          <w:top w:w="55" w:type="dxa"/>
          <w:left w:w="50" w:type="dxa"/>
          <w:bottom w:w="55" w:type="dxa"/>
          <w:right w:w="55" w:type="dxa"/>
        </w:tblCellMar>
        <w:tblLook w:val="0000" w:noVBand="0" w:noHBand="0" w:lastColumn="0" w:firstColumn="0" w:lastRow="0" w:firstRow="0"/>
      </w:tblPr>
      <w:tblGrid>
        <w:gridCol w:w="2578"/>
        <w:gridCol w:w="1124"/>
        <w:gridCol w:w="1192"/>
        <w:gridCol w:w="1121"/>
        <w:gridCol w:w="1155"/>
        <w:gridCol w:w="1235"/>
        <w:gridCol w:w="1235"/>
      </w:tblGrid>
      <w:tr>
        <w:trPr>
          <w:tblHeader w:val="true"/>
          <w:cantSplit w:val="true"/>
        </w:trPr>
        <w:tc>
          <w:tcPr>
            <w:tcW w:w="2578"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5"/>
              <w:spacing w:lineRule="auto" w:line="240"/>
              <w:ind w:hanging="0"/>
              <w:rPr>
                <w:rFonts w:ascii="Times New Roman" w:hAnsi="Times New Roman" w:cs="Times New Roman"/>
                <w:b w:val="false"/>
                <w:b w:val="false"/>
                <w:bCs w:val="false"/>
              </w:rPr>
            </w:pPr>
            <w:r>
              <w:rPr>
                <w:rFonts w:cs="Times New Roman" w:ascii="Times New Roman" w:hAnsi="Times New Roman"/>
                <w:b w:val="false"/>
                <w:bCs w:val="false"/>
              </w:rPr>
              <w:t>Substance</w:t>
            </w:r>
          </w:p>
        </w:tc>
        <w:tc>
          <w:tcPr>
            <w:tcW w:w="3437" w:type="dxa"/>
            <w:gridSpan w:val="3"/>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pPr>
            <w:r>
              <w:rPr/>
              <w:t>P</w:t>
            </w:r>
            <w:r>
              <w:rPr>
                <w:vertAlign w:val="subscript"/>
              </w:rPr>
              <w:t>0</w:t>
            </w:r>
            <w:r>
              <w:rPr/>
              <w:t>, mW</w:t>
            </w:r>
          </w:p>
        </w:tc>
        <w:tc>
          <w:tcPr>
            <w:tcW w:w="3625"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0" w:type="dxa"/>
            </w:tcMar>
            <w:vAlign w:val="center"/>
          </w:tcPr>
          <w:p>
            <w:pPr>
              <w:pStyle w:val="Style24"/>
              <w:spacing w:lineRule="auto" w:line="240"/>
              <w:ind w:hanging="0"/>
              <w:jc w:val="center"/>
              <w:rPr/>
            </w:pPr>
            <w:r>
              <w:rPr/>
              <w:t>k, g · mol</w:t>
            </w:r>
            <w:r>
              <w:rPr>
                <w:vertAlign w:val="superscript"/>
              </w:rPr>
              <w:t>-1</w:t>
            </w:r>
            <w:r>
              <w:rPr/>
              <w:t xml:space="preserve"> · с</w:t>
            </w:r>
            <w:r>
              <w:rPr>
                <w:vertAlign w:val="superscript"/>
              </w:rPr>
              <w:t>-1</w:t>
            </w:r>
          </w:p>
        </w:tc>
      </w:tr>
      <w:tr>
        <w:trPr>
          <w:cantSplit w:val="true"/>
        </w:trPr>
        <w:tc>
          <w:tcPr>
            <w:tcW w:w="2578"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Normal"/>
              <w:rPr/>
            </w:pPr>
            <w:r>
              <w:rPr/>
            </w:r>
          </w:p>
        </w:tc>
        <w:tc>
          <w:tcPr>
            <w:tcW w:w="1124"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pPr>
            <w:r>
              <w:rPr/>
              <w:t>75</w:t>
            </w:r>
            <w:r>
              <w:rPr>
                <w:vertAlign w:val="superscript"/>
              </w:rPr>
              <w:t>o</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pPr>
            <w:r>
              <w:rPr/>
              <w:t>80</w:t>
            </w:r>
            <w:r>
              <w:rPr>
                <w:vertAlign w:val="superscript"/>
              </w:rPr>
              <w:t>o</w:t>
            </w:r>
          </w:p>
        </w:tc>
        <w:tc>
          <w:tcPr>
            <w:tcW w:w="1121"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pPr>
            <w:r>
              <w:rPr/>
              <w:t>85</w:t>
            </w:r>
            <w:r>
              <w:rPr>
                <w:vertAlign w:val="superscript"/>
              </w:rPr>
              <w:t>o</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pPr>
            <w:r>
              <w:rPr/>
              <w:t>75</w:t>
            </w:r>
            <w:r>
              <w:rPr>
                <w:vertAlign w:val="superscript"/>
              </w:rPr>
              <w:t>o</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pPr>
            <w:r>
              <w:rPr/>
              <w:t>80</w:t>
            </w:r>
            <w:r>
              <w:rPr>
                <w:vertAlign w:val="superscript"/>
              </w:rPr>
              <w:t>o</w:t>
            </w:r>
          </w:p>
        </w:tc>
        <w:tc>
          <w:tcPr>
            <w:tcW w:w="12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0" w:type="dxa"/>
            </w:tcMar>
            <w:vAlign w:val="center"/>
          </w:tcPr>
          <w:p>
            <w:pPr>
              <w:pStyle w:val="Style24"/>
              <w:spacing w:lineRule="auto" w:line="240"/>
              <w:ind w:hanging="0"/>
              <w:jc w:val="center"/>
              <w:rPr/>
            </w:pPr>
            <w:r>
              <w:rPr/>
              <w:t>85</w:t>
            </w:r>
            <w:r>
              <w:rPr>
                <w:vertAlign w:val="superscript"/>
              </w:rPr>
              <w:t>o</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pPr>
            <w:r>
              <w:rPr>
                <w:rFonts w:ascii="Times New Roman" w:hAnsi="Times New Roman"/>
                <w:szCs w:val="28"/>
                <w:lang w:val="en-US"/>
              </w:rPr>
              <w:t>2-NO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1a</w:t>
            </w:r>
          </w:p>
        </w:tc>
        <w:tc>
          <w:tcPr>
            <w:tcW w:w="1124"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pPr>
            <w:r>
              <w:rPr/>
              <w:t>4.06</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pPr>
            <w:r>
              <w:rPr/>
              <w:t>8.82</w:t>
            </w:r>
          </w:p>
        </w:tc>
        <w:tc>
          <w:tcPr>
            <w:tcW w:w="1121"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pPr>
            <w:r>
              <w:rPr/>
              <w:t>14.7</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pPr>
            <w:r>
              <w:rPr/>
              <w:t>0.00026</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pPr>
            <w:r>
              <w:rPr/>
              <w:t>0.00055</w:t>
            </w:r>
          </w:p>
        </w:tc>
        <w:tc>
          <w:tcPr>
            <w:tcW w:w="12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0" w:type="dxa"/>
            </w:tcMar>
            <w:vAlign w:val="center"/>
          </w:tcPr>
          <w:p>
            <w:pPr>
              <w:pStyle w:val="Style24"/>
              <w:spacing w:lineRule="auto" w:line="240"/>
              <w:ind w:hanging="0"/>
              <w:jc w:val="center"/>
              <w:rPr/>
            </w:pPr>
            <w:r>
              <w:rPr/>
              <w:t>0.00076</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1b</w:t>
            </w:r>
          </w:p>
        </w:tc>
        <w:tc>
          <w:tcPr>
            <w:tcW w:w="1124"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pPr>
            <w:r>
              <w:rPr/>
              <w:t>0.0097</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pPr>
            <w:r>
              <w:rPr/>
              <w:t>1.10</w:t>
            </w:r>
          </w:p>
        </w:tc>
        <w:tc>
          <w:tcPr>
            <w:tcW w:w="1121"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pPr>
            <w:r>
              <w:rPr/>
              <w:t>4.46</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pPr>
            <w:r>
              <w:rPr/>
              <w:t>0.00912</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pPr>
            <w:r>
              <w:rPr/>
              <w:t>0.01958</w:t>
            </w:r>
          </w:p>
        </w:tc>
        <w:tc>
          <w:tcPr>
            <w:tcW w:w="12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0" w:type="dxa"/>
            </w:tcMar>
            <w:vAlign w:val="center"/>
          </w:tcPr>
          <w:p>
            <w:pPr>
              <w:pStyle w:val="Style24"/>
              <w:spacing w:lineRule="auto" w:line="240"/>
              <w:ind w:hanging="0"/>
              <w:jc w:val="center"/>
              <w:rPr/>
            </w:pPr>
            <w:r>
              <w:rPr/>
              <w:t>0.0429</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1c</w:t>
            </w:r>
          </w:p>
        </w:tc>
        <w:tc>
          <w:tcPr>
            <w:tcW w:w="1124"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pPr>
            <w:r>
              <w:rPr/>
              <w:t>0.900</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pPr>
            <w:r>
              <w:rPr/>
              <w:t>1.311</w:t>
            </w:r>
          </w:p>
        </w:tc>
        <w:tc>
          <w:tcPr>
            <w:tcW w:w="1121"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pPr>
            <w:r>
              <w:rPr/>
              <w:t>4.84</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pPr>
            <w:r>
              <w:rPr/>
              <w:t>0.0316</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pPr>
            <w:r>
              <w:rPr/>
              <w:t>0.0630</w:t>
            </w:r>
          </w:p>
        </w:tc>
        <w:tc>
          <w:tcPr>
            <w:tcW w:w="12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0" w:type="dxa"/>
            </w:tcMar>
            <w:vAlign w:val="center"/>
          </w:tcPr>
          <w:p>
            <w:pPr>
              <w:pStyle w:val="Style24"/>
              <w:spacing w:lineRule="auto" w:line="240"/>
              <w:ind w:hanging="0"/>
              <w:jc w:val="center"/>
              <w:rPr/>
            </w:pPr>
            <w:r>
              <w:rPr/>
              <w:t>0.1599</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pPr>
            <w:r>
              <w:rPr>
                <w:rFonts w:ascii="Times New Roman" w:hAnsi="Times New Roman"/>
                <w:szCs w:val="28"/>
                <w:lang w:val="en-US"/>
              </w:rPr>
              <w:t>4-MeO</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1d</w:t>
            </w:r>
          </w:p>
        </w:tc>
        <w:tc>
          <w:tcPr>
            <w:tcW w:w="1124"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pPr>
            <w:r>
              <w:rPr/>
              <w:t>1.477</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pPr>
            <w:r>
              <w:rPr/>
              <w:t>3.200</w:t>
            </w:r>
          </w:p>
        </w:tc>
        <w:tc>
          <w:tcPr>
            <w:tcW w:w="1121"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pPr>
            <w:r>
              <w:rPr/>
              <w:t>11.38</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pPr>
            <w:r>
              <w:rPr/>
              <w:t>0.0021</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pPr>
            <w:r>
              <w:rPr/>
              <w:t>0.0044</w:t>
            </w:r>
          </w:p>
        </w:tc>
        <w:tc>
          <w:tcPr>
            <w:tcW w:w="12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0" w:type="dxa"/>
            </w:tcMar>
            <w:vAlign w:val="center"/>
          </w:tcPr>
          <w:p>
            <w:pPr>
              <w:pStyle w:val="Style24"/>
              <w:spacing w:lineRule="auto" w:line="240"/>
              <w:ind w:hanging="0"/>
              <w:jc w:val="center"/>
              <w:rPr/>
            </w:pPr>
            <w:r>
              <w:rPr/>
              <w:t>0.0128</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TsO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p>
        </w:tc>
        <w:tc>
          <w:tcPr>
            <w:tcW w:w="1124"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pPr>
            <w:r>
              <w:rPr/>
              <w:t>1.957</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pPr>
            <w:r>
              <w:rPr/>
              <w:t>2.745</w:t>
            </w:r>
          </w:p>
        </w:tc>
        <w:tc>
          <w:tcPr>
            <w:tcW w:w="1121"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pPr>
            <w:r>
              <w:rPr/>
              <w:t>4.152</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pPr>
            <w:r>
              <w:rPr/>
              <w:t>0.0289</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pPr>
            <w:r>
              <w:rPr/>
              <w:t>0.0539</w:t>
            </w:r>
          </w:p>
        </w:tc>
        <w:tc>
          <w:tcPr>
            <w:tcW w:w="12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0" w:type="dxa"/>
            </w:tcMar>
            <w:vAlign w:val="center"/>
          </w:tcPr>
          <w:p>
            <w:pPr>
              <w:pStyle w:val="Style24"/>
              <w:spacing w:lineRule="auto" w:line="240"/>
              <w:ind w:hanging="0"/>
              <w:jc w:val="center"/>
              <w:rPr/>
            </w:pPr>
            <w:r>
              <w:rPr/>
              <w:t>0.1030</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p>
        </w:tc>
        <w:tc>
          <w:tcPr>
            <w:tcW w:w="1124"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pPr>
            <w:r>
              <w:rPr/>
              <w:t>39.241</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pPr>
            <w:r>
              <w:rPr/>
              <w:t>89.598</w:t>
            </w:r>
          </w:p>
        </w:tc>
        <w:tc>
          <w:tcPr>
            <w:tcW w:w="1121"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pPr>
            <w:r>
              <w:rPr/>
              <w:t>180.42</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rFonts w:cs="Liberation Serif"/>
              </w:rPr>
            </w:pPr>
            <w:r>
              <w:rPr>
                <w:rFonts w:cs="Liberation Serif"/>
              </w:rPr>
              <w:t>0.0186</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pPr>
            <w:r>
              <w:rPr/>
              <w:t>0.0344</w:t>
            </w:r>
          </w:p>
        </w:tc>
        <w:tc>
          <w:tcPr>
            <w:tcW w:w="12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0" w:type="dxa"/>
            </w:tcMar>
            <w:vAlign w:val="center"/>
          </w:tcPr>
          <w:p>
            <w:pPr>
              <w:pStyle w:val="Style24"/>
              <w:spacing w:lineRule="auto" w:line="240"/>
              <w:ind w:hanging="0"/>
              <w:jc w:val="center"/>
              <w:rPr/>
            </w:pPr>
            <w:r>
              <w:rPr/>
              <w:t>0.0721</w:t>
            </w:r>
          </w:p>
        </w:tc>
      </w:tr>
    </w:tbl>
    <w:p>
      <w:pPr>
        <w:pStyle w:val="Normal"/>
        <w:tabs>
          <w:tab w:val="center" w:pos="218" w:leader="none"/>
        </w:tabs>
        <w:spacing w:before="227" w:after="227"/>
        <w:rPr/>
      </w:pPr>
      <w:r>
        <w:rPr>
          <w:color w:val="000000"/>
        </w:rPr>
        <w:t xml:space="preserve">Время полураспада трифлата 4-нитрофенилдиазония </w:t>
      </w:r>
      <w:r>
        <w:rPr>
          <w:b/>
          <w:color w:val="000000"/>
        </w:rPr>
        <w:t>1</w:t>
      </w:r>
      <w:r>
        <w:rPr>
          <w:b/>
          <w:color w:val="000000"/>
          <w:lang w:val="en-US"/>
        </w:rPr>
        <w:t>c</w:t>
      </w:r>
      <w:r>
        <w:rPr>
          <w:color w:val="000000"/>
        </w:rPr>
        <w:t xml:space="preserve"> – 4 ч. значительно меньше, чем метокси производного </w:t>
      </w:r>
      <w:r>
        <w:rPr>
          <w:b/>
          <w:color w:val="000000"/>
        </w:rPr>
        <w:t>1d</w:t>
      </w:r>
      <w:r>
        <w:rPr>
          <w:color w:val="000000"/>
        </w:rPr>
        <w:t xml:space="preserve"> - 10 ч. Тепловой поток при разложении трифлата 4</w:t>
        <w:noBreakHyphen/>
        <w:t xml:space="preserve">нитрофенилдиазония </w:t>
      </w:r>
      <w:r>
        <w:rPr>
          <w:b/>
          <w:color w:val="000000"/>
        </w:rPr>
        <w:t>1</w:t>
      </w:r>
      <w:r>
        <w:rPr>
          <w:b/>
          <w:color w:val="000000"/>
          <w:lang w:val="en-US"/>
        </w:rPr>
        <w:t>c</w:t>
      </w:r>
      <w:r>
        <w:rPr>
          <w:color w:val="000000"/>
        </w:rPr>
        <w:t xml:space="preserve"> - 101.5 mW/g существенно выше чем для трифлата 4</w:t>
        <w:noBreakHyphen/>
        <w:t xml:space="preserve">метоксифенилдиазония </w:t>
      </w:r>
      <w:r>
        <w:rPr>
          <w:b/>
          <w:color w:val="000000"/>
        </w:rPr>
        <w:t>1d</w:t>
      </w:r>
      <w:r>
        <w:rPr>
          <w:color w:val="000000"/>
        </w:rPr>
        <w:t xml:space="preserve"> - 5.37 mW/g (рисунок 8). </w:t>
      </w:r>
    </w:p>
    <w:p>
      <w:pPr>
        <w:pStyle w:val="Normal"/>
        <w:jc w:val="center"/>
        <w:rPr/>
      </w:pPr>
      <w:r>
        <w:rPr/>
        <w:drawing>
          <wp:inline distT="0" distB="0" distL="0" distR="0">
            <wp:extent cx="4690110" cy="3538855"/>
            <wp:effectExtent l="0" t="0" r="0" b="0"/>
            <wp:docPr id="16"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2" descr=""/>
                    <pic:cNvPicPr>
                      <a:picLocks noChangeAspect="1" noChangeArrowheads="1"/>
                    </pic:cNvPicPr>
                  </pic:nvPicPr>
                  <pic:blipFill>
                    <a:blip r:embed="rId18"/>
                    <a:stretch>
                      <a:fillRect/>
                    </a:stretch>
                  </pic:blipFill>
                  <pic:spPr bwMode="auto">
                    <a:xfrm>
                      <a:off x="0" y="0"/>
                      <a:ext cx="4690110" cy="3538855"/>
                    </a:xfrm>
                    <a:prstGeom prst="rect">
                      <a:avLst/>
                    </a:prstGeom>
                  </pic:spPr>
                </pic:pic>
              </a:graphicData>
            </a:graphic>
          </wp:inline>
        </w:drawing>
      </w:r>
    </w:p>
    <w:p>
      <w:pPr>
        <w:pStyle w:val="Normal"/>
        <w:jc w:val="center"/>
        <w:rPr/>
      </w:pPr>
      <w:r>
        <w:rPr/>
        <w:t xml:space="preserve">Рисунок 8. Тепловой поток (P) при изотермическом разложении трифлатов </w:t>
      </w:r>
    </w:p>
    <w:p>
      <w:pPr>
        <w:pStyle w:val="Normal"/>
        <w:jc w:val="center"/>
        <w:rPr/>
      </w:pPr>
      <w:r>
        <w:rPr/>
        <w:t xml:space="preserve">4-нитробензолдиазония </w:t>
      </w:r>
      <w:r>
        <w:rPr>
          <w:b/>
        </w:rPr>
        <w:t>1</w:t>
      </w:r>
      <w:r>
        <w:rPr>
          <w:b/>
          <w:lang w:val="en-US"/>
        </w:rPr>
        <w:t>c</w:t>
      </w:r>
      <w:r>
        <w:rPr/>
        <w:t xml:space="preserve"> и 4-метоксибензолдиазония </w:t>
      </w:r>
      <w:r>
        <w:rPr>
          <w:b/>
        </w:rPr>
        <w:t>1d</w:t>
      </w:r>
      <w:r>
        <w:rPr/>
        <w:t xml:space="preserve"> при температуре 85 </w:t>
      </w:r>
      <w:r>
        <w:rPr>
          <w:vertAlign w:val="superscript"/>
        </w:rPr>
        <w:t>о</w:t>
      </w:r>
      <w:r>
        <w:rPr/>
        <w:t>С</w:t>
      </w:r>
    </w:p>
    <w:p>
      <w:pPr>
        <w:pStyle w:val="Normal"/>
        <w:rPr/>
      </w:pPr>
      <w:r>
        <w:rPr/>
      </w:r>
    </w:p>
    <w:p>
      <w:pPr>
        <w:pStyle w:val="Normal"/>
        <w:rPr/>
      </w:pPr>
      <w:r>
        <w:rPr/>
        <w:t xml:space="preserve">Значительное влияние на стабильность диазониевых солей оказывает положениe заместителя в бензольном кольце. Для трифлатов нитробензолдиазония наибольшее время полураспада у орто- производного </w:t>
      </w:r>
      <w:r>
        <w:rPr>
          <w:b/>
          <w:bCs/>
        </w:rPr>
        <w:t>1</w:t>
      </w:r>
      <w:r>
        <w:rPr>
          <w:b/>
          <w:bCs/>
          <w:lang w:val="en-US"/>
        </w:rPr>
        <w:t>a</w:t>
      </w:r>
      <w:r>
        <w:rPr/>
        <w:t xml:space="preserve"> – 45 ч., значительно менее стабильны мета- </w:t>
      </w:r>
      <w:r>
        <w:rPr>
          <w:b/>
          <w:bCs/>
        </w:rPr>
        <w:t>1</w:t>
      </w:r>
      <w:r>
        <w:rPr>
          <w:b/>
          <w:bCs/>
          <w:lang w:val="en-US"/>
        </w:rPr>
        <w:t>b</w:t>
      </w:r>
      <w:r>
        <w:rPr/>
        <w:t xml:space="preserve"> – 11 ч. и наименьшей стабильностью обладает трифлат пара-нитробензолдиазония </w:t>
      </w:r>
      <w:r>
        <w:rPr>
          <w:b/>
          <w:bCs/>
        </w:rPr>
        <w:t>1</w:t>
      </w:r>
      <w:r>
        <w:rPr>
          <w:b/>
          <w:bCs/>
          <w:lang w:val="en-US"/>
        </w:rPr>
        <w:t>c</w:t>
      </w:r>
      <w:r>
        <w:rPr/>
        <w:t xml:space="preserve"> -  5 ч. при 85 </w:t>
      </w:r>
      <w:r>
        <w:rPr>
          <w:vertAlign w:val="superscript"/>
        </w:rPr>
        <w:t>о</w:t>
      </w:r>
      <w:r>
        <w:rPr/>
        <w:t xml:space="preserve">С.  Величины максимальных тепловых эффектов имеют обратный характер и убывают в ряду </w:t>
      </w:r>
      <w:r>
        <w:rPr>
          <w:b/>
          <w:bCs/>
        </w:rPr>
        <w:t>1c  </w:t>
      </w:r>
      <w:r>
        <w:rPr/>
        <w:t>&gt; </w:t>
      </w:r>
      <w:r>
        <w:rPr>
          <w:b/>
          <w:bCs/>
        </w:rPr>
        <w:t>1b  </w:t>
      </w:r>
      <w:r>
        <w:rPr/>
        <w:t>&gt; </w:t>
      </w:r>
      <w:r>
        <w:rPr>
          <w:b/>
          <w:bCs/>
        </w:rPr>
        <w:t>1a</w:t>
      </w:r>
      <w:r>
        <w:rPr/>
        <w:t>. Результаты представлены в таблицах 3, 4 и рисунке 9.</w:t>
      </w:r>
    </w:p>
    <w:p>
      <w:pPr>
        <w:pStyle w:val="Normal"/>
        <w:jc w:val="center"/>
        <w:rPr/>
      </w:pPr>
      <w:r>
        <w:rPr/>
      </w:r>
    </w:p>
    <w:p>
      <w:pPr>
        <w:pStyle w:val="Normal"/>
        <w:jc w:val="center"/>
        <w:rPr/>
      </w:pPr>
      <w:r>
        <w:rPr/>
        <w:drawing>
          <wp:inline distT="0" distB="0" distL="0" distR="0">
            <wp:extent cx="5242560" cy="3926205"/>
            <wp:effectExtent l="0" t="0" r="0" b="0"/>
            <wp:docPr id="17"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1" descr=""/>
                    <pic:cNvPicPr>
                      <a:picLocks noChangeAspect="1" noChangeArrowheads="1"/>
                    </pic:cNvPicPr>
                  </pic:nvPicPr>
                  <pic:blipFill>
                    <a:blip r:embed="rId19"/>
                    <a:stretch>
                      <a:fillRect/>
                    </a:stretch>
                  </pic:blipFill>
                  <pic:spPr bwMode="auto">
                    <a:xfrm>
                      <a:off x="0" y="0"/>
                      <a:ext cx="5242560" cy="3926205"/>
                    </a:xfrm>
                    <a:prstGeom prst="rect">
                      <a:avLst/>
                    </a:prstGeom>
                  </pic:spPr>
                </pic:pic>
              </a:graphicData>
            </a:graphic>
          </wp:inline>
        </w:drawing>
      </w:r>
    </w:p>
    <w:p>
      <w:pPr>
        <w:pStyle w:val="Normal"/>
        <w:jc w:val="center"/>
        <w:rPr/>
      </w:pPr>
      <w:r>
        <w:rPr/>
        <w:t xml:space="preserve">Рисунок 9. Тепловой поток (P) при изотермическом разложении трифлатов </w:t>
      </w:r>
    </w:p>
    <w:p>
      <w:pPr>
        <w:pStyle w:val="Normal"/>
        <w:jc w:val="center"/>
        <w:rPr/>
      </w:pPr>
      <w:r>
        <w:rPr/>
        <w:t xml:space="preserve">2-, 3- и 4-нитробензолдиазония </w:t>
      </w:r>
      <w:r>
        <w:rPr>
          <w:b/>
        </w:rPr>
        <w:t>1</w:t>
      </w:r>
      <w:r>
        <w:rPr>
          <w:b/>
          <w:lang w:val="en-US"/>
        </w:rPr>
        <w:t>a</w:t>
      </w:r>
      <w:r>
        <w:rPr>
          <w:b/>
        </w:rPr>
        <w:t>-</w:t>
      </w:r>
      <w:r>
        <w:rPr>
          <w:b/>
          <w:lang w:val="en-US"/>
        </w:rPr>
        <w:t>c</w:t>
      </w:r>
      <w:r>
        <w:rPr/>
        <w:t xml:space="preserve"> при температуре 85 </w:t>
      </w:r>
      <w:r>
        <w:rPr>
          <w:vertAlign w:val="superscript"/>
        </w:rPr>
        <w:t>о</w:t>
      </w:r>
      <w:r>
        <w:rPr/>
        <w:t>С</w:t>
      </w:r>
    </w:p>
    <w:p>
      <w:pPr>
        <w:pStyle w:val="Normal"/>
        <w:rPr/>
      </w:pPr>
      <w:r>
        <w:rPr/>
      </w:r>
    </w:p>
    <w:p>
      <w:pPr>
        <w:pStyle w:val="Normal"/>
        <w:rPr/>
      </w:pPr>
      <w:r>
        <w:rPr/>
        <w:t>Анализируя кинетические данные при различной температуре, и аппроксимируя с помощью уравнения Аррениуса, мы рассчитали кинетические параметры реакций разложения при температуре 25 </w:t>
      </w:r>
      <w:r>
        <w:rPr>
          <w:vertAlign w:val="superscript"/>
        </w:rPr>
        <w:t>о</w:t>
      </w:r>
      <w:r>
        <w:rPr/>
        <w:t xml:space="preserve">С. </w:t>
      </w:r>
      <w:r>
        <w:rPr>
          <w:color w:val="000000"/>
        </w:rPr>
        <w:t xml:space="preserve">Результаты вычислений представлены в таблице 5 и графически на рисунке 10. Сравнивая значения энергий активации следует отметить, что для трифлатных солей </w:t>
      </w:r>
      <w:r>
        <w:rPr>
          <w:b/>
          <w:bCs/>
          <w:color w:val="000000"/>
        </w:rPr>
        <w:t>1b-d</w:t>
      </w:r>
      <w:r>
        <w:rPr>
          <w:color w:val="000000"/>
        </w:rPr>
        <w:t xml:space="preserve"> эта величина существенно выше, чем для тозилатной </w:t>
      </w:r>
      <w:r>
        <w:rPr>
          <w:b/>
          <w:bCs/>
          <w:color w:val="000000"/>
        </w:rPr>
        <w:t>2</w:t>
      </w:r>
      <w:r>
        <w:rPr>
          <w:color w:val="000000"/>
        </w:rPr>
        <w:t xml:space="preserve"> и тетрафторборатной </w:t>
      </w:r>
      <w:r>
        <w:rPr>
          <w:b/>
          <w:bCs/>
          <w:color w:val="000000"/>
        </w:rPr>
        <w:t>3</w:t>
      </w:r>
      <w:r>
        <w:rPr>
          <w:color w:val="000000"/>
        </w:rPr>
        <w:t xml:space="preserve"> солей, однако аномальным является трифлат 2-нитрофенилдиазония </w:t>
      </w:r>
      <w:r>
        <w:rPr>
          <w:b/>
          <w:bCs/>
          <w:color w:val="000000"/>
        </w:rPr>
        <w:t>1a</w:t>
      </w:r>
      <w:r>
        <w:rPr>
          <w:color w:val="000000"/>
        </w:rPr>
        <w:t xml:space="preserve"> с наименьшим значением энергии активации. </w:t>
      </w:r>
    </w:p>
    <w:p>
      <w:pPr>
        <w:pStyle w:val="Normal"/>
        <w:tabs>
          <w:tab w:val="left" w:pos="0" w:leader="none"/>
        </w:tabs>
        <w:ind w:hanging="0"/>
        <w:jc w:val="right"/>
        <w:rPr/>
      </w:pPr>
      <w:r>
        <w:rPr/>
      </w:r>
      <w:r>
        <w:br w:type="page"/>
      </w:r>
    </w:p>
    <w:p>
      <w:pPr>
        <w:pStyle w:val="Normal"/>
        <w:tabs>
          <w:tab w:val="left" w:pos="0" w:leader="none"/>
        </w:tabs>
        <w:ind w:hanging="0"/>
        <w:jc w:val="right"/>
        <w:rPr/>
      </w:pPr>
      <w:r>
        <w:rPr/>
        <w:t xml:space="preserve">Таблица 5 </w:t>
      </w:r>
    </w:p>
    <w:p>
      <w:pPr>
        <w:pStyle w:val="Normal"/>
        <w:tabs>
          <w:tab w:val="left" w:pos="0" w:leader="none"/>
        </w:tabs>
        <w:ind w:hanging="0"/>
        <w:jc w:val="center"/>
        <w:rPr/>
      </w:pPr>
      <w:r>
        <w:rPr/>
        <w:t xml:space="preserve">Рассчитанные значения кинетических параметров реакций разложения диазониевых </w:t>
      </w:r>
    </w:p>
    <w:p>
      <w:pPr>
        <w:pStyle w:val="Normal"/>
        <w:tabs>
          <w:tab w:val="left" w:pos="0" w:leader="none"/>
        </w:tabs>
        <w:ind w:hanging="0"/>
        <w:jc w:val="center"/>
        <w:rPr/>
      </w:pPr>
      <w:r>
        <w:rPr/>
        <w:t xml:space="preserve">солей </w:t>
      </w:r>
      <w:r>
        <w:rPr>
          <w:b/>
        </w:rPr>
        <w:t>1-3</w:t>
      </w:r>
      <w:r>
        <w:rPr/>
        <w:t xml:space="preserve"> при 25 </w:t>
      </w:r>
      <w:r>
        <w:rPr>
          <w:vertAlign w:val="superscript"/>
        </w:rPr>
        <w:t>о</w:t>
      </w:r>
      <w:r>
        <w:rPr/>
        <w:t>С (где k</w:t>
      </w:r>
      <w:r>
        <w:rPr>
          <w:vertAlign w:val="subscript"/>
        </w:rPr>
        <w:t>298</w:t>
      </w:r>
      <w:r>
        <w:rPr/>
        <w:t xml:space="preserve"> - константа скорости при 298 </w:t>
      </w:r>
      <w:r>
        <w:rPr>
          <w:vertAlign w:val="superscript"/>
        </w:rPr>
        <w:t>о</w:t>
      </w:r>
      <w:r>
        <w:rPr/>
        <w:t>K;  Ea — энергия активации).</w:t>
      </w:r>
    </w:p>
    <w:tbl>
      <w:tblPr>
        <w:tblW w:w="7313" w:type="dxa"/>
        <w:jc w:val="left"/>
        <w:tblInd w:w="1499" w:type="dxa"/>
        <w:tblBorders>
          <w:top w:val="single" w:sz="2" w:space="0" w:color="000001"/>
          <w:left w:val="single" w:sz="2" w:space="0" w:color="000001"/>
          <w:bottom w:val="single" w:sz="2" w:space="0" w:color="000001"/>
          <w:insideH w:val="single" w:sz="2" w:space="0" w:color="000001"/>
        </w:tblBorders>
        <w:tblCellMar>
          <w:top w:w="55" w:type="dxa"/>
          <w:left w:w="50" w:type="dxa"/>
          <w:bottom w:w="55" w:type="dxa"/>
          <w:right w:w="55" w:type="dxa"/>
        </w:tblCellMar>
        <w:tblLook w:val="0000" w:noVBand="0" w:noHBand="0" w:lastColumn="0" w:firstColumn="0" w:lastRow="0" w:firstRow="0"/>
      </w:tblPr>
      <w:tblGrid>
        <w:gridCol w:w="2999"/>
        <w:gridCol w:w="2275"/>
        <w:gridCol w:w="2039"/>
      </w:tblGrid>
      <w:tr>
        <w:trPr>
          <w:tblHeader w:val="true"/>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tcPr>
          <w:p>
            <w:pPr>
              <w:pStyle w:val="Style25"/>
              <w:ind w:hanging="0"/>
              <w:rPr>
                <w:rFonts w:ascii="Times New Roman" w:hAnsi="Times New Roman" w:cs="Times New Roman"/>
                <w:b w:val="false"/>
                <w:b w:val="false"/>
                <w:bCs w:val="false"/>
              </w:rPr>
            </w:pPr>
            <w:r>
              <w:rPr>
                <w:rFonts w:cs="Times New Roman" w:ascii="Times New Roman" w:hAnsi="Times New Roman"/>
                <w:b w:val="false"/>
                <w:bCs w:val="false"/>
              </w:rPr>
              <w:t>Substance</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tcPr>
          <w:p>
            <w:pPr>
              <w:pStyle w:val="Style24"/>
              <w:ind w:hanging="0"/>
              <w:jc w:val="center"/>
              <w:rPr/>
            </w:pPr>
            <w:r>
              <w:rPr/>
              <w:t>k</w:t>
            </w:r>
            <w:r>
              <w:rPr>
                <w:vertAlign w:val="subscript"/>
              </w:rPr>
              <w:t>298</w:t>
            </w:r>
            <w:r>
              <w:rPr/>
              <w:t>, g · mol</w:t>
            </w:r>
            <w:r>
              <w:rPr>
                <w:vertAlign w:val="superscript"/>
              </w:rPr>
              <w:t>-1</w:t>
            </w:r>
            <w:r>
              <w:rPr/>
              <w:t xml:space="preserve"> · с</w:t>
            </w:r>
            <w:r>
              <w:rPr>
                <w:vertAlign w:val="superscript"/>
              </w:rPr>
              <w:t>-1</w:t>
            </w:r>
            <w:r>
              <w:rPr/>
              <w:t> </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0" w:type="dxa"/>
            </w:tcMar>
          </w:tcPr>
          <w:p>
            <w:pPr>
              <w:pStyle w:val="Style24"/>
              <w:ind w:hanging="0"/>
              <w:jc w:val="center"/>
              <w:rPr/>
            </w:pPr>
            <w:r>
              <w:rPr/>
              <w:t>Ea, kJ/mol</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tcPr>
          <w:p>
            <w:pPr>
              <w:pStyle w:val="Style24"/>
              <w:ind w:hanging="0"/>
              <w:jc w:val="center"/>
              <w:rPr/>
            </w:pPr>
            <w:r>
              <w:rPr>
                <w:rFonts w:ascii="Times New Roman" w:hAnsi="Times New Roman"/>
                <w:szCs w:val="28"/>
                <w:lang w:val="en-US"/>
              </w:rPr>
              <w:t>2-NO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1a</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ind w:hanging="0"/>
              <w:jc w:val="center"/>
              <w:rPr/>
            </w:pPr>
            <w:r>
              <w:rPr/>
              <w:t>4.17*10</w:t>
            </w:r>
            <w:r>
              <w:rPr>
                <w:vertAlign w:val="superscript"/>
              </w:rPr>
              <w:t>-7</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0" w:type="dxa"/>
            </w:tcMar>
            <w:vAlign w:val="center"/>
          </w:tcPr>
          <w:p>
            <w:pPr>
              <w:pStyle w:val="Style24"/>
              <w:ind w:hanging="0"/>
              <w:jc w:val="center"/>
              <w:rPr/>
            </w:pPr>
            <w:r>
              <w:rPr/>
              <w:t>111.4</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tcPr>
          <w:p>
            <w:pPr>
              <w:pStyle w:val="Style24"/>
              <w:ind w:hanging="0"/>
              <w:jc w:val="center"/>
              <w:rP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1b</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ind w:hanging="0"/>
              <w:jc w:val="center"/>
              <w:rPr/>
            </w:pPr>
            <w:r>
              <w:rPr/>
              <w:t>8.66*10</w:t>
            </w:r>
            <w:r>
              <w:rPr>
                <w:vertAlign w:val="superscript"/>
              </w:rPr>
              <w:t>-7</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0" w:type="dxa"/>
            </w:tcMar>
            <w:vAlign w:val="center"/>
          </w:tcPr>
          <w:p>
            <w:pPr>
              <w:pStyle w:val="Style24"/>
              <w:ind w:hanging="0"/>
              <w:jc w:val="center"/>
              <w:rPr/>
            </w:pPr>
            <w:r>
              <w:rPr/>
              <w:t>159.7</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tcPr>
          <w:p>
            <w:pPr>
              <w:pStyle w:val="Style24"/>
              <w:ind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1c</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ind w:hanging="0"/>
              <w:jc w:val="center"/>
              <w:rPr/>
            </w:pPr>
            <w:r>
              <w:rPr/>
              <w:t>1.33*10</w:t>
            </w:r>
            <w:r>
              <w:rPr>
                <w:vertAlign w:val="superscript"/>
              </w:rPr>
              <w:t>-6</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0" w:type="dxa"/>
            </w:tcMar>
            <w:vAlign w:val="center"/>
          </w:tcPr>
          <w:p>
            <w:pPr>
              <w:pStyle w:val="Style24"/>
              <w:ind w:hanging="0"/>
              <w:jc w:val="center"/>
              <w:rPr/>
            </w:pPr>
            <w:r>
              <w:rPr/>
              <w:t>173.0</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tcPr>
          <w:p>
            <w:pPr>
              <w:pStyle w:val="Style24"/>
              <w:ind w:hanging="0"/>
              <w:jc w:val="center"/>
              <w:rPr/>
            </w:pPr>
            <w:r>
              <w:rPr>
                <w:rFonts w:ascii="Times New Roman" w:hAnsi="Times New Roman"/>
                <w:szCs w:val="28"/>
                <w:lang w:val="en-US"/>
              </w:rPr>
              <w:t>4-MeO</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1d</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ind w:hanging="0"/>
              <w:jc w:val="center"/>
              <w:rPr/>
            </w:pPr>
            <w:r>
              <w:rPr/>
              <w:t>1.39*10</w:t>
            </w:r>
            <w:r>
              <w:rPr>
                <w:vertAlign w:val="superscript"/>
              </w:rPr>
              <w:t>-8</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0" w:type="dxa"/>
            </w:tcMar>
            <w:vAlign w:val="center"/>
          </w:tcPr>
          <w:p>
            <w:pPr>
              <w:pStyle w:val="Style24"/>
              <w:ind w:hanging="0"/>
              <w:jc w:val="center"/>
              <w:rPr/>
            </w:pPr>
            <w:r>
              <w:rPr/>
              <w:t>187.1</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tcPr>
          <w:p>
            <w:pPr>
              <w:pStyle w:val="Style24"/>
              <w:ind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TsO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ind w:hanging="0"/>
              <w:jc w:val="center"/>
              <w:rPr/>
            </w:pPr>
            <w:r>
              <w:rPr/>
              <w:t>1.39*10</w:t>
            </w:r>
            <w:r>
              <w:rPr>
                <w:vertAlign w:val="superscript"/>
              </w:rPr>
              <w:t>-5</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0" w:type="dxa"/>
            </w:tcMar>
            <w:vAlign w:val="center"/>
          </w:tcPr>
          <w:p>
            <w:pPr>
              <w:pStyle w:val="Style24"/>
              <w:ind w:hanging="0"/>
              <w:jc w:val="center"/>
              <w:rPr/>
            </w:pPr>
            <w:r>
              <w:rPr/>
              <w:t>131.7</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tcPr>
          <w:p>
            <w:pPr>
              <w:pStyle w:val="Style24"/>
              <w:ind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ind w:hanging="0"/>
              <w:jc w:val="center"/>
              <w:rPr/>
            </w:pPr>
            <w:r>
              <w:rPr/>
              <w:t>5.33*10</w:t>
            </w:r>
            <w:r>
              <w:rPr>
                <w:vertAlign w:val="superscript"/>
              </w:rPr>
              <w:t>-6</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0" w:type="dxa"/>
            </w:tcMar>
            <w:vAlign w:val="center"/>
          </w:tcPr>
          <w:p>
            <w:pPr>
              <w:pStyle w:val="Style24"/>
              <w:ind w:hanging="0"/>
              <w:jc w:val="center"/>
              <w:rPr>
                <w:rFonts w:cs="Liberation Serif"/>
              </w:rPr>
            </w:pPr>
            <w:r>
              <w:rPr>
                <w:rFonts w:cs="Liberation Serif"/>
              </w:rPr>
              <w:t>140.3</w:t>
            </w:r>
          </w:p>
        </w:tc>
      </w:tr>
    </w:tbl>
    <w:p>
      <w:pPr>
        <w:pStyle w:val="Normal"/>
        <w:rPr/>
      </w:pPr>
      <w:r>
        <w:rPr/>
      </w:r>
    </w:p>
    <w:p>
      <w:pPr>
        <w:pStyle w:val="Normal"/>
        <w:tabs>
          <w:tab w:val="left" w:pos="0" w:leader="none"/>
        </w:tabs>
        <w:ind w:hanging="0"/>
        <w:jc w:val="center"/>
        <w:rPr/>
      </w:pPr>
      <w:r>
        <w:rPr/>
        <w:drawing>
          <wp:inline distT="0" distB="0" distL="0" distR="0">
            <wp:extent cx="5415915" cy="5341620"/>
            <wp:effectExtent l="0" t="0" r="0" b="0"/>
            <wp:docPr id="18"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30" descr=""/>
                    <pic:cNvPicPr>
                      <a:picLocks noChangeAspect="1" noChangeArrowheads="1"/>
                    </pic:cNvPicPr>
                  </pic:nvPicPr>
                  <pic:blipFill>
                    <a:blip r:embed="rId20"/>
                    <a:stretch>
                      <a:fillRect/>
                    </a:stretch>
                  </pic:blipFill>
                  <pic:spPr bwMode="auto">
                    <a:xfrm>
                      <a:off x="0" y="0"/>
                      <a:ext cx="5415915" cy="5341620"/>
                    </a:xfrm>
                    <a:prstGeom prst="rect">
                      <a:avLst/>
                    </a:prstGeom>
                  </pic:spPr>
                </pic:pic>
              </a:graphicData>
            </a:graphic>
          </wp:inline>
        </w:drawing>
      </w:r>
    </w:p>
    <w:p>
      <w:pPr>
        <w:pStyle w:val="Normal"/>
        <w:tabs>
          <w:tab w:val="left" w:pos="0" w:leader="none"/>
        </w:tabs>
        <w:ind w:hanging="0"/>
        <w:jc w:val="center"/>
        <w:rPr/>
      </w:pPr>
      <w:r>
        <w:rPr>
          <w:color w:val="000000"/>
        </w:rPr>
        <w:t xml:space="preserve">Рисунок 10. Анализ Аррениуса для реакций разложения диазониевых солей </w:t>
      </w:r>
      <w:r>
        <w:rPr>
          <w:b/>
          <w:color w:val="000000"/>
        </w:rPr>
        <w:t>1-3</w:t>
      </w:r>
    </w:p>
    <w:p>
      <w:pPr>
        <w:pStyle w:val="Normal"/>
        <w:rPr>
          <w:color w:val="000000"/>
        </w:rPr>
      </w:pPr>
      <w:r>
        <w:rPr>
          <w:color w:val="000000"/>
        </w:rPr>
      </w:r>
    </w:p>
    <w:p>
      <w:pPr>
        <w:pStyle w:val="Normal"/>
        <w:rPr/>
      </w:pPr>
      <w:r>
        <w:rPr>
          <w:color w:val="000000"/>
        </w:rPr>
        <w:t>На основе анализа Аррениуса и кинетического уравнения 2 были рассчитаны зависимости теплового потока от времени для процессов разложения исследуемых солей при нормальных условиях (рис. 11-12). Положение заместителя влияет на стабильность трифлатных солей, наибольшим периодом полураспада при 25 </w:t>
      </w:r>
      <w:r>
        <w:rPr>
          <w:color w:val="000000"/>
          <w:vertAlign w:val="superscript"/>
        </w:rPr>
        <w:t>o</w:t>
      </w:r>
      <w:r>
        <w:rPr>
          <w:color w:val="000000"/>
        </w:rPr>
        <w:t xml:space="preserve">C обладает трифлат 3-нитрофенилдиазония - 90 лет, наименьшим трифлат 2-нитрофенилдиазония - 25 лет (рисунок 11). Наибольшее влияние на стабильность оказывает природа противоиона (рисунок 12), близкие значения периодов полураспада при нормальных условиях имеют тозилатная </w:t>
      </w:r>
      <w:r>
        <w:rPr>
          <w:b/>
          <w:color w:val="000000"/>
        </w:rPr>
        <w:t>2</w:t>
      </w:r>
      <w:r>
        <w:rPr>
          <w:color w:val="000000"/>
        </w:rPr>
        <w:t xml:space="preserve">- 5 лет и тетрафторборатная </w:t>
      </w:r>
      <w:r>
        <w:rPr>
          <w:b/>
          <w:color w:val="000000"/>
        </w:rPr>
        <w:t>3</w:t>
      </w:r>
      <w:r>
        <w:rPr>
          <w:color w:val="000000"/>
        </w:rPr>
        <w:t xml:space="preserve"> - 4.5 года соли 4-нитрофенилдиазония. Существенно более стабильной является трифлатная соль 4-нитрофенилдиазония </w:t>
      </w:r>
      <w:r>
        <w:rPr>
          <w:b/>
          <w:color w:val="000000"/>
        </w:rPr>
        <w:t>1</w:t>
      </w:r>
      <w:r>
        <w:rPr>
          <w:b/>
          <w:color w:val="000000"/>
          <w:lang w:val="en-US"/>
        </w:rPr>
        <w:t>c</w:t>
      </w:r>
      <w:r>
        <w:rPr>
          <w:color w:val="000000"/>
        </w:rPr>
        <w:t xml:space="preserve"> с периодом полураспада - 46 лет и значительно более низким значением максимального теплового потока. Следует заметить, что  влияние противоиона становится более заметным только при низких температурах (25 </w:t>
      </w:r>
      <w:r>
        <w:rPr>
          <w:color w:val="000000"/>
          <w:vertAlign w:val="superscript"/>
        </w:rPr>
        <w:t>o</w:t>
      </w:r>
      <w:r>
        <w:rPr>
          <w:color w:val="000000"/>
        </w:rPr>
        <w:t xml:space="preserve">C), при повышенной температуре (в услових ДСК и </w:t>
      </w:r>
      <w:r>
        <w:rPr>
          <w:rFonts w:eastAsia="Times New Roman" w:cs="Times New Roman"/>
          <w:color w:val="000000"/>
        </w:rPr>
        <w:t xml:space="preserve">изотермической </w:t>
      </w:r>
      <w:r>
        <w:rPr>
          <w:color w:val="000000"/>
        </w:rPr>
        <w:t>потоковой калориметрии при 75-85 </w:t>
      </w:r>
      <w:r>
        <w:rPr>
          <w:color w:val="000000"/>
          <w:vertAlign w:val="superscript"/>
        </w:rPr>
        <w:t>o</w:t>
      </w:r>
      <w:r>
        <w:rPr>
          <w:color w:val="000000"/>
        </w:rPr>
        <w:t>C)  различия во временах разложения солей нивелируются. Этот факт, а также значения энергий активации позволяют предположить, что стабильность солей при нормальных условиях хранения в большей степени определяется прочностью кристаллической решетки. При более высоких температурах, после разрушения кристаллической решетки, на скорость и энергетику процесса, вероятно, влияет как природа диазониевого катиона Ar-N</w:t>
      </w:r>
      <w:r>
        <w:rPr>
          <w:color w:val="000000"/>
          <w:vertAlign w:val="subscript"/>
        </w:rPr>
        <w:t>2</w:t>
      </w:r>
      <w:r>
        <w:rPr>
          <w:color w:val="000000"/>
          <w:vertAlign w:val="superscript"/>
        </w:rPr>
        <w:t>+</w:t>
      </w:r>
      <w:r>
        <w:rPr>
          <w:color w:val="000000"/>
        </w:rPr>
        <w:t>, так и наличие и природа нуклеофилов в ближайшем окружении.</w:t>
      </w:r>
    </w:p>
    <w:p>
      <w:pPr>
        <w:pStyle w:val="Normal"/>
        <w:rPr/>
      </w:pPr>
      <w:r>
        <w:rPr/>
        <w:t xml:space="preserve">  </w:t>
      </w:r>
    </w:p>
    <w:p>
      <w:pPr>
        <w:pStyle w:val="Normal"/>
        <w:jc w:val="center"/>
        <w:rPr/>
      </w:pPr>
      <w:r>
        <w:rPr/>
        <w:drawing>
          <wp:inline distT="0" distB="0" distL="0" distR="0">
            <wp:extent cx="5011420" cy="3819525"/>
            <wp:effectExtent l="0" t="0" r="0" b="0"/>
            <wp:docPr id="19"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7" descr=""/>
                    <pic:cNvPicPr>
                      <a:picLocks noChangeAspect="1" noChangeArrowheads="1"/>
                    </pic:cNvPicPr>
                  </pic:nvPicPr>
                  <pic:blipFill>
                    <a:blip r:embed="rId21"/>
                    <a:stretch>
                      <a:fillRect/>
                    </a:stretch>
                  </pic:blipFill>
                  <pic:spPr bwMode="auto">
                    <a:xfrm>
                      <a:off x="0" y="0"/>
                      <a:ext cx="5011420" cy="3819525"/>
                    </a:xfrm>
                    <a:prstGeom prst="rect">
                      <a:avLst/>
                    </a:prstGeom>
                  </pic:spPr>
                </pic:pic>
              </a:graphicData>
            </a:graphic>
          </wp:inline>
        </w:drawing>
      </w:r>
    </w:p>
    <w:p>
      <w:pPr>
        <w:pStyle w:val="Normal"/>
        <w:jc w:val="center"/>
        <w:rPr/>
      </w:pPr>
      <w:r>
        <w:rPr/>
        <w:t xml:space="preserve">Рисунок 11. Тепловые потоки (P) </w:t>
      </w:r>
      <w:r>
        <w:rPr>
          <w:color w:val="000000"/>
        </w:rPr>
        <w:t>рассчитанные на основе моделирования  кинетических кривых</w:t>
      </w:r>
      <w:r>
        <w:rPr/>
        <w:t xml:space="preserve"> разложения трифлатов 2-, 3- и 4-нитробензолдиазония </w:t>
      </w:r>
      <w:r>
        <w:rPr>
          <w:b/>
          <w:bCs/>
        </w:rPr>
        <w:t>1</w:t>
      </w:r>
      <w:r>
        <w:rPr>
          <w:b/>
          <w:bCs/>
          <w:lang w:val="en-US"/>
        </w:rPr>
        <w:t>a</w:t>
      </w:r>
      <w:r>
        <w:rPr>
          <w:b/>
          <w:bCs/>
        </w:rPr>
        <w:t>-</w:t>
      </w:r>
      <w:r>
        <w:rPr>
          <w:b/>
          <w:bCs/>
          <w:lang w:val="en-US"/>
        </w:rPr>
        <w:t>c</w:t>
      </w:r>
      <w:r>
        <w:rPr/>
        <w:t xml:space="preserve"> при 25 </w:t>
      </w:r>
      <w:r>
        <w:rPr>
          <w:vertAlign w:val="superscript"/>
        </w:rPr>
        <w:t>о</w:t>
      </w:r>
      <w:r>
        <w:rPr/>
        <w:t>С.</w:t>
      </w:r>
    </w:p>
    <w:p>
      <w:pPr>
        <w:pStyle w:val="Normal"/>
        <w:tabs>
          <w:tab w:val="left" w:pos="0" w:leader="none"/>
        </w:tabs>
        <w:ind w:hanging="0"/>
        <w:jc w:val="center"/>
        <w:rPr/>
      </w:pPr>
      <w:r>
        <w:rPr/>
      </w:r>
    </w:p>
    <w:p>
      <w:pPr>
        <w:pStyle w:val="Normal"/>
        <w:tabs>
          <w:tab w:val="left" w:pos="0" w:leader="none"/>
        </w:tabs>
        <w:ind w:hanging="0"/>
        <w:jc w:val="center"/>
        <w:rPr/>
      </w:pPr>
      <w:r>
        <w:rPr/>
        <w:drawing>
          <wp:inline distT="0" distB="0" distL="0" distR="0">
            <wp:extent cx="5076190" cy="3851275"/>
            <wp:effectExtent l="0" t="0" r="0" b="0"/>
            <wp:docPr id="20"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4" descr=""/>
                    <pic:cNvPicPr>
                      <a:picLocks noChangeAspect="1" noChangeArrowheads="1"/>
                    </pic:cNvPicPr>
                  </pic:nvPicPr>
                  <pic:blipFill>
                    <a:blip r:embed="rId22"/>
                    <a:stretch>
                      <a:fillRect/>
                    </a:stretch>
                  </pic:blipFill>
                  <pic:spPr bwMode="auto">
                    <a:xfrm>
                      <a:off x="0" y="0"/>
                      <a:ext cx="5076190" cy="3851275"/>
                    </a:xfrm>
                    <a:prstGeom prst="rect">
                      <a:avLst/>
                    </a:prstGeom>
                  </pic:spPr>
                </pic:pic>
              </a:graphicData>
            </a:graphic>
          </wp:inline>
        </w:drawing>
      </w:r>
    </w:p>
    <w:p>
      <w:pPr>
        <w:pStyle w:val="Normal"/>
        <w:tabs>
          <w:tab w:val="left" w:pos="0" w:leader="none"/>
        </w:tabs>
        <w:ind w:hanging="0"/>
        <w:jc w:val="center"/>
        <w:rPr/>
      </w:pPr>
      <w:r>
        <w:rPr/>
        <w:t xml:space="preserve">Рисунок 12. Тепловые потоки (P) рассчитанные на основе моделирования  кинетических кривых разложения тозилата </w:t>
      </w:r>
      <w:r>
        <w:rPr>
          <w:b/>
        </w:rPr>
        <w:t>2</w:t>
      </w:r>
      <w:r>
        <w:rPr/>
        <w:t xml:space="preserve">, трифлата </w:t>
      </w:r>
      <w:r>
        <w:rPr>
          <w:b/>
        </w:rPr>
        <w:t>1</w:t>
      </w:r>
      <w:r>
        <w:rPr>
          <w:b/>
          <w:lang w:val="en-US"/>
        </w:rPr>
        <w:t>c</w:t>
      </w:r>
      <w:r>
        <w:rPr/>
        <w:t xml:space="preserve"> и тетрафторбората </w:t>
      </w:r>
      <w:r>
        <w:rPr>
          <w:b/>
        </w:rPr>
        <w:t>3</w:t>
      </w:r>
      <w:r>
        <w:rPr/>
        <w:t xml:space="preserve"> </w:t>
      </w:r>
    </w:p>
    <w:p>
      <w:pPr>
        <w:pStyle w:val="Normal"/>
        <w:tabs>
          <w:tab w:val="left" w:pos="0" w:leader="none"/>
        </w:tabs>
        <w:ind w:hanging="0"/>
        <w:jc w:val="center"/>
        <w:rPr/>
      </w:pPr>
      <w:r>
        <w:rPr/>
        <w:t>4-нитробензолдиазония при 25 </w:t>
      </w:r>
      <w:r>
        <w:rPr>
          <w:vertAlign w:val="superscript"/>
        </w:rPr>
        <w:t>о</w:t>
      </w:r>
      <w:r>
        <w:rPr/>
        <w:t>С</w:t>
      </w:r>
    </w:p>
    <w:p>
      <w:pPr>
        <w:pStyle w:val="Normal"/>
        <w:tabs>
          <w:tab w:val="left" w:pos="0" w:leader="none"/>
        </w:tabs>
        <w:ind w:hanging="0"/>
        <w:jc w:val="center"/>
        <w:rPr>
          <w:color w:val="000000"/>
          <w:sz w:val="12"/>
          <w:szCs w:val="12"/>
          <w:highlight w:val="green"/>
        </w:rPr>
      </w:pPr>
      <w:r>
        <w:rPr>
          <w:color w:val="000000"/>
          <w:sz w:val="12"/>
          <w:szCs w:val="12"/>
          <w:highlight w:val="green"/>
        </w:rPr>
      </w:r>
    </w:p>
    <w:p>
      <w:pPr>
        <w:pStyle w:val="2"/>
        <w:numPr>
          <w:ilvl w:val="1"/>
          <w:numId w:val="2"/>
        </w:numPr>
        <w:ind w:left="0" w:firstLine="397"/>
        <w:rPr/>
      </w:pPr>
      <w:r>
        <w:rPr>
          <w:bCs/>
          <w:lang w:val="en-US"/>
        </w:rPr>
        <w:t>GC</w:t>
      </w:r>
      <w:r>
        <w:rPr>
          <w:bCs/>
        </w:rPr>
        <w:t>-</w:t>
      </w:r>
      <w:r>
        <w:rPr>
          <w:bCs/>
          <w:lang w:val="en-US"/>
        </w:rPr>
        <w:t>MS</w:t>
      </w:r>
      <w:r>
        <w:rPr>
          <w:bCs/>
        </w:rPr>
        <w:t xml:space="preserve"> и LC-MS исследование продуктов термического разложения </w:t>
      </w:r>
    </w:p>
    <w:p>
      <w:pPr>
        <w:pStyle w:val="Normal"/>
        <w:rPr/>
      </w:pPr>
      <w:r>
        <w:rPr/>
        <w:t>Давно установлено, что основными продуктами термического разложения арендиазоний тетрафторборатов являются соответствующие арилфториды (метод Бальца-Шимана) [1</w:t>
      </w:r>
      <w:r>
        <w:rPr>
          <w:lang w:val="en-US"/>
        </w:rPr>
        <w:t>a</w:t>
      </w:r>
      <w:r>
        <w:rPr/>
        <w:t xml:space="preserve">], продукты же термического разложения арендиазоний трифлатов неизвестны. Мы определили продукты, получающиеся при выдерживании солей </w:t>
      </w:r>
      <w:r>
        <w:rPr>
          <w:b/>
        </w:rPr>
        <w:t>1-3</w:t>
      </w:r>
      <w:r>
        <w:rPr/>
        <w:t xml:space="preserve"> при 85 </w:t>
      </w:r>
      <w:r>
        <w:rPr>
          <w:vertAlign w:val="superscript"/>
        </w:rPr>
        <w:t>о</w:t>
      </w:r>
      <w:r>
        <w:rPr/>
        <w:t xml:space="preserve">С в течение 14 суток с последующим превращением непрореагировавших солей в арилиодиды реакций с </w:t>
      </w:r>
      <w:r>
        <w:rPr>
          <w:lang w:val="en-US"/>
        </w:rPr>
        <w:t>KI</w:t>
      </w:r>
      <w:r>
        <w:rPr/>
        <w:t>. Продукты этих превращений были исследованы методоми GC-MS и LC-MS.</w:t>
      </w:r>
    </w:p>
    <w:p>
      <w:pPr>
        <w:pStyle w:val="Normal"/>
        <w:rPr>
          <w:color w:val="000000"/>
        </w:rPr>
      </w:pPr>
      <w:r>
        <w:rPr/>
        <w:t xml:space="preserve">Основным продуктом разложения солей </w:t>
      </w:r>
      <w:r>
        <w:rPr>
          <w:b/>
        </w:rPr>
        <w:t>1b</w:t>
      </w:r>
      <w:r>
        <w:rPr/>
        <w:t xml:space="preserve">, </w:t>
      </w:r>
      <w:r>
        <w:rPr>
          <w:b/>
        </w:rPr>
        <w:t>1c</w:t>
      </w:r>
      <w:r>
        <w:rPr/>
        <w:t xml:space="preserve"> по данным GC-MS оказались соответствующие эфиры нитрофенил трифторметансульфонатов </w:t>
      </w:r>
      <w:r>
        <w:rPr>
          <w:lang w:val="en-US"/>
        </w:rPr>
        <w:t>ArOTf</w:t>
      </w:r>
      <w:r>
        <w:rPr/>
        <w:t xml:space="preserve"> </w:t>
      </w:r>
      <w:r>
        <w:rPr>
          <w:lang w:val="en-US"/>
        </w:rPr>
        <w:t>and</w:t>
      </w:r>
      <w:r>
        <w:rPr/>
        <w:t xml:space="preserve"> </w:t>
      </w:r>
      <w:r>
        <w:rPr>
          <w:lang w:val="en-US"/>
        </w:rPr>
        <w:t>ArOTs</w:t>
      </w:r>
      <w:r>
        <w:rPr/>
        <w:t xml:space="preserve">. </w:t>
      </w:r>
      <w:r>
        <w:rPr>
          <w:color w:val="000000"/>
        </w:rPr>
        <w:t xml:space="preserve">При разложении тозилатной соли </w:t>
      </w:r>
      <w:r>
        <w:rPr>
          <w:b/>
          <w:bCs/>
          <w:color w:val="000000"/>
        </w:rPr>
        <w:t xml:space="preserve">2 </w:t>
      </w:r>
      <w:r>
        <w:rPr>
          <w:color w:val="000000"/>
        </w:rPr>
        <w:t>основными продуктами являются нитробензол и 1-иод-4-нитробензол, эфир 4-nitrophenyl 4-methylbenzenesulfonate m/z=292.1, не определяемый методом GC-MS присутствует на хроматограмме LC-MS ESI в отрицательном режиме ионизации.</w:t>
      </w:r>
      <w:r>
        <w:rPr>
          <w:b/>
          <w:bCs/>
          <w:color w:val="009900"/>
        </w:rPr>
        <w:t xml:space="preserve"> </w:t>
      </w:r>
      <w:r>
        <w:rPr/>
        <w:t xml:space="preserve">Для тетрафторборатной соли </w:t>
      </w:r>
      <w:r>
        <w:rPr>
          <w:b/>
        </w:rPr>
        <w:t>3</w:t>
      </w:r>
      <w:r>
        <w:rPr/>
        <w:t xml:space="preserve"> основным продуктом, как и следовало ожидать, является 1-фтор-4-нитробензол. </w:t>
      </w:r>
      <w:r>
        <w:rPr>
          <w:color w:val="000000"/>
        </w:rPr>
        <w:t xml:space="preserve">Следует отметить, что при разложении всех изученных солей образуются значительные количества смолообразных продуктов, не определяемых методами GC-MS. Хроматограммы GC-MS представлены в приложении 2s на рисунках 15-20. </w:t>
      </w:r>
      <w:r>
        <w:rPr/>
        <w:t xml:space="preserve">В общем, для солей </w:t>
      </w:r>
      <w:commentRangeStart w:id="6"/>
      <w:r>
        <w:rPr>
          <w:b/>
          <w:bCs/>
          <w:highlight w:val="yellow"/>
        </w:rPr>
        <w:t>1b</w:t>
      </w:r>
      <w:r>
        <w:rPr>
          <w:highlight w:val="yellow"/>
        </w:rPr>
        <w:t xml:space="preserve">, </w:t>
      </w:r>
      <w:r>
        <w:rPr>
          <w:b/>
          <w:bCs/>
          <w:highlight w:val="yellow"/>
        </w:rPr>
        <w:t>1c</w:t>
      </w:r>
      <w:r>
        <w:rPr>
          <w:b/>
          <w:bCs/>
          <w:highlight w:val="yellow"/>
        </w:rPr>
      </w:r>
      <w:commentRangeEnd w:id="6"/>
      <w:r>
        <w:commentReference w:id="6"/>
      </w:r>
      <w:r>
        <w:rPr/>
        <w:t xml:space="preserve">, </w:t>
      </w:r>
      <w:r>
        <w:rPr>
          <w:b/>
          <w:bCs/>
        </w:rPr>
        <w:t>2</w:t>
      </w:r>
      <w:r>
        <w:rPr/>
        <w:t xml:space="preserve">, </w:t>
      </w:r>
      <w:r>
        <w:rPr>
          <w:b/>
          <w:bCs/>
        </w:rPr>
        <w:t>3</w:t>
      </w:r>
      <w:r>
        <w:rPr/>
        <w:t xml:space="preserve"> </w:t>
      </w:r>
      <w:r>
        <w:rPr>
          <w:color w:val="000000"/>
        </w:rPr>
        <w:t>по результатам GC-MS и LC-MS можно предположить основную схему 3 для процессов протекающих при термическом разложении этих ДС.</w:t>
      </w:r>
    </w:p>
    <w:p>
      <w:pPr>
        <w:pStyle w:val="Normal"/>
        <w:ind w:hanging="0"/>
        <w:rPr>
          <w:color w:val="000000"/>
          <w:lang w:val="en-US"/>
        </w:rPr>
      </w:pPr>
      <w:r>
        <w:rPr/>
        <w:object>
          <v:shape id="ole_rId23" style="width:351.75pt;height:52.5pt" o:ole="">
            <v:imagedata r:id="rId24" o:title=""/>
          </v:shape>
          <o:OLEObject Type="Embed" ProgID="ChemDraw.Document.6.0" ShapeID="ole_rId23" DrawAspect="Content" ObjectID="_1473866734" r:id="rId23"/>
        </w:object>
      </w:r>
    </w:p>
    <w:p>
      <w:pPr>
        <w:pStyle w:val="Normal"/>
        <w:ind w:hanging="0"/>
        <w:rPr/>
      </w:pPr>
      <w:r>
        <w:rPr>
          <w:lang w:val="en-US" w:eastAsia="ru-RU" w:bidi="ar-SA"/>
        </w:rPr>
        <w:t>Nu</w:t>
      </w:r>
      <w:r>
        <w:rPr>
          <w:lang w:eastAsia="ru-RU" w:bidi="ar-SA"/>
        </w:rPr>
        <w:t xml:space="preserve">= </w:t>
      </w:r>
      <w:r>
        <w:rPr>
          <w:lang w:val="en-US" w:eastAsia="ru-RU" w:bidi="ar-SA"/>
        </w:rPr>
        <w:t>F</w:t>
      </w:r>
      <w:r>
        <w:rPr>
          <w:lang w:eastAsia="ru-RU" w:bidi="ar-SA"/>
        </w:rPr>
        <w:t xml:space="preserve">, </w:t>
      </w:r>
      <w:r>
        <w:rPr>
          <w:lang w:val="en-US" w:eastAsia="ru-RU" w:bidi="ar-SA"/>
        </w:rPr>
        <w:t>TsO</w:t>
      </w:r>
      <w:r>
        <w:rPr>
          <w:lang w:eastAsia="ru-RU" w:bidi="ar-SA"/>
        </w:rPr>
        <w:t xml:space="preserve">, </w:t>
      </w:r>
      <w:r>
        <w:rPr>
          <w:lang w:val="en-US" w:eastAsia="ru-RU" w:bidi="ar-SA"/>
        </w:rPr>
        <w:t>TfO</w:t>
      </w:r>
    </w:p>
    <w:p>
      <w:pPr>
        <w:pStyle w:val="Normal"/>
        <w:rPr/>
      </w:pPr>
      <w:r>
        <w:rPr/>
        <w:t xml:space="preserve">Совершенно иной процесс проходит при разложении соли </w:t>
      </w:r>
      <w:r>
        <w:rPr>
          <w:b/>
        </w:rPr>
        <w:t>1</w:t>
      </w:r>
      <w:r>
        <w:rPr>
          <w:b/>
          <w:lang w:val="en-US"/>
        </w:rPr>
        <w:t>a</w:t>
      </w:r>
      <w:r>
        <w:rPr/>
        <w:t xml:space="preserve"> с нитро-группой в </w:t>
      </w:r>
      <w:r>
        <w:rPr>
          <w:i/>
        </w:rPr>
        <w:t>орто</w:t>
      </w:r>
      <w:r>
        <w:rPr/>
        <w:t xml:space="preserve">-положении. В этом случае продукта замещения диазониевой группы на трифлат-анион не обнаружено, фиксируются лишь вещества полимерной природы, которые были исследованы методом </w:t>
      </w:r>
      <w:r>
        <w:rPr>
          <w:color w:val="000000"/>
        </w:rPr>
        <w:t xml:space="preserve">LC-MS, результаты представлены в таблице 6. Спектры </w:t>
      </w:r>
      <w:r>
        <w:rPr>
          <w:color w:val="000000"/>
          <w:lang w:val="en-US"/>
        </w:rPr>
        <w:t>MS</w:t>
      </w:r>
      <w:r>
        <w:rPr>
          <w:color w:val="000000"/>
        </w:rPr>
        <w:t xml:space="preserve"> приведены в приложении 3s.</w:t>
      </w:r>
      <w:r>
        <w:rPr/>
        <w:t xml:space="preserve"> </w:t>
      </w:r>
      <w:r>
        <w:rPr>
          <w:color w:val="000000"/>
        </w:rPr>
        <w:t xml:space="preserve">Полимерные цепочки для продуктов разложения соли </w:t>
      </w:r>
      <w:r>
        <w:rPr>
          <w:b/>
          <w:bCs/>
          <w:color w:val="000000"/>
        </w:rPr>
        <w:t>1a</w:t>
      </w:r>
      <w:r>
        <w:rPr>
          <w:color w:val="000000"/>
        </w:rPr>
        <w:t xml:space="preserve"> имеют шаг </w:t>
      </w:r>
      <w:r>
        <w:rPr>
          <w:rFonts w:ascii="Symbol" w:hAnsi="Symbol"/>
          <w:color w:val="000000"/>
          <w:sz w:val="20"/>
          <w:szCs w:val="20"/>
        </w:rPr>
        <w:t></w:t>
      </w:r>
      <w:r>
        <w:rPr>
          <w:color w:val="000000"/>
        </w:rPr>
        <w:t>M/Z=121.0 равный молекулярной массе бензин-производного NO</w:t>
      </w:r>
      <w:r>
        <w:rPr>
          <w:color w:val="000000"/>
          <w:vertAlign w:val="subscript"/>
        </w:rPr>
        <w:t>2</w:t>
      </w:r>
      <w:r>
        <w:rPr>
          <w:color w:val="000000"/>
        </w:rPr>
        <w:t>C</w:t>
      </w:r>
      <w:r>
        <w:rPr>
          <w:color w:val="000000"/>
          <w:vertAlign w:val="subscript"/>
        </w:rPr>
        <w:t>6</w:t>
      </w:r>
      <w:r>
        <w:rPr>
          <w:color w:val="000000"/>
        </w:rPr>
        <w:t>H</w:t>
      </w:r>
      <w:r>
        <w:rPr>
          <w:color w:val="000000"/>
          <w:vertAlign w:val="subscript"/>
        </w:rPr>
        <w:t>3</w:t>
      </w:r>
      <w:r>
        <w:rPr>
          <w:color w:val="000000"/>
        </w:rPr>
        <w:t xml:space="preserve">. Кроме того в продуктах обнаружена цепочка с шагом </w:t>
      </w:r>
      <w:r>
        <w:rPr>
          <w:rFonts w:ascii="Symbol" w:hAnsi="Symbol"/>
          <w:color w:val="000000"/>
          <w:sz w:val="20"/>
          <w:szCs w:val="20"/>
        </w:rPr>
        <w:t></w:t>
      </w:r>
      <w:r>
        <w:rPr>
          <w:color w:val="000000"/>
        </w:rPr>
        <w:t>M/Z=223, соответствующая брутто формуле [</w:t>
      </w:r>
      <w:r>
        <w:rPr>
          <w:color w:val="000000"/>
          <w:lang w:val="en-US"/>
        </w:rPr>
        <w:t>NO</w:t>
      </w:r>
      <w:r>
        <w:rPr>
          <w:color w:val="000000"/>
          <w:vertAlign w:val="subscript"/>
        </w:rPr>
        <w:t>2</w:t>
      </w:r>
      <w:r>
        <w:rPr>
          <w:color w:val="000000"/>
          <w:lang w:val="en-US"/>
        </w:rPr>
        <w:t>C</w:t>
      </w:r>
      <w:r>
        <w:rPr>
          <w:color w:val="000000"/>
          <w:vertAlign w:val="subscript"/>
        </w:rPr>
        <w:t>6</w:t>
      </w:r>
      <w:r>
        <w:rPr>
          <w:color w:val="000000"/>
          <w:lang w:val="en-US"/>
        </w:rPr>
        <w:t>H</w:t>
      </w:r>
      <w:r>
        <w:rPr>
          <w:color w:val="000000"/>
          <w:vertAlign w:val="subscript"/>
        </w:rPr>
        <w:t>4</w:t>
      </w:r>
      <w:r>
        <w:rPr>
          <w:color w:val="000000"/>
          <w:lang w:val="en-US"/>
        </w:rPr>
        <w:t>SCF</w:t>
      </w:r>
      <w:r>
        <w:rPr>
          <w:color w:val="000000"/>
          <w:vertAlign w:val="subscript"/>
        </w:rPr>
        <w:t>3</w:t>
      </w:r>
      <w:r>
        <w:rPr>
          <w:color w:val="000000"/>
        </w:rPr>
        <w:t xml:space="preserve">]. </w:t>
      </w:r>
    </w:p>
    <w:p>
      <w:pPr>
        <w:pStyle w:val="Normal"/>
        <w:spacing w:before="113" w:after="0"/>
        <w:jc w:val="right"/>
        <w:rPr>
          <w:color w:val="000000"/>
        </w:rPr>
      </w:pPr>
      <w:r>
        <w:rPr>
          <w:color w:val="000000"/>
        </w:rPr>
        <w:t>Таблица 6.</w:t>
      </w:r>
    </w:p>
    <w:p>
      <w:pPr>
        <w:pStyle w:val="Normal"/>
        <w:jc w:val="center"/>
        <w:rPr>
          <w:color w:val="000000"/>
        </w:rPr>
      </w:pPr>
      <w:r>
        <w:rPr>
          <w:color w:val="000000"/>
        </w:rPr>
        <w:t xml:space="preserve">Основные пики присутствующие на LC-MS хроматограммах продуктов </w:t>
      </w:r>
    </w:p>
    <w:p>
      <w:pPr>
        <w:pStyle w:val="Normal"/>
        <w:jc w:val="center"/>
        <w:rPr/>
      </w:pPr>
      <w:r>
        <w:rPr>
          <w:color w:val="000000"/>
        </w:rPr>
        <w:t xml:space="preserve">разложения ДС </w:t>
      </w:r>
      <w:r>
        <w:rPr>
          <w:rFonts w:ascii="Times New Roman" w:hAnsi="Times New Roman"/>
          <w:color w:val="000000"/>
          <w:szCs w:val="28"/>
        </w:rPr>
        <w:t>2-</w:t>
      </w:r>
      <w:r>
        <w:rPr>
          <w:rFonts w:ascii="Times New Roman" w:hAnsi="Times New Roman"/>
          <w:color w:val="000000"/>
          <w:szCs w:val="28"/>
          <w:lang w:val="en-US"/>
        </w:rPr>
        <w:t>NO</w:t>
      </w:r>
      <w:r>
        <w:rPr>
          <w:rFonts w:ascii="Times New Roman" w:hAnsi="Times New Roman"/>
          <w:color w:val="000000"/>
          <w:szCs w:val="28"/>
          <w:vertAlign w:val="subscript"/>
        </w:rPr>
        <w:t>2</w:t>
      </w:r>
      <w:r>
        <w:rPr>
          <w:rFonts w:ascii="Times New Roman" w:hAnsi="Times New Roman"/>
          <w:color w:val="000000"/>
          <w:szCs w:val="28"/>
        </w:rPr>
        <w:t>С</w:t>
      </w:r>
      <w:r>
        <w:rPr>
          <w:rFonts w:ascii="Times New Roman" w:hAnsi="Times New Roman"/>
          <w:color w:val="000000"/>
          <w:szCs w:val="28"/>
          <w:vertAlign w:val="subscript"/>
        </w:rPr>
        <w:t>6</w:t>
      </w:r>
      <w:r>
        <w:rPr>
          <w:rFonts w:ascii="Times New Roman" w:hAnsi="Times New Roman"/>
          <w:color w:val="000000"/>
          <w:szCs w:val="28"/>
          <w:lang w:val="en-US"/>
        </w:rPr>
        <w:t>H</w:t>
      </w:r>
      <w:r>
        <w:rPr>
          <w:rFonts w:ascii="Times New Roman" w:hAnsi="Times New Roman"/>
          <w:color w:val="000000"/>
          <w:szCs w:val="28"/>
          <w:vertAlign w:val="subscript"/>
        </w:rPr>
        <w:t>4</w:t>
      </w:r>
      <w:r>
        <w:rPr>
          <w:rFonts w:ascii="Times New Roman" w:hAnsi="Times New Roman"/>
          <w:color w:val="000000"/>
          <w:szCs w:val="28"/>
          <w:lang w:val="en-US"/>
        </w:rPr>
        <w:t>N</w:t>
      </w:r>
      <w:r>
        <w:rPr>
          <w:rFonts w:ascii="Times New Roman" w:hAnsi="Times New Roman"/>
          <w:color w:val="000000"/>
          <w:szCs w:val="28"/>
          <w:vertAlign w:val="subscript"/>
        </w:rPr>
        <w:t>2</w:t>
      </w:r>
      <w:r>
        <w:rPr>
          <w:rFonts w:ascii="Times New Roman" w:hAnsi="Times New Roman"/>
          <w:color w:val="000000"/>
          <w:szCs w:val="28"/>
          <w:vertAlign w:val="superscript"/>
        </w:rPr>
        <w:t>+</w:t>
      </w:r>
      <w:r>
        <w:rPr>
          <w:rFonts w:ascii="Times New Roman" w:hAnsi="Times New Roman"/>
          <w:color w:val="000000"/>
          <w:szCs w:val="28"/>
        </w:rPr>
        <w:t xml:space="preserve"> </w:t>
      </w:r>
      <w:r>
        <w:rPr>
          <w:rFonts w:ascii="Times New Roman" w:hAnsi="Times New Roman"/>
          <w:color w:val="000000"/>
          <w:szCs w:val="28"/>
          <w:lang w:val="en-US"/>
        </w:rPr>
        <w:t>TfO</w:t>
      </w:r>
      <w:r>
        <w:rPr>
          <w:rFonts w:ascii="Times New Roman" w:hAnsi="Times New Roman"/>
          <w:color w:val="000000"/>
          <w:szCs w:val="28"/>
          <w:vertAlign w:val="superscript"/>
        </w:rPr>
        <w:t>-</w:t>
      </w:r>
      <w:r>
        <w:rPr>
          <w:rFonts w:ascii="Times New Roman" w:hAnsi="Times New Roman"/>
          <w:color w:val="000000"/>
          <w:szCs w:val="28"/>
        </w:rPr>
        <w:t xml:space="preserve"> </w:t>
      </w:r>
      <w:r>
        <w:rPr>
          <w:rFonts w:ascii="Times New Roman" w:hAnsi="Times New Roman"/>
          <w:b/>
          <w:color w:val="000000"/>
          <w:szCs w:val="28"/>
        </w:rPr>
        <w:t>1</w:t>
      </w:r>
      <w:r>
        <w:rPr>
          <w:rFonts w:ascii="Times New Roman" w:hAnsi="Times New Roman"/>
          <w:b/>
          <w:color w:val="000000"/>
          <w:szCs w:val="28"/>
          <w:lang w:val="en-US"/>
        </w:rPr>
        <w:t>a</w:t>
      </w:r>
    </w:p>
    <w:tbl>
      <w:tblPr>
        <w:tblW w:w="9645" w:type="dxa"/>
        <w:jc w:val="left"/>
        <w:tblInd w:w="53" w:type="dxa"/>
        <w:tblBorders>
          <w:top w:val="single" w:sz="2" w:space="0" w:color="000001"/>
          <w:left w:val="single" w:sz="2" w:space="0" w:color="000001"/>
          <w:bottom w:val="single" w:sz="2" w:space="0" w:color="000001"/>
          <w:insideH w:val="single" w:sz="2" w:space="0" w:color="000001"/>
        </w:tblBorders>
        <w:tblCellMar>
          <w:top w:w="55" w:type="dxa"/>
          <w:left w:w="50" w:type="dxa"/>
          <w:bottom w:w="55" w:type="dxa"/>
          <w:right w:w="55" w:type="dxa"/>
        </w:tblCellMar>
        <w:tblLook w:val="0000" w:noVBand="0" w:noHBand="0" w:lastColumn="0" w:firstColumn="0" w:lastRow="0" w:firstRow="0"/>
      </w:tblPr>
      <w:tblGrid>
        <w:gridCol w:w="1980"/>
        <w:gridCol w:w="3015"/>
        <w:gridCol w:w="4650"/>
      </w:tblGrid>
      <w:tr>
        <w:trPr>
          <w:tblHeader w:val="true"/>
          <w:cantSplit w:val="true"/>
        </w:trPr>
        <w:tc>
          <w:tcPr>
            <w:tcW w:w="1980"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tcPr>
          <w:p>
            <w:pPr>
              <w:pStyle w:val="Style24"/>
              <w:ind w:hanging="0"/>
              <w:jc w:val="center"/>
              <w:rPr/>
            </w:pPr>
            <w:r>
              <w:rPr>
                <w:b/>
                <w:bCs/>
                <w:lang w:val="en-US"/>
              </w:rPr>
              <w:t>Ionization</w:t>
            </w:r>
            <w:r>
              <w:rPr>
                <w:b/>
                <w:bCs/>
              </w:rPr>
              <w:t xml:space="preserve"> </w:t>
            </w:r>
            <w:r>
              <w:rPr>
                <w:b/>
                <w:bCs/>
                <w:lang w:val="en-US"/>
              </w:rPr>
              <w:t>Mode</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tcPr>
          <w:p>
            <w:pPr>
              <w:pStyle w:val="Style24"/>
              <w:ind w:hanging="0"/>
              <w:jc w:val="center"/>
              <w:rPr>
                <w:b/>
                <w:b/>
                <w:bCs/>
              </w:rPr>
            </w:pPr>
            <w:r>
              <w:rPr>
                <w:b/>
                <w:bCs/>
              </w:rPr>
              <w:t>M/Z</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0" w:type="dxa"/>
            </w:tcMar>
          </w:tcPr>
          <w:p>
            <w:pPr>
              <w:pStyle w:val="Style24"/>
              <w:ind w:hanging="0"/>
              <w:jc w:val="center"/>
              <w:rPr>
                <w:b/>
                <w:b/>
                <w:bCs/>
                <w:lang w:val="en-US"/>
              </w:rPr>
            </w:pPr>
            <w:r>
              <w:rPr>
                <w:b/>
                <w:bCs/>
                <w:lang w:val="en-US"/>
              </w:rPr>
              <w:t>Compound</w:t>
            </w:r>
          </w:p>
        </w:tc>
      </w:tr>
      <w:tr>
        <w:trPr>
          <w:cantSplit w:val="true"/>
        </w:trPr>
        <w:tc>
          <w:tcPr>
            <w:tcW w:w="1980"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tcPr>
          <w:p>
            <w:pPr>
              <w:pStyle w:val="Style24"/>
              <w:ind w:hanging="0"/>
              <w:jc w:val="center"/>
              <w:rPr>
                <w:lang w:val="en-US"/>
              </w:rPr>
            </w:pPr>
            <w:r>
              <w:rPr>
                <w:lang w:val="en-US"/>
              </w:rPr>
              <w:t>Positive ESI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tcPr>
          <w:p>
            <w:pPr>
              <w:pStyle w:val="Style24"/>
              <w:ind w:hanging="0"/>
              <w:jc w:val="center"/>
              <w:rPr>
                <w:lang w:val="en-US"/>
              </w:rPr>
            </w:pPr>
            <w:r>
              <w:rPr>
                <w:lang w:val="en-US"/>
              </w:rPr>
              <w:t>74.1; 297.1; 520.2; 743.2</w:t>
            </w:r>
          </w:p>
          <w:p>
            <w:pPr>
              <w:pStyle w:val="Style24"/>
              <w:ind w:hanging="0"/>
              <w:jc w:val="center"/>
              <w:rPr>
                <w:lang w:val="en-US"/>
              </w:rPr>
            </w:pPr>
            <w:r>
              <w:rPr>
                <w:lang w:val="en-US"/>
              </w:rPr>
            </w:r>
          </w:p>
          <w:p>
            <w:pPr>
              <w:pStyle w:val="Style24"/>
              <w:ind w:hanging="0"/>
              <w:jc w:val="center"/>
              <w:rPr>
                <w:lang w:val="en-US"/>
              </w:rPr>
            </w:pPr>
            <w:r>
              <w:rPr>
                <w:lang w:val="en-US"/>
              </w:rPr>
            </w:r>
          </w:p>
          <w:p>
            <w:pPr>
              <w:pStyle w:val="Style24"/>
              <w:ind w:hanging="0"/>
              <w:jc w:val="center"/>
              <w:rPr>
                <w:lang w:val="en-US"/>
              </w:rPr>
            </w:pPr>
            <w:r>
              <w:rPr>
                <w:lang w:val="en-US"/>
              </w:rPr>
              <w:t xml:space="preserve">432.1; 553.1; 674.1; 795.1; 916.1; 1037.1; 1158.1 </w:t>
            </w:r>
          </w:p>
          <w:p>
            <w:pPr>
              <w:pStyle w:val="Style24"/>
              <w:ind w:hanging="0"/>
              <w:jc w:val="center"/>
              <w:rPr>
                <w:lang w:val="en-US"/>
              </w:rPr>
            </w:pPr>
            <w:r>
              <w:rPr>
                <w:lang w:val="en-US"/>
              </w:rPr>
            </w:r>
          </w:p>
          <w:p>
            <w:pPr>
              <w:pStyle w:val="Style24"/>
              <w:ind w:hanging="0"/>
              <w:jc w:val="center"/>
              <w:rPr>
                <w:lang w:val="en-US"/>
              </w:rPr>
            </w:pPr>
            <w:r>
              <w:rPr>
                <w:lang w:val="en-US"/>
              </w:rPr>
              <w:t>525.1; 646.1; 767.1; 888.1; 1009.1; 1130.1</w:t>
            </w:r>
          </w:p>
          <w:p>
            <w:pPr>
              <w:pStyle w:val="Style24"/>
              <w:ind w:hanging="0"/>
              <w:jc w:val="center"/>
              <w:rPr>
                <w:lang w:val="en-US"/>
              </w:rPr>
            </w:pPr>
            <w:r>
              <w:rPr>
                <w:lang w:val="en-US"/>
              </w:rPr>
            </w:r>
          </w:p>
          <w:p>
            <w:pPr>
              <w:pStyle w:val="Style24"/>
              <w:ind w:hanging="0"/>
              <w:jc w:val="center"/>
              <w:rPr>
                <w:lang w:val="en-US"/>
              </w:rPr>
            </w:pPr>
            <w:r>
              <w:rPr>
                <w:lang w:val="en-US"/>
              </w:rPr>
            </w:r>
          </w:p>
          <w:p>
            <w:pPr>
              <w:pStyle w:val="Style24"/>
              <w:ind w:hanging="0"/>
              <w:jc w:val="center"/>
              <w:rPr>
                <w:lang w:val="en-US"/>
              </w:rPr>
            </w:pPr>
            <w:r>
              <w:rPr>
                <w:lang w:val="en-US"/>
              </w:rPr>
            </w:r>
          </w:p>
          <w:p>
            <w:pPr>
              <w:pStyle w:val="Style24"/>
              <w:ind w:hanging="0"/>
              <w:jc w:val="center"/>
              <w:rPr>
                <w:lang w:val="en-US"/>
              </w:rPr>
            </w:pPr>
            <w:r>
              <w:rPr>
                <w:lang w:val="en-US"/>
              </w:rPr>
              <w:t>588.2; 710.1; 831.2; 952.2;</w:t>
            </w:r>
          </w:p>
          <w:p>
            <w:pPr>
              <w:pStyle w:val="Style24"/>
              <w:ind w:hanging="0"/>
              <w:jc w:val="center"/>
              <w:rPr>
                <w:lang w:val="en-US"/>
              </w:rPr>
            </w:pPr>
            <w:r>
              <w:rPr>
                <w:lang w:val="en-US"/>
              </w:rPr>
            </w:r>
          </w:p>
          <w:p>
            <w:pPr>
              <w:pStyle w:val="Style24"/>
              <w:ind w:hanging="0"/>
              <w:jc w:val="center"/>
              <w:rPr>
                <w:lang w:val="en-US"/>
              </w:rPr>
            </w:pPr>
            <w:r>
              <w:rPr>
                <w:lang w:val="en-US"/>
              </w:rPr>
              <w:t>275.1; 785.8; 915.2; 1087.1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0" w:type="dxa"/>
            </w:tcMar>
          </w:tcPr>
          <w:p>
            <w:pPr>
              <w:pStyle w:val="Style24"/>
              <w:ind w:hanging="0"/>
              <w:jc w:val="center"/>
              <w:rPr/>
            </w:pPr>
            <w:r>
              <w:rPr/>
              <w:t xml:space="preserve">Цепочка </w:t>
            </w:r>
            <w:r>
              <w:rPr>
                <w:lang w:val="en-US"/>
              </w:rPr>
              <w:t>P</w:t>
            </w:r>
            <w:r>
              <w:rPr/>
              <w:t>1 с шагом 223, вероятно, [</w:t>
            </w:r>
            <w:r>
              <w:rPr>
                <w:lang w:val="en-US"/>
              </w:rPr>
              <w:t>NO</w:t>
            </w:r>
            <w:r>
              <w:rPr>
                <w:vertAlign w:val="subscript"/>
              </w:rPr>
              <w:t>2</w:t>
            </w:r>
            <w:r>
              <w:rPr>
                <w:lang w:val="en-US"/>
              </w:rPr>
              <w:t>C</w:t>
            </w:r>
            <w:r>
              <w:rPr>
                <w:vertAlign w:val="subscript"/>
              </w:rPr>
              <w:t>6</w:t>
            </w:r>
            <w:r>
              <w:rPr>
                <w:lang w:val="en-US"/>
              </w:rPr>
              <w:t>H</w:t>
            </w:r>
            <w:r>
              <w:rPr>
                <w:vertAlign w:val="subscript"/>
              </w:rPr>
              <w:t>4</w:t>
            </w:r>
            <w:r>
              <w:rPr>
                <w:lang w:val="en-US"/>
              </w:rPr>
              <w:t>SCF</w:t>
            </w:r>
            <w:r>
              <w:rPr>
                <w:vertAlign w:val="subscript"/>
              </w:rPr>
              <w:t>3</w:t>
            </w:r>
            <w:r>
              <w:rPr>
                <w:color w:val="000000"/>
              </w:rPr>
              <w:t>]</w:t>
            </w:r>
          </w:p>
          <w:p>
            <w:pPr>
              <w:pStyle w:val="Style24"/>
              <w:ind w:hanging="0"/>
              <w:jc w:val="center"/>
              <w:rPr>
                <w:color w:val="000000"/>
              </w:rPr>
            </w:pPr>
            <w:r>
              <w:rPr>
                <w:color w:val="000000"/>
              </w:rPr>
            </w:r>
          </w:p>
          <w:p>
            <w:pPr>
              <w:pStyle w:val="Style24"/>
              <w:ind w:hanging="0"/>
              <w:jc w:val="center"/>
              <w:rPr/>
            </w:pPr>
            <w:r>
              <w:rPr>
                <w:color w:val="000000"/>
              </w:rPr>
              <w:t xml:space="preserve">Полимерная цепочка </w:t>
            </w:r>
            <w:r>
              <w:rPr>
                <w:color w:val="000000"/>
                <w:lang w:val="en-US"/>
              </w:rPr>
              <w:t>P</w:t>
            </w:r>
            <w:r>
              <w:rPr>
                <w:color w:val="000000"/>
              </w:rPr>
              <w:t>2 с шагом 121 [</w:t>
            </w:r>
            <w:r>
              <w:rPr>
                <w:color w:val="000000"/>
                <w:lang w:val="en-US"/>
              </w:rPr>
              <w:t>C</w:t>
            </w:r>
            <w:r>
              <w:rPr>
                <w:color w:val="000000"/>
                <w:vertAlign w:val="subscript"/>
              </w:rPr>
              <w:t>6</w:t>
            </w:r>
            <w:r>
              <w:rPr>
                <w:color w:val="000000"/>
                <w:lang w:val="en-US"/>
              </w:rPr>
              <w:t>H</w:t>
            </w:r>
            <w:r>
              <w:rPr>
                <w:color w:val="000000"/>
                <w:vertAlign w:val="subscript"/>
              </w:rPr>
              <w:t>3</w:t>
            </w:r>
            <w:r>
              <w:rPr>
                <w:color w:val="000000"/>
                <w:lang w:val="en-US"/>
              </w:rPr>
              <w:t>NO</w:t>
            </w:r>
            <w:r>
              <w:rPr>
                <w:color w:val="000000"/>
                <w:vertAlign w:val="subscript"/>
              </w:rPr>
              <w:t>2</w:t>
            </w:r>
            <w:r>
              <w:rPr>
                <w:color w:val="000000"/>
              </w:rPr>
              <w:t>]</w:t>
            </w:r>
          </w:p>
          <w:p>
            <w:pPr>
              <w:pStyle w:val="Style24"/>
              <w:ind w:hanging="0"/>
              <w:jc w:val="center"/>
              <w:rPr>
                <w:color w:val="000000"/>
              </w:rPr>
            </w:pPr>
            <w:r>
              <w:rPr>
                <w:color w:val="000000"/>
              </w:rPr>
            </w:r>
          </w:p>
          <w:p>
            <w:pPr>
              <w:pStyle w:val="Style24"/>
              <w:ind w:hanging="0"/>
              <w:jc w:val="center"/>
              <w:rPr/>
            </w:pPr>
            <w:r>
              <w:rPr>
                <w:color w:val="000000"/>
              </w:rPr>
              <w:t xml:space="preserve">Полимерная цепочка </w:t>
            </w:r>
            <w:r>
              <w:rPr>
                <w:color w:val="000000"/>
                <w:lang w:val="en-US"/>
              </w:rPr>
              <w:t>P</w:t>
            </w:r>
            <w:r>
              <w:rPr>
                <w:color w:val="000000"/>
              </w:rPr>
              <w:t>3 с шагом 121  [</w:t>
            </w:r>
            <w:r>
              <w:rPr>
                <w:color w:val="000000"/>
                <w:lang w:val="en-US"/>
              </w:rPr>
              <w:t>C</w:t>
            </w:r>
            <w:r>
              <w:rPr>
                <w:color w:val="000000"/>
                <w:vertAlign w:val="subscript"/>
              </w:rPr>
              <w:t>6</w:t>
            </w:r>
            <w:r>
              <w:rPr>
                <w:color w:val="000000"/>
                <w:lang w:val="en-US"/>
              </w:rPr>
              <w:t>H</w:t>
            </w:r>
            <w:r>
              <w:rPr>
                <w:color w:val="000000"/>
                <w:vertAlign w:val="subscript"/>
              </w:rPr>
              <w:t>3</w:t>
            </w:r>
            <w:r>
              <w:rPr>
                <w:color w:val="000000"/>
                <w:lang w:val="en-US"/>
              </w:rPr>
              <w:t>NO</w:t>
            </w:r>
            <w:r>
              <w:rPr>
                <w:color w:val="000000"/>
                <w:vertAlign w:val="subscript"/>
              </w:rPr>
              <w:t>2</w:t>
            </w:r>
            <w:r>
              <w:rPr>
                <w:color w:val="000000"/>
              </w:rPr>
              <w:t>]</w:t>
            </w:r>
          </w:p>
          <w:p>
            <w:pPr>
              <w:pStyle w:val="Style24"/>
              <w:ind w:hanging="0"/>
              <w:jc w:val="center"/>
              <w:rPr>
                <w:i/>
                <w:i/>
                <w:iCs/>
                <w:color w:val="000000"/>
              </w:rPr>
            </w:pPr>
            <w:r>
              <w:rPr>
                <w:i/>
                <w:iCs/>
                <w:color w:val="000000"/>
              </w:rPr>
              <w:t xml:space="preserve">Различие между </w:t>
            </w:r>
            <w:r>
              <w:rPr>
                <w:i/>
                <w:iCs/>
                <w:color w:val="000000"/>
                <w:lang w:val="en-US"/>
              </w:rPr>
              <w:t>P</w:t>
            </w:r>
            <w:r>
              <w:rPr>
                <w:i/>
                <w:iCs/>
                <w:color w:val="000000"/>
              </w:rPr>
              <w:t xml:space="preserve">2 и </w:t>
            </w:r>
            <w:r>
              <w:rPr>
                <w:i/>
                <w:iCs/>
                <w:color w:val="000000"/>
                <w:lang w:val="en-US"/>
              </w:rPr>
              <w:t>P</w:t>
            </w:r>
            <w:r>
              <w:rPr>
                <w:i/>
                <w:iCs/>
                <w:color w:val="000000"/>
              </w:rPr>
              <w:t>3 - 28 соответствует потере азота</w:t>
            </w:r>
          </w:p>
          <w:p>
            <w:pPr>
              <w:pStyle w:val="Style24"/>
              <w:ind w:hanging="0"/>
              <w:jc w:val="center"/>
              <w:rPr>
                <w:color w:val="000000"/>
              </w:rPr>
            </w:pPr>
            <w:r>
              <w:rPr>
                <w:color w:val="000000"/>
              </w:rPr>
            </w:r>
          </w:p>
          <w:p>
            <w:pPr>
              <w:pStyle w:val="Style24"/>
              <w:ind w:hanging="0"/>
              <w:jc w:val="center"/>
              <w:rPr/>
            </w:pPr>
            <w:r>
              <w:rPr>
                <w:color w:val="000000"/>
              </w:rPr>
              <w:t xml:space="preserve">Полимерная цепочка </w:t>
            </w:r>
            <w:r>
              <w:rPr>
                <w:color w:val="000000"/>
                <w:lang w:val="en-US"/>
              </w:rPr>
              <w:t>P</w:t>
            </w:r>
            <w:r>
              <w:rPr>
                <w:color w:val="000000"/>
              </w:rPr>
              <w:t>4 с шагом 121  [</w:t>
            </w:r>
            <w:r>
              <w:rPr>
                <w:color w:val="000000"/>
                <w:lang w:val="en-US"/>
              </w:rPr>
              <w:t>C</w:t>
            </w:r>
            <w:r>
              <w:rPr>
                <w:color w:val="000000"/>
                <w:vertAlign w:val="subscript"/>
              </w:rPr>
              <w:t>6</w:t>
            </w:r>
            <w:r>
              <w:rPr>
                <w:color w:val="000000"/>
                <w:lang w:val="en-US"/>
              </w:rPr>
              <w:t>H</w:t>
            </w:r>
            <w:r>
              <w:rPr>
                <w:color w:val="000000"/>
                <w:vertAlign w:val="subscript"/>
              </w:rPr>
              <w:t>3</w:t>
            </w:r>
            <w:r>
              <w:rPr>
                <w:color w:val="000000"/>
                <w:lang w:val="en-US"/>
              </w:rPr>
              <w:t>NO</w:t>
            </w:r>
            <w:r>
              <w:rPr>
                <w:color w:val="000000"/>
                <w:vertAlign w:val="subscript"/>
              </w:rPr>
              <w:t>2</w:t>
            </w:r>
            <w:r>
              <w:rPr>
                <w:color w:val="000000"/>
              </w:rPr>
              <w:t>]</w:t>
            </w:r>
          </w:p>
        </w:tc>
      </w:tr>
      <w:tr>
        <w:trPr>
          <w:cantSplit w:val="true"/>
        </w:trPr>
        <w:tc>
          <w:tcPr>
            <w:tcW w:w="1980"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tcPr>
          <w:p>
            <w:pPr>
              <w:pStyle w:val="Style24"/>
              <w:ind w:hanging="0"/>
              <w:jc w:val="center"/>
              <w:rPr>
                <w:lang w:val="en-US"/>
              </w:rPr>
            </w:pPr>
            <w:r>
              <w:rPr>
                <w:lang w:val="en-US"/>
              </w:rPr>
              <w:t>Positive APCI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tcPr>
          <w:p>
            <w:pPr>
              <w:pStyle w:val="Style24"/>
              <w:ind w:hanging="0"/>
              <w:jc w:val="center"/>
              <w:rPr>
                <w:lang w:val="en-US"/>
              </w:rPr>
            </w:pPr>
            <w:r>
              <w:rPr>
                <w:lang w:val="en-US"/>
              </w:rPr>
              <w:t xml:space="preserve">394.0; 515.0; 635.9; </w:t>
            </w:r>
          </w:p>
          <w:p>
            <w:pPr>
              <w:pStyle w:val="Style24"/>
              <w:ind w:hanging="0"/>
              <w:jc w:val="center"/>
              <w:rPr>
                <w:lang w:val="en-US"/>
              </w:rPr>
            </w:pPr>
            <w:r>
              <w:rPr>
                <w:lang w:val="en-US"/>
              </w:rPr>
              <w:t>756.9; 877.8; 998.8; 1119.7</w:t>
            </w:r>
          </w:p>
          <w:p>
            <w:pPr>
              <w:pStyle w:val="Style24"/>
              <w:ind w:hanging="0"/>
              <w:jc w:val="center"/>
              <w:rPr>
                <w:lang w:val="en-US"/>
              </w:rPr>
            </w:pPr>
            <w:r>
              <w:rPr>
                <w:lang w:val="en-US"/>
              </w:rPr>
            </w:r>
          </w:p>
          <w:p>
            <w:pPr>
              <w:pStyle w:val="Style24"/>
              <w:ind w:hanging="0"/>
              <w:jc w:val="center"/>
              <w:rPr>
                <w:lang w:val="en-US"/>
              </w:rPr>
            </w:pPr>
            <w:r>
              <w:rPr>
                <w:lang w:val="en-US"/>
              </w:rPr>
              <w:t>597.3; 875.4; 877.4; 879.4</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0" w:type="dxa"/>
            </w:tcMar>
          </w:tcPr>
          <w:p>
            <w:pPr>
              <w:pStyle w:val="Style24"/>
              <w:ind w:hanging="0"/>
              <w:jc w:val="center"/>
              <w:rPr/>
            </w:pPr>
            <w:r>
              <w:rPr>
                <w:color w:val="000000"/>
              </w:rPr>
              <w:t xml:space="preserve">Полимерная цепочка </w:t>
            </w:r>
            <w:r>
              <w:rPr>
                <w:color w:val="000000"/>
                <w:lang w:val="en-US"/>
              </w:rPr>
              <w:t>P</w:t>
            </w:r>
            <w:r>
              <w:rPr>
                <w:color w:val="000000"/>
              </w:rPr>
              <w:t>5 с шагом 121  [</w:t>
            </w:r>
            <w:r>
              <w:rPr>
                <w:color w:val="000000"/>
                <w:lang w:val="en-US"/>
              </w:rPr>
              <w:t>C</w:t>
            </w:r>
            <w:r>
              <w:rPr>
                <w:color w:val="000000"/>
                <w:vertAlign w:val="subscript"/>
              </w:rPr>
              <w:t>6</w:t>
            </w:r>
            <w:r>
              <w:rPr>
                <w:color w:val="000000"/>
                <w:lang w:val="en-US"/>
              </w:rPr>
              <w:t>H</w:t>
            </w:r>
            <w:r>
              <w:rPr>
                <w:color w:val="000000"/>
                <w:vertAlign w:val="subscript"/>
              </w:rPr>
              <w:t>3</w:t>
            </w:r>
            <w:r>
              <w:rPr>
                <w:color w:val="000000"/>
                <w:lang w:val="en-US"/>
              </w:rPr>
              <w:t>NO</w:t>
            </w:r>
            <w:r>
              <w:rPr>
                <w:color w:val="000000"/>
                <w:vertAlign w:val="subscript"/>
              </w:rPr>
              <w:t>2</w:t>
            </w:r>
            <w:r>
              <w:rPr>
                <w:color w:val="000000"/>
              </w:rPr>
              <w:t>]</w:t>
            </w:r>
          </w:p>
        </w:tc>
      </w:tr>
      <w:tr>
        <w:trPr>
          <w:cantSplit w:val="true"/>
        </w:trPr>
        <w:tc>
          <w:tcPr>
            <w:tcW w:w="1980"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tcPr>
          <w:p>
            <w:pPr>
              <w:pStyle w:val="Style24"/>
              <w:ind w:hanging="0"/>
              <w:jc w:val="center"/>
              <w:rPr>
                <w:lang w:val="en-US"/>
              </w:rPr>
            </w:pPr>
            <w:r>
              <w:rPr>
                <w:lang w:val="en-US"/>
              </w:rPr>
              <w:t>Negative ESI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tcPr>
          <w:p>
            <w:pPr>
              <w:pStyle w:val="Style24"/>
              <w:ind w:hanging="0"/>
              <w:jc w:val="center"/>
              <w:rPr>
                <w:lang w:val="en-US"/>
              </w:rPr>
            </w:pPr>
            <w:r>
              <w:rPr>
                <w:lang w:val="en-US"/>
              </w:rPr>
              <w:t xml:space="preserve">380.1; 501.1; 622.1; </w:t>
            </w:r>
          </w:p>
          <w:p>
            <w:pPr>
              <w:pStyle w:val="Style24"/>
              <w:ind w:hanging="0"/>
              <w:jc w:val="center"/>
              <w:rPr>
                <w:lang w:val="en-US"/>
              </w:rPr>
            </w:pPr>
            <w:r>
              <w:rPr>
                <w:lang w:val="en-US"/>
              </w:rPr>
              <w:t>743.1; 864.1</w:t>
            </w:r>
          </w:p>
          <w:p>
            <w:pPr>
              <w:pStyle w:val="Style24"/>
              <w:ind w:hanging="0"/>
              <w:jc w:val="center"/>
              <w:rPr>
                <w:lang w:val="en-US"/>
              </w:rPr>
            </w:pPr>
            <w:r>
              <w:rPr>
                <w:lang w:val="en-US"/>
              </w:rPr>
            </w:r>
          </w:p>
          <w:p>
            <w:pPr>
              <w:pStyle w:val="Style24"/>
              <w:ind w:hanging="0"/>
              <w:jc w:val="center"/>
              <w:rPr>
                <w:lang w:val="en-US"/>
              </w:rPr>
            </w:pPr>
            <w:r>
              <w:rPr>
                <w:lang w:val="en-US"/>
              </w:rPr>
              <w:t>528.0; 649.1; 770.1; 891.1</w:t>
            </w:r>
          </w:p>
          <w:p>
            <w:pPr>
              <w:pStyle w:val="Style24"/>
              <w:ind w:hanging="0"/>
              <w:jc w:val="center"/>
              <w:rPr>
                <w:lang w:val="en-US"/>
              </w:rPr>
            </w:pPr>
            <w:r>
              <w:rPr>
                <w:lang w:val="en-US"/>
              </w:rPr>
            </w:r>
          </w:p>
          <w:p>
            <w:pPr>
              <w:pStyle w:val="Style24"/>
              <w:ind w:hanging="0"/>
              <w:jc w:val="center"/>
              <w:rPr>
                <w:lang w:val="en-US"/>
              </w:rPr>
            </w:pPr>
            <w:r>
              <w:rPr>
                <w:lang w:val="en-US"/>
              </w:rPr>
              <w:t>149.0</w:t>
            </w:r>
          </w:p>
          <w:p>
            <w:pPr>
              <w:pStyle w:val="Style24"/>
              <w:ind w:hanging="0"/>
              <w:jc w:val="center"/>
              <w:rPr>
                <w:lang w:val="en-US"/>
              </w:rPr>
            </w:pPr>
            <w:r>
              <w:rPr>
                <w:lang w:val="en-US"/>
              </w:rPr>
              <w:t xml:space="preserve">276.8; 320.9; 436.7; </w:t>
            </w:r>
          </w:p>
          <w:p>
            <w:pPr>
              <w:pStyle w:val="Style24"/>
              <w:ind w:hanging="0"/>
              <w:jc w:val="center"/>
              <w:rPr>
                <w:lang w:val="en-US"/>
              </w:rPr>
            </w:pPr>
            <w:r>
              <w:rPr>
                <w:lang w:val="en-US"/>
              </w:rPr>
              <w:t>563.6; 936.2</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0" w:type="dxa"/>
            </w:tcMar>
          </w:tcPr>
          <w:p>
            <w:pPr>
              <w:pStyle w:val="Style24"/>
              <w:ind w:hanging="0"/>
              <w:jc w:val="center"/>
              <w:rPr/>
            </w:pPr>
            <w:r>
              <w:rPr>
                <w:color w:val="000000"/>
              </w:rPr>
              <w:t xml:space="preserve">Полимерная цепочка </w:t>
            </w:r>
            <w:r>
              <w:rPr>
                <w:color w:val="000000"/>
                <w:lang w:val="en-US"/>
              </w:rPr>
              <w:t>P</w:t>
            </w:r>
            <w:r>
              <w:rPr>
                <w:color w:val="000000"/>
              </w:rPr>
              <w:t>6 с шагом 121  [</w:t>
            </w:r>
            <w:r>
              <w:rPr>
                <w:color w:val="000000"/>
                <w:lang w:val="en-US"/>
              </w:rPr>
              <w:t>C</w:t>
            </w:r>
            <w:r>
              <w:rPr>
                <w:color w:val="000000"/>
                <w:vertAlign w:val="subscript"/>
              </w:rPr>
              <w:t>6</w:t>
            </w:r>
            <w:r>
              <w:rPr>
                <w:color w:val="000000"/>
                <w:lang w:val="en-US"/>
              </w:rPr>
              <w:t>H</w:t>
            </w:r>
            <w:r>
              <w:rPr>
                <w:color w:val="000000"/>
                <w:vertAlign w:val="subscript"/>
              </w:rPr>
              <w:t>3</w:t>
            </w:r>
            <w:r>
              <w:rPr>
                <w:color w:val="000000"/>
                <w:lang w:val="en-US"/>
              </w:rPr>
              <w:t>NO</w:t>
            </w:r>
            <w:r>
              <w:rPr>
                <w:color w:val="000000"/>
                <w:vertAlign w:val="subscript"/>
              </w:rPr>
              <w:t>2</w:t>
            </w:r>
            <w:r>
              <w:rPr>
                <w:color w:val="000000"/>
              </w:rPr>
              <w:t>]</w:t>
            </w:r>
          </w:p>
          <w:p>
            <w:pPr>
              <w:pStyle w:val="Style24"/>
              <w:ind w:hanging="0"/>
              <w:jc w:val="center"/>
              <w:rPr>
                <w:color w:val="000000"/>
              </w:rPr>
            </w:pPr>
            <w:r>
              <w:rPr>
                <w:color w:val="000000"/>
              </w:rPr>
            </w:r>
          </w:p>
          <w:p>
            <w:pPr>
              <w:pStyle w:val="Style24"/>
              <w:ind w:hanging="0"/>
              <w:jc w:val="center"/>
              <w:rPr/>
            </w:pPr>
            <w:r>
              <w:rPr>
                <w:color w:val="000000"/>
              </w:rPr>
              <w:t xml:space="preserve">Полимерная цепочка </w:t>
            </w:r>
            <w:r>
              <w:rPr>
                <w:color w:val="000000"/>
                <w:lang w:val="en-US"/>
              </w:rPr>
              <w:t>P</w:t>
            </w:r>
            <w:r>
              <w:rPr>
                <w:color w:val="000000"/>
              </w:rPr>
              <w:t>7 с шагом 121  [</w:t>
            </w:r>
            <w:r>
              <w:rPr>
                <w:color w:val="000000"/>
                <w:lang w:val="en-US"/>
              </w:rPr>
              <w:t>C</w:t>
            </w:r>
            <w:r>
              <w:rPr>
                <w:color w:val="000000"/>
                <w:vertAlign w:val="subscript"/>
              </w:rPr>
              <w:t>6</w:t>
            </w:r>
            <w:r>
              <w:rPr>
                <w:color w:val="000000"/>
                <w:lang w:val="en-US"/>
              </w:rPr>
              <w:t>H</w:t>
            </w:r>
            <w:r>
              <w:rPr>
                <w:color w:val="000000"/>
                <w:vertAlign w:val="subscript"/>
              </w:rPr>
              <w:t>3</w:t>
            </w:r>
            <w:r>
              <w:rPr>
                <w:color w:val="000000"/>
                <w:lang w:val="en-US"/>
              </w:rPr>
              <w:t>NO</w:t>
            </w:r>
            <w:r>
              <w:rPr>
                <w:color w:val="000000"/>
                <w:vertAlign w:val="subscript"/>
              </w:rPr>
              <w:t>2</w:t>
            </w:r>
            <w:r>
              <w:rPr>
                <w:color w:val="000000"/>
              </w:rPr>
              <w:t>]</w:t>
            </w:r>
          </w:p>
          <w:p>
            <w:pPr>
              <w:pStyle w:val="Style24"/>
              <w:ind w:hanging="0"/>
              <w:jc w:val="center"/>
              <w:rPr/>
            </w:pPr>
            <w:r>
              <w:rPr>
                <w:color w:val="000000"/>
                <w:lang w:val="en-US"/>
              </w:rPr>
              <w:t>TfO</w:t>
            </w:r>
            <w:r>
              <w:rPr>
                <w:color w:val="000000"/>
                <w:vertAlign w:val="superscript"/>
                <w:lang w:val="en-US"/>
              </w:rPr>
              <w:t>-</w:t>
            </w:r>
          </w:p>
          <w:p>
            <w:pPr>
              <w:pStyle w:val="Style24"/>
              <w:ind w:hanging="0"/>
              <w:jc w:val="center"/>
              <w:rPr>
                <w:color w:val="000000"/>
                <w:lang w:val="en-US"/>
              </w:rPr>
            </w:pPr>
            <w:r>
              <w:rPr>
                <w:color w:val="000000"/>
                <w:lang w:val="en-US"/>
              </w:rPr>
            </w:r>
          </w:p>
        </w:tc>
      </w:tr>
    </w:tbl>
    <w:p>
      <w:pPr>
        <w:pStyle w:val="Normal"/>
        <w:jc w:val="center"/>
        <w:rPr>
          <w:color w:val="000000"/>
        </w:rPr>
      </w:pPr>
      <w:r>
        <w:rPr>
          <w:color w:val="000000"/>
        </w:rPr>
      </w:r>
    </w:p>
    <w:p>
      <w:pPr>
        <w:pStyle w:val="Normal"/>
        <w:rPr/>
      </w:pPr>
      <w:r>
        <w:rPr>
          <w:color w:val="000000"/>
        </w:rPr>
        <w:t xml:space="preserve">Наличие смолообразных продуктов вероятно связано с процессами полимеризации и образования высокомолекулярных продуктов, протекающих через </w:t>
      </w:r>
      <w:r>
        <w:rPr>
          <w:color w:val="000000"/>
          <w:highlight w:val="green"/>
        </w:rPr>
        <w:t>стадию промежуточного образования</w:t>
      </w:r>
      <w:r>
        <w:rPr>
          <w:color w:val="000000"/>
        </w:rPr>
        <w:t xml:space="preserve"> бензин-производного по схеме 4, с последующей его полимеризацией по уравнению 5. Эти полимерные продукты которые обнаружены в спектрах ДС </w:t>
      </w:r>
      <w:r>
        <w:rPr>
          <w:b/>
          <w:bCs/>
          <w:color w:val="000000"/>
        </w:rPr>
        <w:t>1a</w:t>
      </w:r>
      <w:r>
        <w:rPr>
          <w:color w:val="000000"/>
        </w:rPr>
        <w:t>.</w:t>
      </w:r>
    </w:p>
    <w:p>
      <w:pPr>
        <w:pStyle w:val="Normal"/>
        <w:rPr>
          <w:color w:val="000000"/>
          <w:sz w:val="12"/>
          <w:szCs w:val="12"/>
          <w:highlight w:val="yellow"/>
        </w:rPr>
      </w:pPr>
      <w:r>
        <w:rPr>
          <w:color w:val="000000"/>
          <w:sz w:val="12"/>
          <w:szCs w:val="12"/>
          <w:highlight w:val="yellow"/>
        </w:rPr>
      </w:r>
    </w:p>
    <w:p>
      <w:pPr>
        <w:pStyle w:val="Normal"/>
        <w:tabs>
          <w:tab w:val="left" w:pos="0" w:leader="none"/>
        </w:tabs>
        <w:ind w:hanging="0"/>
        <w:jc w:val="center"/>
        <w:rPr/>
      </w:pPr>
      <w:r>
        <w:rPr/>
        <w:drawing>
          <wp:inline distT="0" distB="0" distL="0" distR="0">
            <wp:extent cx="4087495" cy="2055495"/>
            <wp:effectExtent l="0" t="0" r="0" b="0"/>
            <wp:docPr id="21"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10" descr=""/>
                    <pic:cNvPicPr>
                      <a:picLocks noChangeAspect="1" noChangeArrowheads="1"/>
                    </pic:cNvPicPr>
                  </pic:nvPicPr>
                  <pic:blipFill>
                    <a:blip r:embed="rId25"/>
                    <a:stretch>
                      <a:fillRect/>
                    </a:stretch>
                  </pic:blipFill>
                  <pic:spPr bwMode="auto">
                    <a:xfrm>
                      <a:off x="0" y="0"/>
                      <a:ext cx="4087495" cy="2055495"/>
                    </a:xfrm>
                    <a:prstGeom prst="rect">
                      <a:avLst/>
                    </a:prstGeom>
                  </pic:spPr>
                </pic:pic>
              </a:graphicData>
            </a:graphic>
          </wp:inline>
        </w:drawing>
      </w:r>
    </w:p>
    <w:p>
      <w:pPr>
        <w:pStyle w:val="Normal"/>
        <w:tabs>
          <w:tab w:val="left" w:pos="0" w:leader="none"/>
        </w:tabs>
        <w:ind w:hanging="0"/>
        <w:jc w:val="left"/>
        <w:rPr/>
      </w:pPr>
      <w:r>
        <w:rPr>
          <w:highlight w:val="yellow"/>
        </w:rPr>
        <w:t xml:space="preserve">Не очень понятная схема в части, что есть </w:t>
      </w:r>
      <w:r>
        <w:rPr>
          <w:highlight w:val="yellow"/>
          <w:lang w:val="en-US"/>
        </w:rPr>
        <w:t>R</w:t>
      </w:r>
      <w:r>
        <w:rPr>
          <w:highlight w:val="yellow"/>
          <w:vertAlign w:val="superscript"/>
        </w:rPr>
        <w:t>+</w:t>
      </w:r>
      <w:r>
        <w:rPr/>
        <w:t xml:space="preserve"> </w:t>
      </w:r>
      <w:r>
        <w:rPr>
          <w:highlight w:val="yellow"/>
        </w:rPr>
        <w:t xml:space="preserve">? Может быть, </w:t>
      </w:r>
      <w:r>
        <w:rPr>
          <w:highlight w:val="yellow"/>
          <w:lang w:val="en-US"/>
        </w:rPr>
        <w:t>R</w:t>
      </w:r>
      <w:r>
        <w:rPr>
          <w:highlight w:val="yellow"/>
        </w:rPr>
        <w:t xml:space="preserve"> нам в этой статье и не нужен ?</w:t>
      </w:r>
    </w:p>
    <w:p>
      <w:pPr>
        <w:pStyle w:val="Normal"/>
        <w:tabs>
          <w:tab w:val="left" w:pos="0" w:leader="none"/>
        </w:tabs>
        <w:ind w:hanging="0"/>
        <w:jc w:val="left"/>
        <w:rPr/>
      </w:pPr>
      <w:r>
        <w:rPr/>
      </w:r>
    </w:p>
    <w:p>
      <w:pPr>
        <w:pStyle w:val="Normal"/>
        <w:tabs>
          <w:tab w:val="left" w:pos="0" w:leader="none"/>
        </w:tabs>
        <w:ind w:hanging="0"/>
        <w:rPr>
          <w:color w:val="000000"/>
          <w:highlight w:val="yellow"/>
        </w:rPr>
      </w:pPr>
      <w:commentRangeStart w:id="7"/>
      <w:r>
        <w:rPr>
          <w:highlight w:val="yellow"/>
        </w:rPr>
        <w:t xml:space="preserve">Различия молекулярных масс образующихся полимерных продуктов разложения соли </w:t>
      </w:r>
      <w:r>
        <w:rPr>
          <w:b/>
          <w:bCs/>
          <w:color w:val="000000"/>
          <w:highlight w:val="yellow"/>
        </w:rPr>
        <w:t>1a</w:t>
      </w:r>
      <w:r>
        <w:rPr>
          <w:b/>
          <w:bCs/>
          <w:color w:val="000000"/>
          <w:highlight w:val="yellow"/>
        </w:rPr>
      </w:r>
      <w:commentRangeEnd w:id="7"/>
      <w:r>
        <w:commentReference w:id="7"/>
      </w:r>
      <w:r>
        <w:rPr>
          <w:highlight w:val="yellow"/>
        </w:rPr>
        <w:t xml:space="preserve"> точно на величины </w:t>
      </w:r>
      <w:r>
        <w:rPr>
          <w:rFonts w:ascii="Symbol" w:hAnsi="Symbol"/>
          <w:color w:val="000000"/>
          <w:sz w:val="20"/>
          <w:szCs w:val="20"/>
          <w:highlight w:val="yellow"/>
        </w:rPr>
        <w:t></w:t>
      </w:r>
      <w:r>
        <w:rPr>
          <w:color w:val="000000"/>
          <w:highlight w:val="yellow"/>
        </w:rPr>
        <w:t>M/Z=121.0, отвечающих бензин-производному [</w:t>
      </w:r>
      <w:r>
        <w:rPr>
          <w:color w:val="000000"/>
          <w:highlight w:val="yellow"/>
          <w:lang w:val="en-US"/>
        </w:rPr>
        <w:t>C</w:t>
      </w:r>
      <w:r>
        <w:rPr>
          <w:color w:val="000000"/>
          <w:highlight w:val="yellow"/>
          <w:vertAlign w:val="subscript"/>
        </w:rPr>
        <w:t>6</w:t>
      </w:r>
      <w:r>
        <w:rPr>
          <w:color w:val="000000"/>
          <w:highlight w:val="yellow"/>
          <w:lang w:val="en-US"/>
        </w:rPr>
        <w:t>H</w:t>
      </w:r>
      <w:r>
        <w:rPr>
          <w:color w:val="000000"/>
          <w:highlight w:val="yellow"/>
          <w:vertAlign w:val="subscript"/>
        </w:rPr>
        <w:t>3</w:t>
      </w:r>
      <w:r>
        <w:rPr>
          <w:color w:val="000000"/>
          <w:highlight w:val="yellow"/>
          <w:lang w:val="en-US"/>
        </w:rPr>
        <w:t>NO</w:t>
      </w:r>
      <w:r>
        <w:rPr>
          <w:color w:val="000000"/>
          <w:highlight w:val="yellow"/>
          <w:vertAlign w:val="subscript"/>
        </w:rPr>
        <w:t>2</w:t>
      </w:r>
      <w:r>
        <w:rPr>
          <w:color w:val="000000"/>
          <w:highlight w:val="yellow"/>
        </w:rPr>
        <w:t xml:space="preserve">], заставляет полагать, что данный интермедиат является основной мономерной строительной единицей. Его первичное образование из исходной диазониевой соли </w:t>
      </w:r>
      <w:r>
        <w:rPr>
          <w:b/>
          <w:bCs/>
          <w:color w:val="000000"/>
          <w:highlight w:val="yellow"/>
        </w:rPr>
        <w:t>1a</w:t>
      </w:r>
      <w:r>
        <w:rPr>
          <w:color w:val="000000"/>
          <w:highlight w:val="yellow"/>
        </w:rPr>
        <w:t xml:space="preserve"> может быть представлено уравнением 4. Дальнейший процесс полимеризации (роста цепи) с участием </w:t>
      </w:r>
      <w:r>
        <w:rPr>
          <w:color w:val="000000"/>
          <w:highlight w:val="yellow"/>
          <w:lang w:val="en-US"/>
        </w:rPr>
        <w:t>C</w:t>
      </w:r>
      <w:r>
        <w:rPr>
          <w:color w:val="000000"/>
          <w:highlight w:val="yellow"/>
          <w:vertAlign w:val="subscript"/>
        </w:rPr>
        <w:t>6</w:t>
      </w:r>
      <w:r>
        <w:rPr>
          <w:color w:val="000000"/>
          <w:highlight w:val="yellow"/>
          <w:lang w:val="en-US"/>
        </w:rPr>
        <w:t>H</w:t>
      </w:r>
      <w:r>
        <w:rPr>
          <w:color w:val="000000"/>
          <w:highlight w:val="yellow"/>
          <w:vertAlign w:val="subscript"/>
        </w:rPr>
        <w:t>3</w:t>
      </w:r>
      <w:r>
        <w:rPr>
          <w:color w:val="000000"/>
          <w:highlight w:val="yellow"/>
          <w:lang w:val="en-US"/>
        </w:rPr>
        <w:t>NO</w:t>
      </w:r>
      <w:r>
        <w:rPr>
          <w:color w:val="000000"/>
          <w:highlight w:val="yellow"/>
          <w:vertAlign w:val="subscript"/>
        </w:rPr>
        <w:t xml:space="preserve">2 </w:t>
      </w:r>
      <w:r>
        <w:rPr>
          <w:color w:val="000000"/>
          <w:highlight w:val="yellow"/>
        </w:rPr>
        <w:t xml:space="preserve">неоднозначен и требует специального исследования, выходящего за рамки настоящей работы. На основании полученных результатов строение полимерной цепи продукта разложения диазониевой соли </w:t>
      </w:r>
      <w:r>
        <w:rPr>
          <w:b/>
          <w:bCs/>
          <w:color w:val="000000"/>
          <w:highlight w:val="yellow"/>
        </w:rPr>
        <w:t>1a</w:t>
      </w:r>
      <w:r>
        <w:rPr>
          <w:color w:val="000000"/>
          <w:highlight w:val="yellow"/>
        </w:rPr>
        <w:t xml:space="preserve"> может быть представлено следующей структурой</w:t>
      </w:r>
    </w:p>
    <w:p>
      <w:pPr>
        <w:pStyle w:val="Normal"/>
        <w:tabs>
          <w:tab w:val="left" w:pos="0" w:leader="none"/>
        </w:tabs>
        <w:ind w:hanging="0"/>
        <w:jc w:val="left"/>
        <w:rPr>
          <w:highlight w:val="yellow"/>
        </w:rPr>
      </w:pPr>
      <w:r>
        <w:rPr/>
        <w:object>
          <v:shape id="ole_rId26" style="width:58.5pt;height:47.25pt" o:ole="">
            <v:imagedata r:id="rId27" o:title=""/>
          </v:shape>
          <o:OLEObject Type="Embed" ProgID="ChemDraw.Document.6.0" ShapeID="ole_rId26" DrawAspect="Content" ObjectID="_1690305585" r:id="rId26"/>
        </w:object>
      </w:r>
    </w:p>
    <w:p>
      <w:pPr>
        <w:pStyle w:val="Normal"/>
        <w:tabs>
          <w:tab w:val="left" w:pos="0" w:leader="none"/>
        </w:tabs>
        <w:ind w:hanging="0"/>
        <w:rPr/>
      </w:pPr>
      <w:r>
        <w:rPr>
          <w:highlight w:val="yellow"/>
        </w:rPr>
        <w:t xml:space="preserve">Важно, что обнаруженная особенность разложения соли </w:t>
      </w:r>
      <w:r>
        <w:rPr>
          <w:b/>
          <w:bCs/>
          <w:color w:val="000000"/>
          <w:highlight w:val="yellow"/>
        </w:rPr>
        <w:t>1a</w:t>
      </w:r>
      <w:r>
        <w:rPr>
          <w:bCs/>
          <w:color w:val="000000"/>
          <w:highlight w:val="yellow"/>
        </w:rPr>
        <w:t>, в частности, с</w:t>
      </w:r>
      <w:r>
        <w:rPr>
          <w:b/>
          <w:bCs/>
          <w:color w:val="000000"/>
          <w:highlight w:val="yellow"/>
        </w:rPr>
        <w:t xml:space="preserve"> </w:t>
      </w:r>
      <w:r>
        <w:rPr>
          <w:bCs/>
          <w:color w:val="000000"/>
          <w:highlight w:val="yellow"/>
        </w:rPr>
        <w:t xml:space="preserve">образованием нейтрального бензинового интермедиата </w:t>
      </w:r>
      <w:r>
        <w:rPr>
          <w:color w:val="000000"/>
          <w:highlight w:val="yellow"/>
          <w:lang w:val="en-US"/>
        </w:rPr>
        <w:t>C</w:t>
      </w:r>
      <w:r>
        <w:rPr>
          <w:color w:val="000000"/>
          <w:highlight w:val="yellow"/>
          <w:vertAlign w:val="subscript"/>
        </w:rPr>
        <w:t>6</w:t>
      </w:r>
      <w:r>
        <w:rPr>
          <w:color w:val="000000"/>
          <w:highlight w:val="yellow"/>
          <w:lang w:val="en-US"/>
        </w:rPr>
        <w:t>H</w:t>
      </w:r>
      <w:r>
        <w:rPr>
          <w:color w:val="000000"/>
          <w:highlight w:val="yellow"/>
          <w:vertAlign w:val="subscript"/>
        </w:rPr>
        <w:t>3</w:t>
      </w:r>
      <w:r>
        <w:rPr>
          <w:color w:val="000000"/>
          <w:highlight w:val="yellow"/>
          <w:lang w:val="en-US"/>
        </w:rPr>
        <w:t>NO</w:t>
      </w:r>
      <w:r>
        <w:rPr>
          <w:color w:val="000000"/>
          <w:highlight w:val="yellow"/>
          <w:vertAlign w:val="subscript"/>
        </w:rPr>
        <w:t xml:space="preserve">2 </w:t>
      </w:r>
      <w:r>
        <w:rPr>
          <w:color w:val="000000"/>
          <w:highlight w:val="yellow"/>
        </w:rPr>
        <w:t xml:space="preserve">логично объясняется предельной нестабильностью и энергетической невыгодностью альтернативного промежуточного катионного интермедиата дедиазонирования диазониевого катиона по уравнению 3 </w:t>
      </w:r>
      <w:r>
        <w:rPr>
          <w:color w:val="000000"/>
          <w:highlight w:val="yellow"/>
          <w:lang w:val="en-US"/>
        </w:rPr>
        <w:t>C</w:t>
      </w:r>
      <w:r>
        <w:rPr>
          <w:color w:val="000000"/>
          <w:highlight w:val="yellow"/>
          <w:vertAlign w:val="subscript"/>
        </w:rPr>
        <w:t>6</w:t>
      </w:r>
      <w:r>
        <w:rPr>
          <w:color w:val="000000"/>
          <w:highlight w:val="yellow"/>
          <w:lang w:val="en-US"/>
        </w:rPr>
        <w:t>H</w:t>
      </w:r>
      <w:r>
        <w:rPr>
          <w:color w:val="000000"/>
          <w:highlight w:val="yellow"/>
          <w:vertAlign w:val="subscript"/>
        </w:rPr>
        <w:t>3</w:t>
      </w:r>
      <w:r>
        <w:rPr>
          <w:color w:val="000000"/>
          <w:highlight w:val="yellow"/>
          <w:lang w:val="en-US"/>
        </w:rPr>
        <w:t>NO</w:t>
      </w:r>
      <w:r>
        <w:rPr>
          <w:color w:val="000000"/>
          <w:highlight w:val="yellow"/>
          <w:vertAlign w:val="subscript"/>
        </w:rPr>
        <w:t>2</w:t>
      </w:r>
      <w:r>
        <w:rPr>
          <w:color w:val="000000"/>
          <w:highlight w:val="yellow"/>
          <w:vertAlign w:val="superscript"/>
        </w:rPr>
        <w:t>+</w:t>
      </w:r>
      <w:r>
        <w:rPr>
          <w:color w:val="000000"/>
          <w:highlight w:val="yellow"/>
        </w:rPr>
        <w:t xml:space="preserve"> 2-</w:t>
      </w:r>
      <w:r>
        <w:rPr>
          <w:color w:val="000000"/>
          <w:highlight w:val="yellow"/>
          <w:lang w:val="en-US"/>
        </w:rPr>
        <w:t>nitrobenzene</w:t>
      </w:r>
      <w:r>
        <w:rPr>
          <w:color w:val="000000"/>
          <w:highlight w:val="yellow"/>
        </w:rPr>
        <w:t>-1-</w:t>
      </w:r>
      <w:r>
        <w:rPr>
          <w:color w:val="000000"/>
          <w:highlight w:val="yellow"/>
          <w:lang w:val="en-US"/>
        </w:rPr>
        <w:t>ylium</w:t>
      </w:r>
      <w:r>
        <w:rPr>
          <w:color w:val="000000"/>
          <w:highlight w:val="yellow"/>
        </w:rPr>
        <w:t xml:space="preserve"> в сравнении с остальными исследуемыми диазониевыми солями</w:t>
      </w:r>
      <w:r>
        <w:rPr>
          <w:color w:val="000000"/>
        </w:rPr>
        <w:t xml:space="preserve"> </w:t>
      </w:r>
      <w:r>
        <w:rPr>
          <w:color w:val="000000"/>
          <w:highlight w:val="yellow"/>
        </w:rPr>
        <w:t xml:space="preserve">из-за соседства электроноакцепторной </w:t>
      </w:r>
      <w:r>
        <w:rPr>
          <w:color w:val="000000"/>
          <w:highlight w:val="yellow"/>
          <w:lang w:val="en-US"/>
        </w:rPr>
        <w:t>NO</w:t>
      </w:r>
      <w:r>
        <w:rPr>
          <w:color w:val="000000"/>
          <w:highlight w:val="yellow"/>
          <w:vertAlign w:val="subscript"/>
        </w:rPr>
        <w:t>2</w:t>
      </w:r>
      <w:r>
        <w:rPr>
          <w:color w:val="000000"/>
          <w:highlight w:val="yellow"/>
        </w:rPr>
        <w:t xml:space="preserve"> группы и карбокатионного центра.</w:t>
      </w:r>
    </w:p>
    <w:p>
      <w:pPr>
        <w:pStyle w:val="Normal"/>
        <w:tabs>
          <w:tab w:val="left" w:pos="0" w:leader="none"/>
        </w:tabs>
        <w:ind w:hanging="0"/>
        <w:jc w:val="left"/>
        <w:rPr/>
      </w:pPr>
      <w:r>
        <w:rPr/>
      </w:r>
    </w:p>
    <w:p>
      <w:pPr>
        <w:pStyle w:val="2"/>
        <w:numPr>
          <w:ilvl w:val="1"/>
          <w:numId w:val="2"/>
        </w:numPr>
        <w:ind w:left="0" w:firstLine="397"/>
        <w:rPr/>
      </w:pPr>
      <w:r>
        <w:rPr/>
        <w:t>Квантовохимические исследования</w:t>
      </w:r>
    </w:p>
    <w:p>
      <w:pPr>
        <w:pStyle w:val="Normal"/>
        <w:rPr/>
      </w:pPr>
      <w:r>
        <w:rPr/>
        <w:t xml:space="preserve">Исходя из анализа продуктов термического разложения диазониевых солей </w:t>
      </w:r>
      <w:r>
        <w:rPr>
          <w:b/>
        </w:rPr>
        <w:t>1</w:t>
      </w:r>
      <w:r>
        <w:rPr>
          <w:b/>
          <w:lang w:val="en-US"/>
        </w:rPr>
        <w:t>a</w:t>
      </w:r>
      <w:r>
        <w:rPr>
          <w:b/>
        </w:rPr>
        <w:t>-</w:t>
      </w:r>
      <w:r>
        <w:rPr>
          <w:b/>
          <w:lang w:val="en-US"/>
        </w:rPr>
        <w:t>c</w:t>
      </w:r>
      <w:r>
        <w:rPr/>
        <w:t xml:space="preserve">, </w:t>
      </w:r>
      <w:r>
        <w:rPr>
          <w:b/>
        </w:rPr>
        <w:t>2</w:t>
      </w:r>
      <w:r>
        <w:rPr/>
        <w:t xml:space="preserve">, </w:t>
      </w:r>
      <w:r>
        <w:rPr>
          <w:b/>
        </w:rPr>
        <w:t>3</w:t>
      </w:r>
      <w:r>
        <w:rPr/>
        <w:t xml:space="preserve"> мы впервые провели расчет термодинамики этих процессов методом </w:t>
      </w:r>
      <w:r>
        <w:rPr>
          <w:lang w:val="en-US"/>
        </w:rPr>
        <w:t>DFT</w:t>
      </w:r>
      <w:r>
        <w:rPr/>
        <w:t xml:space="preserve"> RB3LYP/aug-cc-pVDZ. В результате расчетов были получены стационарные структуры без мнимых частот </w:t>
      </w:r>
      <w:r>
        <w:rPr>
          <w:lang w:val="en-US"/>
        </w:rPr>
        <w:t>IR</w:t>
      </w:r>
      <w:r>
        <w:rPr/>
        <w:t xml:space="preserve"> для солей </w:t>
      </w:r>
      <w:r>
        <w:rPr>
          <w:b/>
        </w:rPr>
        <w:t>1</w:t>
      </w:r>
      <w:r>
        <w:rPr>
          <w:b/>
          <w:lang w:val="en-US"/>
        </w:rPr>
        <w:t>a</w:t>
      </w:r>
      <w:r>
        <w:rPr>
          <w:b/>
        </w:rPr>
        <w:t>-</w:t>
      </w:r>
      <w:r>
        <w:rPr>
          <w:b/>
          <w:lang w:val="en-US"/>
        </w:rPr>
        <w:t>c</w:t>
      </w:r>
      <w:r>
        <w:rPr/>
        <w:t xml:space="preserve">, </w:t>
      </w:r>
      <w:r>
        <w:rPr>
          <w:b/>
        </w:rPr>
        <w:t>2</w:t>
      </w:r>
      <w:r>
        <w:rPr/>
        <w:t xml:space="preserve">, </w:t>
      </w:r>
      <w:r>
        <w:rPr>
          <w:b/>
        </w:rPr>
        <w:t xml:space="preserve">3 </w:t>
      </w:r>
      <w:r>
        <w:rPr/>
        <w:t xml:space="preserve">и продуктов замещения диазониевой группы на анионы, декартовы координаты всех соединений и вычисленные термодинамические функции даны в приложении 4s. Основными продуктами для трифлатов </w:t>
      </w:r>
      <w:r>
        <w:rPr>
          <w:b/>
        </w:rPr>
        <w:t>1</w:t>
      </w:r>
      <w:r>
        <w:rPr>
          <w:b/>
          <w:lang w:val="en-US"/>
        </w:rPr>
        <w:t>a</w:t>
      </w:r>
      <w:r>
        <w:rPr>
          <w:b/>
        </w:rPr>
        <w:t>-</w:t>
      </w:r>
      <w:r>
        <w:rPr>
          <w:b/>
          <w:lang w:val="en-US"/>
        </w:rPr>
        <w:t>c</w:t>
      </w:r>
      <w:r>
        <w:rPr/>
        <w:t xml:space="preserve"> и тозилата </w:t>
      </w:r>
      <w:r>
        <w:rPr>
          <w:b/>
        </w:rPr>
        <w:t xml:space="preserve">2 </w:t>
      </w:r>
      <w:r>
        <w:rPr/>
        <w:t xml:space="preserve">выбраны эфиры соответствующих кислот и замещенных фенолов, а при разложении тетрафторбората </w:t>
      </w:r>
      <w:r>
        <w:rPr>
          <w:b/>
        </w:rPr>
        <w:t>3</w:t>
      </w:r>
      <w:r>
        <w:rPr/>
        <w:t xml:space="preserve"> - 4</w:t>
        <w:noBreakHyphen/>
        <w:t xml:space="preserve">фторнитробензол. Расчетные и экспериментальные термодинамические параметры реакций представлены в таблицах 7, 8. Исходя из вышеприведенных данных </w:t>
      </w:r>
      <w:r>
        <w:rPr>
          <w:lang w:val="en-US"/>
        </w:rPr>
        <w:t>DSC</w:t>
      </w:r>
      <w:r>
        <w:rPr/>
        <w:t>/</w:t>
      </w:r>
      <w:r>
        <w:rPr>
          <w:lang w:val="en-US"/>
        </w:rPr>
        <w:t>TGA</w:t>
      </w:r>
      <w:r>
        <w:rPr/>
        <w:t xml:space="preserve">, показывающих, что при термолизе тетрафторбората </w:t>
      </w:r>
      <w:r>
        <w:rPr>
          <w:b/>
        </w:rPr>
        <w:t>3</w:t>
      </w:r>
      <w:r>
        <w:rPr/>
        <w:t xml:space="preserve"> первоначально может происходить отщепление </w:t>
      </w:r>
      <w:r>
        <w:rPr>
          <w:lang w:val="en-US"/>
        </w:rPr>
        <w:t>BF</w:t>
      </w:r>
      <w:r>
        <w:rPr>
          <w:vertAlign w:val="subscript"/>
        </w:rPr>
        <w:t>3</w:t>
      </w:r>
      <w:r>
        <w:rPr/>
        <w:t xml:space="preserve"> </w:t>
      </w:r>
      <w:r>
        <w:rPr>
          <w:lang w:val="en-US"/>
        </w:rPr>
        <w:t>c</w:t>
      </w:r>
      <w:r>
        <w:rPr/>
        <w:t xml:space="preserve"> образованием 4-</w:t>
      </w:r>
      <w:r>
        <w:rPr>
          <w:lang w:val="en-US"/>
        </w:rPr>
        <w:t>NO</w:t>
      </w:r>
      <w:r>
        <w:rPr>
          <w:vertAlign w:val="subscript"/>
        </w:rPr>
        <w:t>2</w:t>
      </w:r>
      <w:r>
        <w:rPr>
          <w:lang w:val="en-US"/>
        </w:rPr>
        <w:t>C</w:t>
      </w:r>
      <w:r>
        <w:rPr>
          <w:vertAlign w:val="subscript"/>
        </w:rPr>
        <w:t>6</w:t>
      </w:r>
      <w:r>
        <w:rPr>
          <w:lang w:val="en-US"/>
        </w:rPr>
        <w:t>H</w:t>
      </w:r>
      <w:r>
        <w:rPr>
          <w:vertAlign w:val="subscript"/>
        </w:rPr>
        <w:t>4</w:t>
      </w:r>
      <w:r>
        <w:rPr>
          <w:lang w:val="en-US"/>
        </w:rPr>
        <w:t>N</w:t>
      </w:r>
      <w:r>
        <w:rPr>
          <w:vertAlign w:val="subscript"/>
        </w:rPr>
        <w:t>2</w:t>
      </w:r>
      <w:r>
        <w:rPr>
          <w:vertAlign w:val="superscript"/>
        </w:rPr>
        <w:t>+</w:t>
      </w:r>
      <w:r>
        <w:rPr>
          <w:lang w:val="en-US"/>
        </w:rPr>
        <w:t>F</w:t>
      </w:r>
      <w:r>
        <w:rPr>
          <w:vertAlign w:val="superscript"/>
        </w:rPr>
        <w:t xml:space="preserve">- </w:t>
      </w:r>
      <w:r>
        <w:rPr>
          <w:b/>
        </w:rPr>
        <w:t>3a</w:t>
      </w:r>
      <w:r>
        <w:rPr/>
        <w:t xml:space="preserve"> (уравнение 1) мы рассчитали термодинамику и этой реакции, а также реакции разложения соли </w:t>
      </w:r>
      <w:r>
        <w:rPr>
          <w:b/>
        </w:rPr>
        <w:t>3a</w:t>
      </w:r>
      <w:r>
        <w:rPr/>
        <w:t xml:space="preserve"> (</w:t>
      </w:r>
      <w:r>
        <w:rPr>
          <w:lang w:val="en-US"/>
        </w:rPr>
        <w:t>tabl</w:t>
      </w:r>
      <w:r>
        <w:rPr/>
        <w:t xml:space="preserve">. 6, </w:t>
      </w:r>
      <w:r>
        <w:rPr>
          <w:lang w:val="en-US"/>
        </w:rPr>
        <w:t>entr</w:t>
      </w:r>
      <w:r>
        <w:rPr/>
        <w:t>ies 6</w:t>
      </w:r>
      <w:r>
        <w:rPr>
          <w:lang w:val="en-US"/>
        </w:rPr>
        <w:t>a</w:t>
      </w:r>
      <w:r>
        <w:rPr/>
        <w:t xml:space="preserve">,b). </w:t>
      </w:r>
    </w:p>
    <w:p>
      <w:pPr>
        <w:pStyle w:val="Normal"/>
        <w:jc w:val="right"/>
        <w:rPr/>
      </w:pPr>
      <w:r>
        <w:rPr/>
        <w:t>Таблица 7</w:t>
      </w:r>
    </w:p>
    <w:p>
      <w:pPr>
        <w:pStyle w:val="Normal"/>
        <w:jc w:val="center"/>
        <w:rPr/>
      </w:pPr>
      <w:r>
        <w:rPr/>
        <w:t xml:space="preserve">Расчётные термодинамические параметры реакций разложения диазониевых солей </w:t>
      </w:r>
      <w:r>
        <w:rPr>
          <w:b/>
        </w:rPr>
        <w:t>1</w:t>
      </w:r>
      <w:r>
        <w:rPr>
          <w:b/>
          <w:lang w:val="en-US"/>
        </w:rPr>
        <w:t>a</w:t>
      </w:r>
      <w:r>
        <w:rPr>
          <w:b/>
        </w:rPr>
        <w:noBreakHyphen/>
      </w:r>
      <w:r>
        <w:rPr>
          <w:b/>
          <w:lang w:val="en-US"/>
        </w:rPr>
        <w:t>c</w:t>
      </w:r>
      <w:r>
        <w:rPr/>
        <w:t xml:space="preserve">, </w:t>
      </w:r>
      <w:r>
        <w:rPr>
          <w:b/>
        </w:rPr>
        <w:t>2</w:t>
      </w:r>
      <w:r>
        <w:rPr/>
        <w:t xml:space="preserve">, </w:t>
      </w:r>
      <w:r>
        <w:rPr>
          <w:b/>
        </w:rPr>
        <w:t xml:space="preserve">3 </w:t>
      </w:r>
      <w:r>
        <w:rPr/>
        <w:t xml:space="preserve">по данным квантово-химических расчетов по методу RB3LYP/aug-cc-pVDZ </w:t>
      </w:r>
    </w:p>
    <w:tbl>
      <w:tblPr>
        <w:tblW w:w="9357"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7" w:type="dxa"/>
          <w:bottom w:w="55" w:type="dxa"/>
          <w:right w:w="55" w:type="dxa"/>
        </w:tblCellMar>
        <w:tblLook w:val="0000" w:noVBand="0" w:noHBand="0" w:lastColumn="0" w:firstColumn="0" w:lastRow="0" w:firstRow="0"/>
      </w:tblPr>
      <w:tblGrid>
        <w:gridCol w:w="852"/>
        <w:gridCol w:w="4394"/>
        <w:gridCol w:w="1276"/>
        <w:gridCol w:w="1277"/>
        <w:gridCol w:w="1558"/>
      </w:tblGrid>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Style24"/>
              <w:ind w:hanging="0"/>
              <w:jc w:val="center"/>
              <w:rPr>
                <w:b/>
                <w:b/>
                <w:bCs/>
                <w:sz w:val="22"/>
                <w:szCs w:val="22"/>
                <w:lang w:val="en-US"/>
              </w:rPr>
            </w:pPr>
            <w:r>
              <w:rPr>
                <w:b/>
                <w:bCs/>
                <w:sz w:val="22"/>
                <w:szCs w:val="22"/>
                <w:lang w:val="en-US"/>
              </w:rPr>
              <w:t>Entry</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Style24"/>
              <w:ind w:hanging="0"/>
              <w:jc w:val="center"/>
              <w:rPr>
                <w:b/>
                <w:b/>
                <w:bCs/>
                <w:sz w:val="22"/>
                <w:szCs w:val="22"/>
              </w:rPr>
            </w:pPr>
            <w:r>
              <w:rPr>
                <w:b/>
                <w:bCs/>
                <w:sz w:val="22"/>
                <w:szCs w:val="22"/>
              </w:rPr>
              <w:t>Реакция</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Style24"/>
              <w:ind w:hanging="0"/>
              <w:jc w:val="center"/>
              <w:rPr/>
            </w:pPr>
            <w:r>
              <w:rPr>
                <w:rFonts w:cs="Standard Symbols L" w:ascii="Standard Symbols L" w:hAnsi="Standard Symbols L"/>
                <w:b/>
                <w:bCs/>
                <w:sz w:val="20"/>
                <w:szCs w:val="20"/>
              </w:rPr>
              <w:t></w:t>
            </w:r>
            <w:r>
              <w:rPr>
                <w:b/>
                <w:bCs/>
                <w:sz w:val="22"/>
                <w:szCs w:val="22"/>
              </w:rPr>
              <w:t>G</w:t>
            </w:r>
            <w:r>
              <w:rPr>
                <w:b/>
                <w:bCs/>
                <w:sz w:val="22"/>
                <w:szCs w:val="22"/>
                <w:vertAlign w:val="subscript"/>
              </w:rPr>
              <w:t>298</w:t>
            </w:r>
            <w:r>
              <w:rPr>
                <w:b/>
                <w:bCs/>
                <w:sz w:val="22"/>
                <w:szCs w:val="22"/>
              </w:rPr>
              <w:t>, kJ/mol</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Style24"/>
              <w:ind w:hanging="0"/>
              <w:jc w:val="center"/>
              <w:rPr/>
            </w:pPr>
            <w:r>
              <w:rPr>
                <w:rFonts w:cs="Standard Symbols L" w:ascii="Standard Symbols L" w:hAnsi="Standard Symbols L"/>
                <w:b/>
                <w:bCs/>
                <w:sz w:val="22"/>
                <w:szCs w:val="22"/>
              </w:rPr>
              <w:t></w:t>
            </w:r>
            <w:r>
              <w:rPr>
                <w:b/>
                <w:bCs/>
                <w:sz w:val="22"/>
                <w:szCs w:val="22"/>
              </w:rPr>
              <w:t>H</w:t>
            </w:r>
            <w:r>
              <w:rPr>
                <w:b/>
                <w:bCs/>
                <w:sz w:val="22"/>
                <w:szCs w:val="22"/>
                <w:vertAlign w:val="subscript"/>
              </w:rPr>
              <w:t>298</w:t>
            </w:r>
            <w:r>
              <w:rPr>
                <w:b/>
                <w:bCs/>
                <w:sz w:val="22"/>
                <w:szCs w:val="22"/>
              </w:rPr>
              <w:t xml:space="preserve">, </w:t>
            </w:r>
            <w:r>
              <w:rPr>
                <w:b/>
                <w:bCs/>
                <w:sz w:val="20"/>
                <w:szCs w:val="20"/>
                <w:vertAlign w:val="subscript"/>
              </w:rPr>
              <w:t xml:space="preserve"> </w:t>
            </w:r>
            <w:r>
              <w:rPr>
                <w:b/>
                <w:bCs/>
                <w:sz w:val="20"/>
                <w:szCs w:val="20"/>
              </w:rPr>
              <w:t xml:space="preserve"> </w:t>
            </w:r>
            <w:r>
              <w:rPr>
                <w:b/>
                <w:bCs/>
                <w:sz w:val="22"/>
                <w:szCs w:val="22"/>
              </w:rPr>
              <w:t>kJ/mol</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7" w:type="dxa"/>
            </w:tcMar>
          </w:tcPr>
          <w:p>
            <w:pPr>
              <w:pStyle w:val="Style24"/>
              <w:ind w:hanging="0"/>
              <w:jc w:val="center"/>
              <w:rPr/>
            </w:pPr>
            <w:r>
              <w:rPr>
                <w:rFonts w:cs="Standard Symbols L" w:ascii="Standard Symbols L" w:hAnsi="Standard Symbols L"/>
                <w:b/>
                <w:bCs/>
                <w:sz w:val="22"/>
                <w:szCs w:val="22"/>
              </w:rPr>
              <w:t></w:t>
            </w:r>
            <w:r>
              <w:rPr>
                <w:b/>
                <w:bCs/>
                <w:sz w:val="22"/>
                <w:szCs w:val="22"/>
              </w:rPr>
              <w:t xml:space="preserve">S*298.15,  </w:t>
            </w:r>
            <w:r>
              <w:rPr>
                <w:b/>
                <w:bCs/>
                <w:sz w:val="20"/>
                <w:szCs w:val="20"/>
                <w:vertAlign w:val="subscript"/>
              </w:rPr>
              <w:t xml:space="preserve"> </w:t>
            </w:r>
            <w:r>
              <w:rPr>
                <w:b/>
                <w:bCs/>
                <w:sz w:val="20"/>
                <w:szCs w:val="20"/>
              </w:rPr>
              <w:t xml:space="preserve"> </w:t>
            </w:r>
            <w:r>
              <w:rPr>
                <w:b/>
                <w:bCs/>
                <w:sz w:val="22"/>
                <w:szCs w:val="22"/>
              </w:rPr>
              <w:t>kJ/mol</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Style24"/>
              <w:ind w:hanging="0"/>
              <w:jc w:val="left"/>
              <w:rPr>
                <w:sz w:val="22"/>
                <w:szCs w:val="22"/>
              </w:rPr>
            </w:pPr>
            <w:r>
              <w:rPr>
                <w:sz w:val="22"/>
                <w:szCs w:val="22"/>
              </w:rPr>
              <w:t>1</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Style24"/>
              <w:ind w:hanging="0"/>
              <w:jc w:val="left"/>
              <w:rPr/>
            </w:pPr>
            <w:r>
              <w:rPr>
                <w:sz w:val="22"/>
                <w:szCs w:val="22"/>
                <w:lang w:val="en-US"/>
              </w:rPr>
              <w:t>2-NO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2-NO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Style24"/>
              <w:ind w:hanging="0"/>
              <w:jc w:val="center"/>
              <w:rPr>
                <w:sz w:val="22"/>
                <w:szCs w:val="22"/>
              </w:rPr>
            </w:pPr>
            <w:r>
              <w:rPr>
                <w:sz w:val="22"/>
                <w:szCs w:val="22"/>
              </w:rPr>
              <w:t>-268.6</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Style24"/>
              <w:ind w:hanging="0"/>
              <w:jc w:val="center"/>
              <w:rPr>
                <w:sz w:val="22"/>
                <w:szCs w:val="22"/>
              </w:rPr>
            </w:pPr>
            <w:r>
              <w:rPr>
                <w:sz w:val="22"/>
                <w:szCs w:val="22"/>
              </w:rPr>
              <w:t>-230.1</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7" w:type="dxa"/>
            </w:tcMar>
          </w:tcPr>
          <w:p>
            <w:pPr>
              <w:pStyle w:val="Style24"/>
              <w:ind w:hanging="0"/>
              <w:jc w:val="center"/>
              <w:rPr>
                <w:sz w:val="22"/>
                <w:szCs w:val="22"/>
              </w:rPr>
            </w:pPr>
            <w:r>
              <w:rPr>
                <w:sz w:val="22"/>
                <w:szCs w:val="22"/>
              </w:rPr>
              <w:t>38.5</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Style24"/>
              <w:ind w:hanging="0"/>
              <w:jc w:val="left"/>
              <w:rPr>
                <w:sz w:val="22"/>
                <w:szCs w:val="22"/>
              </w:rPr>
            </w:pPr>
            <w:r>
              <w:rPr>
                <w:sz w:val="22"/>
                <w:szCs w:val="22"/>
              </w:rPr>
              <w:t>2</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Style24"/>
              <w:ind w:hanging="0"/>
              <w:jc w:val="left"/>
              <w:rPr/>
            </w:pPr>
            <w:r>
              <w:rPr>
                <w:sz w:val="22"/>
                <w:szCs w:val="22"/>
                <w:lang w:val="en-US"/>
              </w:rPr>
              <w:t>3-NO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3-NO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Style24"/>
              <w:ind w:hanging="0"/>
              <w:jc w:val="center"/>
              <w:rPr>
                <w:sz w:val="22"/>
                <w:szCs w:val="22"/>
              </w:rPr>
            </w:pPr>
            <w:r>
              <w:rPr>
                <w:sz w:val="22"/>
                <w:szCs w:val="22"/>
              </w:rPr>
              <w:t>-282.4</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Style24"/>
              <w:ind w:hanging="0"/>
              <w:jc w:val="center"/>
              <w:rPr>
                <w:sz w:val="22"/>
                <w:szCs w:val="22"/>
              </w:rPr>
            </w:pPr>
            <w:r>
              <w:rPr>
                <w:sz w:val="22"/>
                <w:szCs w:val="22"/>
              </w:rPr>
              <w:t>-242.8</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7" w:type="dxa"/>
            </w:tcMar>
          </w:tcPr>
          <w:p>
            <w:pPr>
              <w:pStyle w:val="Style24"/>
              <w:ind w:hanging="0"/>
              <w:jc w:val="center"/>
              <w:rPr>
                <w:sz w:val="22"/>
                <w:szCs w:val="22"/>
              </w:rPr>
            </w:pPr>
            <w:r>
              <w:rPr>
                <w:sz w:val="22"/>
                <w:szCs w:val="22"/>
              </w:rPr>
              <w:t>39.6</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Style24"/>
              <w:ind w:hanging="0"/>
              <w:jc w:val="left"/>
              <w:rPr>
                <w:sz w:val="22"/>
                <w:szCs w:val="22"/>
              </w:rPr>
            </w:pPr>
            <w:r>
              <w:rPr>
                <w:sz w:val="22"/>
                <w:szCs w:val="22"/>
              </w:rPr>
              <w:t>3</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Style24"/>
              <w:ind w:hanging="0"/>
              <w:jc w:val="left"/>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Style24"/>
              <w:ind w:hanging="0"/>
              <w:jc w:val="center"/>
              <w:rPr>
                <w:sz w:val="22"/>
                <w:szCs w:val="22"/>
              </w:rPr>
            </w:pPr>
            <w:r>
              <w:rPr>
                <w:sz w:val="22"/>
                <w:szCs w:val="22"/>
              </w:rPr>
              <w:t>-287.6</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Style24"/>
              <w:ind w:hanging="0"/>
              <w:jc w:val="center"/>
              <w:rPr>
                <w:sz w:val="22"/>
                <w:szCs w:val="22"/>
              </w:rPr>
            </w:pPr>
            <w:r>
              <w:rPr>
                <w:sz w:val="22"/>
                <w:szCs w:val="22"/>
              </w:rPr>
              <w:t>-248.0</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7" w:type="dxa"/>
            </w:tcMar>
          </w:tcPr>
          <w:p>
            <w:pPr>
              <w:pStyle w:val="Style24"/>
              <w:ind w:hanging="0"/>
              <w:jc w:val="center"/>
              <w:rPr>
                <w:sz w:val="22"/>
                <w:szCs w:val="22"/>
              </w:rPr>
            </w:pPr>
            <w:r>
              <w:rPr>
                <w:sz w:val="22"/>
                <w:szCs w:val="22"/>
              </w:rPr>
              <w:t>39.6</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Style24"/>
              <w:ind w:hanging="0"/>
              <w:jc w:val="left"/>
              <w:rPr>
                <w:sz w:val="22"/>
                <w:szCs w:val="22"/>
              </w:rPr>
            </w:pPr>
            <w:r>
              <w:rPr>
                <w:sz w:val="22"/>
                <w:szCs w:val="22"/>
              </w:rPr>
              <w:t>4</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Style24"/>
              <w:ind w:hanging="0"/>
              <w:jc w:val="left"/>
              <w:rPr/>
            </w:pPr>
            <w:r>
              <w:rPr>
                <w:sz w:val="22"/>
                <w:szCs w:val="22"/>
                <w:lang w:val="en-US"/>
              </w:rPr>
              <w:t>4-MeOC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4-MeOC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Style24"/>
              <w:ind w:hanging="0"/>
              <w:jc w:val="center"/>
              <w:rPr>
                <w:sz w:val="22"/>
                <w:szCs w:val="22"/>
              </w:rPr>
            </w:pPr>
            <w:r>
              <w:rPr>
                <w:sz w:val="22"/>
                <w:szCs w:val="22"/>
              </w:rPr>
              <w:t>-238.1</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Style24"/>
              <w:ind w:hanging="0"/>
              <w:jc w:val="center"/>
              <w:rPr>
                <w:sz w:val="22"/>
                <w:szCs w:val="22"/>
              </w:rPr>
            </w:pPr>
            <w:r>
              <w:rPr>
                <w:sz w:val="22"/>
                <w:szCs w:val="22"/>
              </w:rPr>
              <w:t>-200.5</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7" w:type="dxa"/>
            </w:tcMar>
          </w:tcPr>
          <w:p>
            <w:pPr>
              <w:pStyle w:val="Style24"/>
              <w:ind w:hanging="0"/>
              <w:jc w:val="center"/>
              <w:rPr>
                <w:sz w:val="22"/>
                <w:szCs w:val="22"/>
              </w:rPr>
            </w:pPr>
            <w:r>
              <w:rPr>
                <w:sz w:val="22"/>
                <w:szCs w:val="22"/>
              </w:rPr>
              <w:t>37.7</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Style24"/>
              <w:ind w:hanging="0"/>
              <w:jc w:val="left"/>
              <w:rPr>
                <w:sz w:val="22"/>
                <w:szCs w:val="22"/>
              </w:rPr>
            </w:pPr>
            <w:r>
              <w:rPr>
                <w:sz w:val="22"/>
                <w:szCs w:val="22"/>
              </w:rPr>
              <w:t>5</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Style24"/>
              <w:ind w:hanging="0"/>
              <w:jc w:val="left"/>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OTs </w:t>
            </w:r>
            <w:r>
              <w:rPr>
                <w:rFonts w:cs="Times New Roman" w:ascii="Times New Roman" w:hAnsi="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OTs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Style24"/>
              <w:ind w:hanging="0"/>
              <w:jc w:val="center"/>
              <w:rPr>
                <w:sz w:val="22"/>
                <w:szCs w:val="22"/>
              </w:rPr>
            </w:pPr>
            <w:r>
              <w:rPr>
                <w:sz w:val="22"/>
                <w:szCs w:val="22"/>
              </w:rPr>
              <w:t>-328.4</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Style24"/>
              <w:ind w:hanging="0"/>
              <w:jc w:val="center"/>
              <w:rPr>
                <w:sz w:val="22"/>
                <w:szCs w:val="22"/>
              </w:rPr>
            </w:pPr>
            <w:r>
              <w:rPr>
                <w:sz w:val="22"/>
                <w:szCs w:val="22"/>
              </w:rPr>
              <w:t>-283.9</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7" w:type="dxa"/>
            </w:tcMar>
          </w:tcPr>
          <w:p>
            <w:pPr>
              <w:pStyle w:val="Style24"/>
              <w:ind w:hanging="0"/>
              <w:jc w:val="center"/>
              <w:rPr>
                <w:sz w:val="22"/>
                <w:szCs w:val="22"/>
              </w:rPr>
            </w:pPr>
            <w:r>
              <w:rPr>
                <w:sz w:val="22"/>
                <w:szCs w:val="22"/>
              </w:rPr>
              <w:t>44.6</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Style24"/>
              <w:ind w:hanging="0"/>
              <w:jc w:val="left"/>
              <w:rPr>
                <w:sz w:val="22"/>
                <w:szCs w:val="22"/>
              </w:rPr>
            </w:pPr>
            <w:r>
              <w:rPr>
                <w:sz w:val="22"/>
                <w:szCs w:val="22"/>
              </w:rPr>
              <w:t>6</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Style24"/>
              <w:ind w:hanging="0"/>
              <w:jc w:val="left"/>
              <w:rPr>
                <w:lang w:val="en-US"/>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BF</w:t>
            </w:r>
            <w:r>
              <w:rPr>
                <w:sz w:val="22"/>
                <w:szCs w:val="22"/>
                <w:vertAlign w:val="subscript"/>
                <w:lang w:val="en-US"/>
              </w:rPr>
              <w:t>4</w:t>
            </w:r>
            <w:r>
              <w:rPr>
                <w:sz w:val="22"/>
                <w:szCs w:val="22"/>
                <w:lang w:val="en-US"/>
              </w:rPr>
              <w:t xml:space="preserve"> </w:t>
            </w:r>
            <w:r>
              <w:rPr>
                <w:rFonts w:cs="Times New Roman" w:ascii="Times New Roman" w:hAnsi="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F + BF</w:t>
            </w:r>
            <w:r>
              <w:rPr>
                <w:sz w:val="22"/>
                <w:szCs w:val="22"/>
                <w:vertAlign w:val="subscript"/>
                <w:lang w:val="en-US"/>
              </w:rPr>
              <w:t>3</w:t>
            </w:r>
            <w:r>
              <w:rPr>
                <w:sz w:val="22"/>
                <w:szCs w:val="22"/>
                <w:lang w:val="en-US"/>
              </w:rPr>
              <w:t xml:space="preserve">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Style24"/>
              <w:ind w:hanging="0"/>
              <w:jc w:val="center"/>
              <w:rPr>
                <w:sz w:val="22"/>
                <w:szCs w:val="22"/>
              </w:rPr>
            </w:pPr>
            <w:r>
              <w:rPr>
                <w:sz w:val="22"/>
                <w:szCs w:val="22"/>
              </w:rPr>
              <w:t>-276.2</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Style24"/>
              <w:ind w:hanging="0"/>
              <w:jc w:val="center"/>
              <w:rPr>
                <w:sz w:val="22"/>
                <w:szCs w:val="22"/>
              </w:rPr>
            </w:pPr>
            <w:r>
              <w:rPr>
                <w:sz w:val="22"/>
                <w:szCs w:val="22"/>
              </w:rPr>
              <w:t>-188.4</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7" w:type="dxa"/>
            </w:tcMar>
          </w:tcPr>
          <w:p>
            <w:pPr>
              <w:pStyle w:val="Style24"/>
              <w:ind w:hanging="0"/>
              <w:jc w:val="center"/>
              <w:rPr>
                <w:sz w:val="22"/>
                <w:szCs w:val="22"/>
              </w:rPr>
            </w:pPr>
            <w:r>
              <w:rPr>
                <w:sz w:val="22"/>
                <w:szCs w:val="22"/>
              </w:rPr>
              <w:t>87.9</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Style24"/>
              <w:ind w:hanging="0"/>
              <w:jc w:val="left"/>
              <w:rPr/>
            </w:pPr>
            <w:r>
              <w:rPr>
                <w:sz w:val="22"/>
                <w:szCs w:val="22"/>
              </w:rPr>
              <w:t>6</w:t>
            </w:r>
            <w:r>
              <w:rPr>
                <w:sz w:val="22"/>
                <w:szCs w:val="22"/>
                <w:lang w:val="en-US"/>
              </w:rPr>
              <w:t>a</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Style24"/>
              <w:ind w:hanging="0"/>
              <w:jc w:val="left"/>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BF</w:t>
            </w:r>
            <w:r>
              <w:rPr>
                <w:sz w:val="22"/>
                <w:szCs w:val="22"/>
                <w:vertAlign w:val="subscript"/>
                <w:lang w:val="en-US"/>
              </w:rPr>
              <w:t>4</w:t>
            </w:r>
            <w:r>
              <w:rPr>
                <w:sz w:val="22"/>
                <w:szCs w:val="22"/>
                <w:lang w:val="en-US"/>
              </w:rPr>
              <w:t xml:space="preserve"> </w:t>
            </w:r>
            <w:r>
              <w:rPr>
                <w:rFonts w:cs="Times New Roman" w:ascii="Times New Roman" w:hAnsi="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lang w:val="en-US"/>
              </w:rPr>
              <w:t>F + BF</w:t>
            </w:r>
            <w:r>
              <w:rPr>
                <w:sz w:val="22"/>
                <w:szCs w:val="22"/>
                <w:vertAlign w:val="subscript"/>
                <w:lang w:val="en-US"/>
              </w:rPr>
              <w:t>3</w:t>
            </w:r>
            <w:r>
              <w:rPr>
                <w:sz w:val="22"/>
                <w:szCs w:val="22"/>
                <w:lang w:val="en-US"/>
              </w:rPr>
              <w:t xml:space="preserve"> </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Style24"/>
              <w:ind w:hanging="0"/>
              <w:jc w:val="center"/>
              <w:rPr>
                <w:color w:val="000000"/>
                <w:sz w:val="22"/>
                <w:szCs w:val="22"/>
              </w:rPr>
            </w:pPr>
            <w:r>
              <w:rPr>
                <w:color w:val="000000"/>
                <w:sz w:val="22"/>
                <w:szCs w:val="22"/>
              </w:rPr>
              <w:t>76.2</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Style24"/>
              <w:ind w:hanging="0"/>
              <w:jc w:val="center"/>
              <w:rPr>
                <w:color w:val="000000"/>
                <w:sz w:val="22"/>
                <w:szCs w:val="22"/>
                <w:lang w:val="en-US"/>
              </w:rPr>
            </w:pPr>
            <w:r>
              <w:rPr>
                <w:color w:val="000000"/>
                <w:sz w:val="22"/>
                <w:szCs w:val="22"/>
                <w:lang w:val="en-US"/>
              </w:rPr>
              <w:t>124.6</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7" w:type="dxa"/>
            </w:tcMar>
          </w:tcPr>
          <w:p>
            <w:pPr>
              <w:pStyle w:val="Style24"/>
              <w:ind w:hanging="0"/>
              <w:jc w:val="center"/>
              <w:rPr>
                <w:color w:val="000000"/>
                <w:sz w:val="22"/>
                <w:szCs w:val="22"/>
                <w:lang w:val="en-US"/>
              </w:rPr>
            </w:pPr>
            <w:r>
              <w:rPr>
                <w:color w:val="000000"/>
                <w:sz w:val="22"/>
                <w:szCs w:val="22"/>
                <w:lang w:val="en-US"/>
              </w:rPr>
              <w:t>48.5</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Style24"/>
              <w:ind w:hanging="0"/>
              <w:jc w:val="left"/>
              <w:rPr>
                <w:sz w:val="22"/>
                <w:szCs w:val="22"/>
                <w:lang w:val="en-US"/>
              </w:rPr>
            </w:pPr>
            <w:r>
              <w:rPr>
                <w:sz w:val="22"/>
                <w:szCs w:val="22"/>
                <w:lang w:val="en-US"/>
              </w:rPr>
              <w:t>6b</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Style24"/>
              <w:ind w:hanging="0"/>
              <w:jc w:val="left"/>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lang w:val="en-US"/>
              </w:rPr>
              <w:t>F</w:t>
            </w:r>
            <w:r>
              <w:rPr>
                <w:sz w:val="22"/>
                <w:szCs w:val="22"/>
                <w:vertAlign w:val="superscript"/>
                <w:lang w:val="en-US"/>
              </w:rPr>
              <w:t>-</w:t>
            </w:r>
            <w:r>
              <w:rPr>
                <w:sz w:val="22"/>
                <w:szCs w:val="22"/>
                <w:lang w:val="en-US"/>
              </w:rPr>
              <w:t xml:space="preserve"> </w:t>
            </w:r>
            <w:r>
              <w:rPr>
                <w:rFonts w:cs="Times New Roman" w:ascii="Times New Roman" w:hAnsi="Times New Roman"/>
                <w:sz w:val="22"/>
                <w:szCs w:val="22"/>
                <w:lang w:val="en-US"/>
              </w:rPr>
              <w:t xml:space="preserve">→ </w:t>
            </w: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Style24"/>
              <w:ind w:hanging="0"/>
              <w:jc w:val="center"/>
              <w:rPr>
                <w:color w:val="000000"/>
                <w:sz w:val="22"/>
                <w:szCs w:val="22"/>
              </w:rPr>
            </w:pPr>
            <w:r>
              <w:rPr>
                <w:color w:val="000000"/>
                <w:sz w:val="22"/>
                <w:szCs w:val="22"/>
              </w:rPr>
              <w:t>-352.3</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Style24"/>
              <w:ind w:hanging="0"/>
              <w:jc w:val="center"/>
              <w:rPr>
                <w:color w:val="000000"/>
                <w:sz w:val="22"/>
                <w:szCs w:val="22"/>
                <w:lang w:val="en-US"/>
              </w:rPr>
            </w:pPr>
            <w:commentRangeStart w:id="8"/>
            <w:r>
              <w:rPr>
                <w:color w:val="000000"/>
                <w:sz w:val="22"/>
                <w:szCs w:val="22"/>
                <w:highlight w:val="yellow"/>
                <w:lang w:val="en-US"/>
              </w:rPr>
              <w:t>312.9</w:t>
            </w:r>
            <w:commentRangeEnd w:id="8"/>
            <w:r>
              <w:commentReference w:id="8"/>
            </w:r>
            <w:r>
              <w:rPr>
                <w:color w:val="000000"/>
                <w:sz w:val="22"/>
                <w:szCs w:val="22"/>
                <w:highlight w:val="yellow"/>
                <w:lang w:val="en-US"/>
              </w:rPr>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7" w:type="dxa"/>
            </w:tcMar>
          </w:tcPr>
          <w:p>
            <w:pPr>
              <w:pStyle w:val="Style24"/>
              <w:ind w:hanging="0"/>
              <w:jc w:val="center"/>
              <w:rPr>
                <w:color w:val="000000"/>
                <w:sz w:val="22"/>
                <w:szCs w:val="22"/>
                <w:lang w:val="en-US"/>
              </w:rPr>
            </w:pPr>
            <w:r>
              <w:rPr>
                <w:color w:val="000000"/>
                <w:sz w:val="22"/>
                <w:szCs w:val="22"/>
                <w:lang w:val="en-US"/>
              </w:rPr>
              <w:t>39.4</w:t>
            </w:r>
          </w:p>
        </w:tc>
      </w:tr>
    </w:tbl>
    <w:p>
      <w:pPr>
        <w:pStyle w:val="Normal"/>
        <w:jc w:val="right"/>
        <w:rPr/>
      </w:pPr>
      <w:r>
        <w:rPr/>
      </w:r>
    </w:p>
    <w:p>
      <w:pPr>
        <w:pStyle w:val="Normal"/>
        <w:jc w:val="right"/>
        <w:rPr/>
      </w:pPr>
      <w:r>
        <w:rPr/>
        <w:t>Таблица 8</w:t>
      </w:r>
    </w:p>
    <w:p>
      <w:pPr>
        <w:pStyle w:val="Normal"/>
        <w:jc w:val="center"/>
        <w:rPr/>
      </w:pPr>
      <w:r>
        <w:rPr/>
        <w:t xml:space="preserve">Экспериментальные и расчётные (RB3LYP/aug-cc-pVDZ) значения </w:t>
      </w:r>
    </w:p>
    <w:p>
      <w:pPr>
        <w:pStyle w:val="Normal"/>
        <w:jc w:val="center"/>
        <w:rPr/>
      </w:pPr>
      <w:r>
        <w:rPr/>
        <w:t xml:space="preserve">энтальпии разложения диазониевых солей </w:t>
      </w:r>
    </w:p>
    <w:tbl>
      <w:tblPr>
        <w:tblW w:w="9775" w:type="dxa"/>
        <w:jc w:val="left"/>
        <w:tblInd w:w="52" w:type="dxa"/>
        <w:tblBorders>
          <w:top w:val="single" w:sz="2" w:space="0" w:color="000001"/>
          <w:left w:val="single" w:sz="2" w:space="0" w:color="000001"/>
          <w:bottom w:val="single" w:sz="2" w:space="0" w:color="000001"/>
          <w:insideH w:val="single" w:sz="2" w:space="0" w:color="000001"/>
        </w:tblBorders>
        <w:tblCellMar>
          <w:top w:w="55" w:type="dxa"/>
          <w:left w:w="47" w:type="dxa"/>
          <w:bottom w:w="55" w:type="dxa"/>
          <w:right w:w="55" w:type="dxa"/>
        </w:tblCellMar>
        <w:tblLook w:val="0000" w:noVBand="0" w:noHBand="0" w:lastColumn="0" w:firstColumn="0" w:lastRow="0" w:firstRow="0"/>
      </w:tblPr>
      <w:tblGrid>
        <w:gridCol w:w="4257"/>
        <w:gridCol w:w="1810"/>
        <w:gridCol w:w="784"/>
        <w:gridCol w:w="840"/>
        <w:gridCol w:w="840"/>
        <w:gridCol w:w="1"/>
        <w:gridCol w:w="1242"/>
      </w:tblGrid>
      <w:tr>
        <w:trPr/>
        <w:tc>
          <w:tcPr>
            <w:tcW w:w="4257"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Style24"/>
              <w:ind w:hanging="0"/>
              <w:jc w:val="center"/>
              <w:rPr>
                <w:sz w:val="22"/>
                <w:szCs w:val="22"/>
              </w:rPr>
            </w:pPr>
            <w:r>
              <w:rPr>
                <w:sz w:val="22"/>
                <w:szCs w:val="22"/>
              </w:rPr>
              <w:t>Реакция</w:t>
            </w:r>
          </w:p>
        </w:tc>
        <w:tc>
          <w:tcPr>
            <w:tcW w:w="1810"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Style24"/>
              <w:ind w:hanging="0"/>
              <w:jc w:val="center"/>
              <w:rPr>
                <w:sz w:val="22"/>
                <w:szCs w:val="22"/>
              </w:rPr>
            </w:pPr>
            <w:commentRangeStart w:id="9"/>
            <w:r>
              <w:rPr>
                <w:sz w:val="22"/>
                <w:szCs w:val="22"/>
                <w:highlight w:val="yellow"/>
              </w:rPr>
              <w:t>Теоретическое</w:t>
            </w:r>
            <w:commentRangeEnd w:id="9"/>
            <w:r>
              <w:commentReference w:id="9"/>
            </w:r>
            <w:r>
              <w:rPr>
                <w:sz w:val="22"/>
                <w:szCs w:val="22"/>
                <w:highlight w:val="yellow"/>
              </w:rPr>
            </w:r>
          </w:p>
        </w:tc>
        <w:tc>
          <w:tcPr>
            <w:tcW w:w="2465" w:type="dxa"/>
            <w:gridSpan w:val="4"/>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Style24"/>
              <w:ind w:hanging="0"/>
              <w:jc w:val="center"/>
              <w:rPr>
                <w:sz w:val="22"/>
                <w:szCs w:val="22"/>
              </w:rPr>
            </w:pPr>
            <w:r>
              <w:rPr>
                <w:sz w:val="22"/>
                <w:szCs w:val="22"/>
              </w:rPr>
              <w:t>Потоковая калориметрия</w:t>
            </w:r>
          </w:p>
        </w:tc>
        <w:tc>
          <w:tcPr>
            <w:tcW w:w="124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7" w:type="dxa"/>
            </w:tcMar>
          </w:tcPr>
          <w:p>
            <w:pPr>
              <w:pStyle w:val="Style24"/>
              <w:ind w:hanging="0"/>
              <w:jc w:val="center"/>
              <w:rPr>
                <w:sz w:val="22"/>
                <w:szCs w:val="22"/>
              </w:rPr>
            </w:pPr>
            <w:r>
              <w:rPr>
                <w:sz w:val="22"/>
                <w:szCs w:val="22"/>
              </w:rPr>
              <w:t>ТГ/ДСК</w:t>
            </w:r>
          </w:p>
        </w:tc>
      </w:tr>
      <w:tr>
        <w:trPr/>
        <w:tc>
          <w:tcPr>
            <w:tcW w:w="425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Normal"/>
              <w:rPr/>
            </w:pPr>
            <w:r>
              <w:rPr/>
            </w:r>
          </w:p>
        </w:tc>
        <w:tc>
          <w:tcPr>
            <w:tcW w:w="1810"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Style24"/>
              <w:ind w:hanging="0"/>
              <w:jc w:val="center"/>
              <w:rPr>
                <w:sz w:val="22"/>
                <w:szCs w:val="22"/>
              </w:rPr>
            </w:pPr>
            <w:r>
              <w:rPr>
                <w:rFonts w:cs="Standard Symbols L" w:ascii="Standard Symbols L" w:hAnsi="Standard Symbols L"/>
                <w:sz w:val="22"/>
                <w:szCs w:val="22"/>
                <w:lang w:val="en-US"/>
              </w:rPr>
              <w:t></w:t>
            </w:r>
            <w:r>
              <w:rPr>
                <w:rFonts w:ascii="Free Times" w:hAnsi="Free Times"/>
                <w:sz w:val="22"/>
                <w:szCs w:val="22"/>
              </w:rPr>
              <w:t>H</w:t>
            </w:r>
            <w:r>
              <w:rPr>
                <w:rFonts w:ascii="Free Times" w:hAnsi="Free Times"/>
                <w:sz w:val="22"/>
                <w:szCs w:val="22"/>
                <w:vertAlign w:val="subscript"/>
              </w:rPr>
              <w:t>298</w:t>
            </w:r>
            <w:r>
              <w:rPr>
                <w:rFonts w:ascii="Free Times" w:hAnsi="Free Times"/>
                <w:sz w:val="22"/>
                <w:szCs w:val="22"/>
              </w:rPr>
              <w:t>,</w:t>
            </w:r>
            <w:r>
              <w:rPr>
                <w:rFonts w:ascii="Free Times" w:hAnsi="Free Times"/>
                <w:sz w:val="22"/>
                <w:szCs w:val="22"/>
                <w:vertAlign w:val="subscript"/>
              </w:rPr>
              <w:t xml:space="preserve">  </w:t>
            </w:r>
            <w:r>
              <w:rPr>
                <w:rFonts w:ascii="Free Times" w:hAnsi="Free Times"/>
                <w:sz w:val="22"/>
                <w:szCs w:val="22"/>
              </w:rPr>
              <w:t xml:space="preserve"> kJ/mol</w:t>
            </w:r>
          </w:p>
        </w:tc>
        <w:tc>
          <w:tcPr>
            <w:tcW w:w="784"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Style24"/>
              <w:ind w:hanging="0"/>
              <w:jc w:val="center"/>
              <w:rPr>
                <w:sz w:val="22"/>
                <w:szCs w:val="22"/>
              </w:rPr>
            </w:pPr>
            <w:r>
              <w:rPr>
                <w:rFonts w:cs="Standard Symbols L" w:ascii="Standard Symbols L" w:hAnsi="Standard Symbols L"/>
                <w:sz w:val="22"/>
                <w:szCs w:val="22"/>
                <w:lang w:val="en-US"/>
              </w:rPr>
              <w:t></w:t>
            </w:r>
            <w:r>
              <w:rPr>
                <w:rFonts w:ascii="Free Times" w:hAnsi="Free Times"/>
                <w:sz w:val="22"/>
                <w:szCs w:val="22"/>
              </w:rPr>
              <w:t>H</w:t>
            </w:r>
            <w:r>
              <w:rPr>
                <w:rFonts w:ascii="Free Times" w:hAnsi="Free Times"/>
                <w:sz w:val="22"/>
                <w:szCs w:val="22"/>
                <w:vertAlign w:val="subscript"/>
              </w:rPr>
              <w:t>348</w:t>
            </w:r>
            <w:r>
              <w:rPr>
                <w:rFonts w:ascii="Free Times" w:hAnsi="Free Times"/>
                <w:sz w:val="22"/>
                <w:szCs w:val="22"/>
              </w:rPr>
              <w:t>,</w:t>
            </w:r>
            <w:r>
              <w:rPr>
                <w:rFonts w:ascii="Free Times" w:hAnsi="Free Times"/>
                <w:sz w:val="22"/>
                <w:szCs w:val="22"/>
                <w:vertAlign w:val="subscript"/>
              </w:rPr>
              <w:t xml:space="preserve">  </w:t>
            </w:r>
            <w:r>
              <w:rPr>
                <w:rFonts w:ascii="Free Times" w:hAnsi="Free Times"/>
                <w:sz w:val="22"/>
                <w:szCs w:val="22"/>
              </w:rPr>
              <w:t xml:space="preserve"> kJ/mol</w:t>
            </w:r>
          </w:p>
        </w:tc>
        <w:tc>
          <w:tcPr>
            <w:tcW w:w="840"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Style24"/>
              <w:ind w:hanging="0"/>
              <w:jc w:val="center"/>
              <w:rPr>
                <w:sz w:val="22"/>
                <w:szCs w:val="22"/>
              </w:rPr>
            </w:pPr>
            <w:r>
              <w:rPr>
                <w:rFonts w:cs="Standard Symbols L" w:ascii="Standard Symbols L" w:hAnsi="Standard Symbols L"/>
                <w:sz w:val="22"/>
                <w:szCs w:val="22"/>
                <w:lang w:val="en-US"/>
              </w:rPr>
              <w:t></w:t>
            </w:r>
            <w:r>
              <w:rPr>
                <w:rFonts w:ascii="Free Times" w:hAnsi="Free Times"/>
                <w:sz w:val="22"/>
                <w:szCs w:val="22"/>
              </w:rPr>
              <w:t>H</w:t>
            </w:r>
            <w:r>
              <w:rPr>
                <w:rFonts w:ascii="Free Times" w:hAnsi="Free Times"/>
                <w:sz w:val="22"/>
                <w:szCs w:val="22"/>
                <w:vertAlign w:val="subscript"/>
              </w:rPr>
              <w:t>353</w:t>
            </w:r>
            <w:r>
              <w:rPr>
                <w:rFonts w:ascii="Free Times" w:hAnsi="Free Times"/>
                <w:sz w:val="22"/>
                <w:szCs w:val="22"/>
              </w:rPr>
              <w:t>,</w:t>
            </w:r>
            <w:r>
              <w:rPr>
                <w:rFonts w:ascii="Free Times" w:hAnsi="Free Times"/>
                <w:sz w:val="22"/>
                <w:szCs w:val="22"/>
                <w:vertAlign w:val="subscript"/>
              </w:rPr>
              <w:t xml:space="preserve"> </w:t>
            </w:r>
            <w:r>
              <w:rPr>
                <w:rFonts w:ascii="Free Times" w:hAnsi="Free Times"/>
                <w:sz w:val="22"/>
                <w:szCs w:val="22"/>
              </w:rPr>
              <w:t xml:space="preserve"> kJ/mol</w:t>
            </w:r>
          </w:p>
        </w:tc>
        <w:tc>
          <w:tcPr>
            <w:tcW w:w="840"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Style24"/>
              <w:ind w:hanging="0"/>
              <w:jc w:val="center"/>
              <w:rPr>
                <w:sz w:val="22"/>
                <w:szCs w:val="22"/>
              </w:rPr>
            </w:pPr>
            <w:r>
              <w:rPr>
                <w:rFonts w:cs="Standard Symbols L" w:ascii="Standard Symbols L" w:hAnsi="Standard Symbols L"/>
                <w:sz w:val="22"/>
                <w:szCs w:val="22"/>
                <w:lang w:val="en-US"/>
              </w:rPr>
              <w:t></w:t>
            </w:r>
            <w:r>
              <w:rPr>
                <w:rFonts w:ascii="Free Times" w:hAnsi="Free Times"/>
                <w:sz w:val="22"/>
                <w:szCs w:val="22"/>
              </w:rPr>
              <w:t>H</w:t>
            </w:r>
            <w:r>
              <w:rPr>
                <w:rFonts w:ascii="Free Times" w:hAnsi="Free Times"/>
                <w:sz w:val="22"/>
                <w:szCs w:val="22"/>
                <w:vertAlign w:val="subscript"/>
              </w:rPr>
              <w:t>358</w:t>
            </w:r>
            <w:r>
              <w:rPr>
                <w:rFonts w:ascii="Free Times" w:hAnsi="Free Times"/>
                <w:sz w:val="22"/>
                <w:szCs w:val="22"/>
              </w:rPr>
              <w:t>,</w:t>
            </w:r>
            <w:r>
              <w:rPr>
                <w:rFonts w:ascii="Free Times" w:hAnsi="Free Times"/>
                <w:sz w:val="22"/>
                <w:szCs w:val="22"/>
                <w:vertAlign w:val="subscript"/>
              </w:rPr>
              <w:t xml:space="preserve"> </w:t>
            </w:r>
            <w:r>
              <w:rPr>
                <w:rFonts w:ascii="Free Times" w:hAnsi="Free Times"/>
                <w:sz w:val="22"/>
                <w:szCs w:val="22"/>
              </w:rPr>
              <w:t xml:space="preserve"> kJ/mol</w:t>
            </w:r>
          </w:p>
        </w:tc>
        <w:tc>
          <w:tcPr>
            <w:tcW w:w="1243"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7" w:type="dxa"/>
            </w:tcMar>
          </w:tcPr>
          <w:p>
            <w:pPr>
              <w:pStyle w:val="Style24"/>
              <w:ind w:hanging="0"/>
              <w:jc w:val="center"/>
              <w:rPr>
                <w:sz w:val="22"/>
                <w:szCs w:val="22"/>
              </w:rPr>
            </w:pPr>
            <w:r>
              <w:rPr>
                <w:rFonts w:cs="Standard Symbols L" w:ascii="Standard Symbols L" w:hAnsi="Standard Symbols L"/>
                <w:sz w:val="22"/>
                <w:szCs w:val="22"/>
                <w:lang w:val="en-US"/>
              </w:rPr>
              <w:t></w:t>
            </w:r>
            <w:r>
              <w:rPr>
                <w:rFonts w:ascii="Free Times" w:hAnsi="Free Times"/>
                <w:sz w:val="22"/>
                <w:szCs w:val="22"/>
              </w:rPr>
              <w:t>H,</w:t>
            </w:r>
            <w:r>
              <w:rPr>
                <w:rFonts w:ascii="Free Times" w:hAnsi="Free Times"/>
                <w:sz w:val="22"/>
                <w:szCs w:val="22"/>
                <w:vertAlign w:val="subscript"/>
              </w:rPr>
              <w:t xml:space="preserve"> </w:t>
            </w:r>
            <w:r>
              <w:rPr>
                <w:rFonts w:ascii="Free Times" w:hAnsi="Free Times"/>
                <w:sz w:val="22"/>
                <w:szCs w:val="22"/>
              </w:rPr>
              <w:t xml:space="preserve"> kJ/mol</w:t>
            </w:r>
          </w:p>
        </w:tc>
      </w:tr>
      <w:tr>
        <w:trPr/>
        <w:tc>
          <w:tcPr>
            <w:tcW w:w="4257"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Style24"/>
              <w:ind w:hanging="0"/>
              <w:jc w:val="left"/>
              <w:rPr>
                <w:sz w:val="22"/>
                <w:szCs w:val="22"/>
              </w:rPr>
            </w:pPr>
            <w:r>
              <w:rPr>
                <w:rFonts w:ascii="Free Times" w:hAnsi="Free Times"/>
                <w:sz w:val="22"/>
                <w:szCs w:val="22"/>
                <w:lang w:val="en-US"/>
              </w:rPr>
              <w:t>2-NO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cs="Times New Roman" w:ascii="Free Times" w:hAnsi="Free Times"/>
                <w:sz w:val="22"/>
                <w:szCs w:val="22"/>
                <w:lang w:val="en-US"/>
              </w:rPr>
              <w:t>→</w:t>
            </w:r>
            <w:r>
              <w:rPr>
                <w:rFonts w:ascii="Free Times" w:hAnsi="Free Times"/>
                <w:sz w:val="22"/>
                <w:szCs w:val="22"/>
                <w:lang w:val="en-US"/>
              </w:rPr>
              <w:t xml:space="preserve"> 2-NO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810"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Normal"/>
              <w:ind w:hanging="0"/>
              <w:jc w:val="center"/>
              <w:rPr>
                <w:rFonts w:ascii="Free Times" w:hAnsi="Free Times"/>
                <w:sz w:val="22"/>
                <w:szCs w:val="22"/>
                <w:lang w:val="en-US"/>
              </w:rPr>
            </w:pPr>
            <w:r>
              <w:rPr>
                <w:rFonts w:ascii="Free Times" w:hAnsi="Free Times"/>
                <w:sz w:val="22"/>
                <w:szCs w:val="22"/>
                <w:lang w:val="en-US"/>
              </w:rPr>
              <w:t>-230</w:t>
            </w:r>
          </w:p>
        </w:tc>
        <w:tc>
          <w:tcPr>
            <w:tcW w:w="784"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Normal"/>
              <w:ind w:hanging="0"/>
              <w:jc w:val="center"/>
              <w:rPr>
                <w:rFonts w:ascii="Free Times" w:hAnsi="Free Times"/>
                <w:sz w:val="22"/>
                <w:szCs w:val="22"/>
              </w:rPr>
            </w:pPr>
            <w:r>
              <w:rPr>
                <w:rFonts w:ascii="Free Times" w:hAnsi="Free Times"/>
                <w:sz w:val="22"/>
                <w:szCs w:val="22"/>
              </w:rPr>
              <w:t>-414</w:t>
            </w:r>
          </w:p>
        </w:tc>
        <w:tc>
          <w:tcPr>
            <w:tcW w:w="840"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Normal"/>
              <w:ind w:hanging="0"/>
              <w:jc w:val="center"/>
              <w:rPr>
                <w:rFonts w:ascii="Free Times" w:hAnsi="Free Times"/>
                <w:sz w:val="22"/>
                <w:szCs w:val="22"/>
              </w:rPr>
            </w:pPr>
            <w:r>
              <w:rPr>
                <w:rFonts w:ascii="Free Times" w:hAnsi="Free Times"/>
                <w:sz w:val="22"/>
                <w:szCs w:val="22"/>
              </w:rPr>
              <w:t>-386</w:t>
            </w:r>
          </w:p>
        </w:tc>
        <w:tc>
          <w:tcPr>
            <w:tcW w:w="840"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Normal"/>
              <w:ind w:hanging="0"/>
              <w:jc w:val="center"/>
              <w:rPr>
                <w:rFonts w:ascii="Free Times" w:hAnsi="Free Times"/>
                <w:sz w:val="22"/>
                <w:szCs w:val="22"/>
              </w:rPr>
            </w:pPr>
            <w:r>
              <w:rPr>
                <w:rFonts w:ascii="Free Times" w:hAnsi="Free Times"/>
                <w:sz w:val="22"/>
                <w:szCs w:val="22"/>
              </w:rPr>
              <w:t>-396</w:t>
            </w:r>
          </w:p>
        </w:tc>
        <w:tc>
          <w:tcPr>
            <w:tcW w:w="1243"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7" w:type="dxa"/>
            </w:tcMar>
          </w:tcPr>
          <w:p>
            <w:pPr>
              <w:pStyle w:val="Style24"/>
              <w:ind w:hanging="0"/>
              <w:jc w:val="center"/>
              <w:rPr>
                <w:rFonts w:ascii="Free Times" w:hAnsi="Free Times"/>
                <w:sz w:val="22"/>
                <w:szCs w:val="22"/>
                <w:lang w:val="en-US"/>
              </w:rPr>
            </w:pPr>
            <w:r>
              <w:rPr>
                <w:rFonts w:ascii="Free Times" w:hAnsi="Free Times"/>
                <w:sz w:val="22"/>
                <w:szCs w:val="22"/>
                <w:lang w:val="en-US"/>
              </w:rPr>
              <w:t>-203.4</w:t>
            </w:r>
          </w:p>
        </w:tc>
      </w:tr>
      <w:tr>
        <w:trPr/>
        <w:tc>
          <w:tcPr>
            <w:tcW w:w="4257"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Style24"/>
              <w:ind w:hanging="0"/>
              <w:jc w:val="left"/>
              <w:rPr>
                <w:sz w:val="22"/>
                <w:szCs w:val="22"/>
              </w:rPr>
            </w:pPr>
            <w:r>
              <w:rPr>
                <w:rFonts w:ascii="Free Times" w:hAnsi="Free Times"/>
                <w:sz w:val="22"/>
                <w:szCs w:val="22"/>
                <w:lang w:val="en-US"/>
              </w:rPr>
              <w:t>3-NO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cs="Times New Roman" w:ascii="Free Times" w:hAnsi="Free Times"/>
                <w:sz w:val="22"/>
                <w:szCs w:val="22"/>
                <w:lang w:val="en-US"/>
              </w:rPr>
              <w:t>→</w:t>
            </w:r>
            <w:r>
              <w:rPr>
                <w:rFonts w:ascii="Free Times" w:hAnsi="Free Times"/>
                <w:sz w:val="22"/>
                <w:szCs w:val="22"/>
                <w:lang w:val="en-US"/>
              </w:rPr>
              <w:t xml:space="preserve"> 3-NO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810"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Normal"/>
              <w:ind w:hanging="0"/>
              <w:jc w:val="center"/>
              <w:rPr>
                <w:rFonts w:ascii="Free Times" w:hAnsi="Free Times"/>
                <w:sz w:val="22"/>
                <w:szCs w:val="22"/>
              </w:rPr>
            </w:pPr>
            <w:r>
              <w:rPr>
                <w:rFonts w:ascii="Free Times" w:hAnsi="Free Times"/>
                <w:sz w:val="22"/>
                <w:szCs w:val="22"/>
              </w:rPr>
              <w:t>-243</w:t>
            </w:r>
          </w:p>
        </w:tc>
        <w:tc>
          <w:tcPr>
            <w:tcW w:w="784"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Normal"/>
              <w:ind w:hanging="0"/>
              <w:jc w:val="center"/>
              <w:rPr>
                <w:rFonts w:ascii="Free Times" w:hAnsi="Free Times"/>
                <w:sz w:val="22"/>
                <w:szCs w:val="22"/>
              </w:rPr>
            </w:pPr>
            <w:r>
              <w:rPr>
                <w:rFonts w:ascii="Free Times" w:hAnsi="Free Times"/>
                <w:sz w:val="22"/>
                <w:szCs w:val="22"/>
              </w:rPr>
              <w:t>-228</w:t>
            </w:r>
          </w:p>
        </w:tc>
        <w:tc>
          <w:tcPr>
            <w:tcW w:w="840"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Normal"/>
              <w:ind w:hanging="0"/>
              <w:jc w:val="center"/>
              <w:rPr>
                <w:rFonts w:ascii="Free Times" w:hAnsi="Free Times"/>
                <w:sz w:val="22"/>
                <w:szCs w:val="22"/>
              </w:rPr>
            </w:pPr>
            <w:r>
              <w:rPr>
                <w:rFonts w:ascii="Free Times" w:hAnsi="Free Times"/>
                <w:sz w:val="22"/>
                <w:szCs w:val="22"/>
              </w:rPr>
              <w:t>-230</w:t>
            </w:r>
          </w:p>
        </w:tc>
        <w:tc>
          <w:tcPr>
            <w:tcW w:w="840"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Normal"/>
              <w:ind w:hanging="0"/>
              <w:jc w:val="center"/>
              <w:rPr>
                <w:rFonts w:ascii="Free Times" w:hAnsi="Free Times"/>
                <w:sz w:val="22"/>
                <w:szCs w:val="22"/>
              </w:rPr>
            </w:pPr>
            <w:r>
              <w:rPr>
                <w:rFonts w:ascii="Free Times" w:hAnsi="Free Times"/>
                <w:sz w:val="22"/>
                <w:szCs w:val="22"/>
              </w:rPr>
              <w:t>-225</w:t>
            </w:r>
          </w:p>
        </w:tc>
        <w:tc>
          <w:tcPr>
            <w:tcW w:w="1243"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7" w:type="dxa"/>
            </w:tcMar>
          </w:tcPr>
          <w:p>
            <w:pPr>
              <w:pStyle w:val="Style24"/>
              <w:ind w:hanging="0"/>
              <w:jc w:val="center"/>
              <w:rPr>
                <w:rFonts w:ascii="Free Times" w:hAnsi="Free Times"/>
                <w:sz w:val="22"/>
                <w:szCs w:val="22"/>
              </w:rPr>
            </w:pPr>
            <w:r>
              <w:rPr>
                <w:rFonts w:ascii="Free Times" w:hAnsi="Free Times"/>
                <w:sz w:val="22"/>
                <w:szCs w:val="22"/>
              </w:rPr>
              <w:t>-238.5</w:t>
            </w:r>
          </w:p>
        </w:tc>
      </w:tr>
      <w:tr>
        <w:trPr/>
        <w:tc>
          <w:tcPr>
            <w:tcW w:w="4257"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Style24"/>
              <w:ind w:hanging="0"/>
              <w:jc w:val="left"/>
              <w:rPr>
                <w:sz w:val="22"/>
                <w:szCs w:val="22"/>
              </w:rPr>
            </w:pPr>
            <w:r>
              <w:rPr>
                <w:rFonts w:ascii="Free Times" w:hAnsi="Free Times"/>
                <w:sz w:val="22"/>
                <w:szCs w:val="22"/>
                <w:lang w:val="en-US"/>
              </w:rPr>
              <w:t>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cs="Times New Roman" w:ascii="Free Times" w:hAnsi="Free Times"/>
                <w:sz w:val="22"/>
                <w:szCs w:val="22"/>
                <w:lang w:val="en-US"/>
              </w:rPr>
              <w:t>→</w:t>
            </w:r>
            <w:r>
              <w:rPr>
                <w:rFonts w:ascii="Free Times" w:hAnsi="Free Times"/>
                <w:sz w:val="22"/>
                <w:szCs w:val="22"/>
                <w:lang w:val="en-US"/>
              </w:rPr>
              <w:t xml:space="preserve"> 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810"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Normal"/>
              <w:ind w:hanging="0"/>
              <w:jc w:val="center"/>
              <w:rPr>
                <w:rFonts w:ascii="Free Times" w:hAnsi="Free Times"/>
                <w:sz w:val="22"/>
                <w:szCs w:val="22"/>
              </w:rPr>
            </w:pPr>
            <w:r>
              <w:rPr>
                <w:rFonts w:ascii="Free Times" w:hAnsi="Free Times"/>
                <w:sz w:val="22"/>
                <w:szCs w:val="22"/>
              </w:rPr>
              <w:t>-248</w:t>
            </w:r>
          </w:p>
        </w:tc>
        <w:tc>
          <w:tcPr>
            <w:tcW w:w="784"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Normal"/>
              <w:ind w:hanging="0"/>
              <w:jc w:val="center"/>
              <w:rPr>
                <w:rFonts w:ascii="Free Times" w:hAnsi="Free Times"/>
                <w:sz w:val="22"/>
                <w:szCs w:val="22"/>
              </w:rPr>
            </w:pPr>
            <w:r>
              <w:rPr>
                <w:rFonts w:ascii="Free Times" w:hAnsi="Free Times"/>
                <w:sz w:val="22"/>
                <w:szCs w:val="22"/>
              </w:rPr>
              <w:t>-200</w:t>
            </w:r>
          </w:p>
        </w:tc>
        <w:tc>
          <w:tcPr>
            <w:tcW w:w="840"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Normal"/>
              <w:ind w:hanging="0"/>
              <w:jc w:val="center"/>
              <w:rPr>
                <w:rFonts w:ascii="Free Times" w:hAnsi="Free Times"/>
                <w:sz w:val="22"/>
                <w:szCs w:val="22"/>
              </w:rPr>
            </w:pPr>
            <w:r>
              <w:rPr>
                <w:rFonts w:ascii="Free Times" w:hAnsi="Free Times"/>
                <w:sz w:val="22"/>
                <w:szCs w:val="22"/>
              </w:rPr>
              <w:t>-235</w:t>
            </w:r>
          </w:p>
        </w:tc>
        <w:tc>
          <w:tcPr>
            <w:tcW w:w="840"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Normal"/>
              <w:ind w:hanging="0"/>
              <w:jc w:val="center"/>
              <w:rPr>
                <w:rFonts w:ascii="Free Times" w:hAnsi="Free Times"/>
                <w:sz w:val="22"/>
                <w:szCs w:val="22"/>
              </w:rPr>
            </w:pPr>
            <w:r>
              <w:rPr>
                <w:rFonts w:ascii="Free Times" w:hAnsi="Free Times"/>
                <w:sz w:val="22"/>
                <w:szCs w:val="22"/>
              </w:rPr>
              <w:t>-250</w:t>
            </w:r>
          </w:p>
        </w:tc>
        <w:tc>
          <w:tcPr>
            <w:tcW w:w="1243"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7" w:type="dxa"/>
            </w:tcMar>
          </w:tcPr>
          <w:p>
            <w:pPr>
              <w:pStyle w:val="Style24"/>
              <w:ind w:hanging="0"/>
              <w:jc w:val="center"/>
              <w:rPr>
                <w:rFonts w:ascii="Free Times" w:hAnsi="Free Times"/>
                <w:sz w:val="22"/>
                <w:szCs w:val="22"/>
              </w:rPr>
            </w:pPr>
            <w:r>
              <w:rPr>
                <w:rFonts w:ascii="Free Times" w:hAnsi="Free Times"/>
                <w:sz w:val="22"/>
                <w:szCs w:val="22"/>
              </w:rPr>
              <w:t>-65.8</w:t>
            </w:r>
          </w:p>
        </w:tc>
      </w:tr>
      <w:tr>
        <w:trPr/>
        <w:tc>
          <w:tcPr>
            <w:tcW w:w="4257"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Style24"/>
              <w:ind w:hanging="0"/>
              <w:jc w:val="left"/>
              <w:rPr>
                <w:sz w:val="22"/>
                <w:szCs w:val="22"/>
              </w:rPr>
            </w:pPr>
            <w:r>
              <w:rPr>
                <w:rFonts w:ascii="Free Times" w:hAnsi="Free Times"/>
                <w:sz w:val="22"/>
                <w:szCs w:val="22"/>
                <w:lang w:val="en-US"/>
              </w:rPr>
              <w:t>4-MeOC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cs="Times New Roman" w:ascii="Free Times" w:hAnsi="Free Times"/>
                <w:sz w:val="22"/>
                <w:szCs w:val="22"/>
                <w:lang w:val="en-US"/>
              </w:rPr>
              <w:t>→</w:t>
            </w:r>
            <w:r>
              <w:rPr>
                <w:rFonts w:ascii="Free Times" w:hAnsi="Free Times"/>
                <w:sz w:val="22"/>
                <w:szCs w:val="22"/>
                <w:lang w:val="en-US"/>
              </w:rPr>
              <w:t xml:space="preserve"> 4-MeOC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810"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Normal"/>
              <w:ind w:hanging="0"/>
              <w:jc w:val="center"/>
              <w:rPr>
                <w:rFonts w:ascii="Free Times" w:hAnsi="Free Times"/>
                <w:sz w:val="22"/>
                <w:szCs w:val="22"/>
              </w:rPr>
            </w:pPr>
            <w:r>
              <w:rPr>
                <w:rFonts w:ascii="Free Times" w:hAnsi="Free Times"/>
                <w:sz w:val="22"/>
                <w:szCs w:val="22"/>
              </w:rPr>
              <w:t>-201</w:t>
            </w:r>
          </w:p>
        </w:tc>
        <w:tc>
          <w:tcPr>
            <w:tcW w:w="784"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Normal"/>
              <w:ind w:hanging="0"/>
              <w:jc w:val="center"/>
              <w:rPr>
                <w:rFonts w:ascii="Free Times" w:hAnsi="Free Times"/>
                <w:sz w:val="22"/>
                <w:szCs w:val="22"/>
              </w:rPr>
            </w:pPr>
            <w:r>
              <w:rPr>
                <w:rFonts w:ascii="Free Times" w:hAnsi="Free Times"/>
                <w:sz w:val="22"/>
                <w:szCs w:val="22"/>
              </w:rPr>
              <w:t>-183</w:t>
            </w:r>
          </w:p>
        </w:tc>
        <w:tc>
          <w:tcPr>
            <w:tcW w:w="840"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Normal"/>
              <w:ind w:hanging="0"/>
              <w:jc w:val="center"/>
              <w:rPr>
                <w:rFonts w:ascii="Free Times" w:hAnsi="Free Times"/>
                <w:sz w:val="22"/>
                <w:szCs w:val="22"/>
              </w:rPr>
            </w:pPr>
            <w:r>
              <w:rPr>
                <w:rFonts w:ascii="Free Times" w:hAnsi="Free Times"/>
                <w:sz w:val="22"/>
                <w:szCs w:val="22"/>
              </w:rPr>
              <w:t>-183</w:t>
            </w:r>
          </w:p>
        </w:tc>
        <w:tc>
          <w:tcPr>
            <w:tcW w:w="840"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Normal"/>
              <w:ind w:hanging="0"/>
              <w:jc w:val="center"/>
              <w:rPr>
                <w:rFonts w:ascii="Free Times" w:hAnsi="Free Times"/>
                <w:sz w:val="22"/>
                <w:szCs w:val="22"/>
              </w:rPr>
            </w:pPr>
            <w:r>
              <w:rPr>
                <w:rFonts w:ascii="Free Times" w:hAnsi="Free Times"/>
                <w:sz w:val="22"/>
                <w:szCs w:val="22"/>
              </w:rPr>
              <w:t>-106</w:t>
            </w:r>
          </w:p>
        </w:tc>
        <w:tc>
          <w:tcPr>
            <w:tcW w:w="1243"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7" w:type="dxa"/>
            </w:tcMar>
          </w:tcPr>
          <w:p>
            <w:pPr>
              <w:pStyle w:val="Style24"/>
              <w:ind w:hanging="0"/>
              <w:jc w:val="center"/>
              <w:rPr>
                <w:rFonts w:ascii="Free Times" w:hAnsi="Free Times"/>
                <w:sz w:val="22"/>
                <w:szCs w:val="22"/>
              </w:rPr>
            </w:pPr>
            <w:r>
              <w:rPr>
                <w:rFonts w:ascii="Free Times" w:hAnsi="Free Times"/>
                <w:sz w:val="22"/>
                <w:szCs w:val="22"/>
              </w:rPr>
              <w:t>-64.5</w:t>
            </w:r>
          </w:p>
        </w:tc>
      </w:tr>
      <w:tr>
        <w:trPr/>
        <w:tc>
          <w:tcPr>
            <w:tcW w:w="4257"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Style24"/>
              <w:ind w:hanging="0"/>
              <w:jc w:val="left"/>
              <w:rPr>
                <w:sz w:val="22"/>
                <w:szCs w:val="22"/>
              </w:rPr>
            </w:pPr>
            <w:r>
              <w:rPr>
                <w:rFonts w:ascii="Free Times" w:hAnsi="Free Times"/>
                <w:sz w:val="22"/>
                <w:szCs w:val="22"/>
                <w:lang w:val="en-US"/>
              </w:rPr>
              <w:t>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OTs </w:t>
            </w:r>
            <w:r>
              <w:rPr>
                <w:rFonts w:cs="Times New Roman" w:ascii="Free Times" w:hAnsi="Free Times"/>
                <w:sz w:val="22"/>
                <w:szCs w:val="22"/>
                <w:lang w:val="en-US"/>
              </w:rPr>
              <w:t>→</w:t>
            </w:r>
            <w:r>
              <w:rPr>
                <w:rFonts w:ascii="Free Times" w:hAnsi="Free Times"/>
                <w:sz w:val="22"/>
                <w:szCs w:val="22"/>
                <w:lang w:val="en-US"/>
              </w:rPr>
              <w:t xml:space="preserve"> 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OTs + N</w:t>
            </w:r>
            <w:r>
              <w:rPr>
                <w:rFonts w:ascii="Free Times" w:hAnsi="Free Times"/>
                <w:sz w:val="22"/>
                <w:szCs w:val="22"/>
                <w:vertAlign w:val="subscript"/>
                <w:lang w:val="en-US"/>
              </w:rPr>
              <w:t>2</w:t>
            </w:r>
          </w:p>
        </w:tc>
        <w:tc>
          <w:tcPr>
            <w:tcW w:w="1810"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Normal"/>
              <w:ind w:hanging="0"/>
              <w:jc w:val="center"/>
              <w:rPr>
                <w:rFonts w:ascii="Free Times" w:hAnsi="Free Times"/>
                <w:sz w:val="22"/>
                <w:szCs w:val="22"/>
              </w:rPr>
            </w:pPr>
            <w:r>
              <w:rPr>
                <w:rFonts w:ascii="Free Times" w:hAnsi="Free Times"/>
                <w:sz w:val="22"/>
                <w:szCs w:val="22"/>
              </w:rPr>
              <w:t>-284</w:t>
            </w:r>
          </w:p>
        </w:tc>
        <w:tc>
          <w:tcPr>
            <w:tcW w:w="784"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Normal"/>
              <w:ind w:hanging="0"/>
              <w:jc w:val="center"/>
              <w:rPr>
                <w:rFonts w:ascii="Free Times" w:hAnsi="Free Times"/>
                <w:sz w:val="22"/>
                <w:szCs w:val="22"/>
              </w:rPr>
            </w:pPr>
            <w:r>
              <w:rPr>
                <w:rFonts w:ascii="Free Times" w:hAnsi="Free Times"/>
                <w:sz w:val="22"/>
                <w:szCs w:val="22"/>
              </w:rPr>
              <w:t>-253</w:t>
            </w:r>
          </w:p>
        </w:tc>
        <w:tc>
          <w:tcPr>
            <w:tcW w:w="840"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Normal"/>
              <w:ind w:hanging="0"/>
              <w:jc w:val="center"/>
              <w:rPr>
                <w:rFonts w:ascii="Free Times" w:hAnsi="Free Times"/>
                <w:sz w:val="22"/>
                <w:szCs w:val="22"/>
              </w:rPr>
            </w:pPr>
            <w:r>
              <w:rPr>
                <w:rFonts w:ascii="Free Times" w:hAnsi="Free Times"/>
                <w:sz w:val="22"/>
                <w:szCs w:val="22"/>
              </w:rPr>
              <w:t>-232</w:t>
            </w:r>
          </w:p>
        </w:tc>
        <w:tc>
          <w:tcPr>
            <w:tcW w:w="840"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Normal"/>
              <w:ind w:hanging="0"/>
              <w:jc w:val="center"/>
              <w:rPr>
                <w:rFonts w:ascii="Free Times" w:hAnsi="Free Times"/>
                <w:sz w:val="22"/>
                <w:szCs w:val="22"/>
              </w:rPr>
            </w:pPr>
            <w:r>
              <w:rPr>
                <w:rFonts w:ascii="Free Times" w:hAnsi="Free Times"/>
                <w:sz w:val="22"/>
                <w:szCs w:val="22"/>
              </w:rPr>
              <w:t>-231</w:t>
            </w:r>
          </w:p>
        </w:tc>
        <w:tc>
          <w:tcPr>
            <w:tcW w:w="1243"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7" w:type="dxa"/>
            </w:tcMar>
          </w:tcPr>
          <w:p>
            <w:pPr>
              <w:pStyle w:val="Style24"/>
              <w:ind w:hanging="0"/>
              <w:jc w:val="center"/>
              <w:rPr>
                <w:rFonts w:ascii="Free Times" w:hAnsi="Free Times"/>
                <w:sz w:val="22"/>
                <w:szCs w:val="22"/>
              </w:rPr>
            </w:pPr>
            <w:r>
              <w:rPr>
                <w:rFonts w:ascii="Free Times" w:hAnsi="Free Times"/>
                <w:sz w:val="22"/>
                <w:szCs w:val="22"/>
              </w:rPr>
              <w:t>-117.3</w:t>
            </w:r>
          </w:p>
        </w:tc>
      </w:tr>
      <w:tr>
        <w:trPr/>
        <w:tc>
          <w:tcPr>
            <w:tcW w:w="4257"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Style24"/>
              <w:ind w:hanging="0"/>
              <w:jc w:val="left"/>
              <w:rPr>
                <w:sz w:val="22"/>
                <w:szCs w:val="22"/>
                <w:lang w:val="en-US"/>
              </w:rPr>
            </w:pPr>
            <w:r>
              <w:rPr>
                <w:rFonts w:ascii="Free Times" w:hAnsi="Free Times"/>
                <w:sz w:val="22"/>
                <w:szCs w:val="22"/>
                <w:lang w:val="en-US"/>
              </w:rPr>
              <w:t>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BF</w:t>
            </w:r>
            <w:r>
              <w:rPr>
                <w:rFonts w:ascii="Free Times" w:hAnsi="Free Times"/>
                <w:sz w:val="22"/>
                <w:szCs w:val="22"/>
                <w:vertAlign w:val="subscript"/>
                <w:lang w:val="en-US"/>
              </w:rPr>
              <w:t>4</w:t>
            </w:r>
            <w:r>
              <w:rPr>
                <w:rFonts w:ascii="Free Times" w:hAnsi="Free Times"/>
                <w:sz w:val="22"/>
                <w:szCs w:val="22"/>
                <w:lang w:val="en-US"/>
              </w:rPr>
              <w:t xml:space="preserve"> </w:t>
            </w:r>
            <w:r>
              <w:rPr>
                <w:rFonts w:cs="Times New Roman" w:ascii="Free Times" w:hAnsi="Free Times"/>
                <w:sz w:val="22"/>
                <w:szCs w:val="22"/>
                <w:lang w:val="en-US"/>
              </w:rPr>
              <w:t>→</w:t>
            </w:r>
            <w:r>
              <w:rPr>
                <w:rFonts w:ascii="Free Times" w:hAnsi="Free Times"/>
                <w:sz w:val="22"/>
                <w:szCs w:val="22"/>
                <w:lang w:val="en-US"/>
              </w:rPr>
              <w:t xml:space="preserve"> 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F + BF</w:t>
            </w:r>
            <w:r>
              <w:rPr>
                <w:rFonts w:ascii="Free Times" w:hAnsi="Free Times"/>
                <w:sz w:val="22"/>
                <w:szCs w:val="22"/>
                <w:vertAlign w:val="subscript"/>
                <w:lang w:val="en-US"/>
              </w:rPr>
              <w:t>3</w:t>
            </w:r>
            <w:r>
              <w:rPr>
                <w:rFonts w:ascii="Free Times" w:hAnsi="Free Times"/>
                <w:sz w:val="22"/>
                <w:szCs w:val="22"/>
                <w:lang w:val="en-US"/>
              </w:rPr>
              <w:t xml:space="preserve"> + N</w:t>
            </w:r>
            <w:r>
              <w:rPr>
                <w:rFonts w:ascii="Free Times" w:hAnsi="Free Times"/>
                <w:sz w:val="22"/>
                <w:szCs w:val="22"/>
                <w:vertAlign w:val="subscript"/>
                <w:lang w:val="en-US"/>
              </w:rPr>
              <w:t>2</w:t>
            </w:r>
          </w:p>
        </w:tc>
        <w:tc>
          <w:tcPr>
            <w:tcW w:w="1810"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Normal"/>
              <w:ind w:hanging="0"/>
              <w:jc w:val="center"/>
              <w:rPr>
                <w:rFonts w:ascii="Free Times" w:hAnsi="Free Times"/>
                <w:sz w:val="22"/>
                <w:szCs w:val="22"/>
              </w:rPr>
            </w:pPr>
            <w:r>
              <w:rPr>
                <w:rFonts w:ascii="Free Times" w:hAnsi="Free Times"/>
                <w:sz w:val="22"/>
                <w:szCs w:val="22"/>
              </w:rPr>
              <w:t xml:space="preserve">-188 </w:t>
            </w:r>
          </w:p>
        </w:tc>
        <w:tc>
          <w:tcPr>
            <w:tcW w:w="784"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Normal"/>
              <w:ind w:hanging="0"/>
              <w:jc w:val="center"/>
              <w:rPr>
                <w:rFonts w:ascii="Free Times" w:hAnsi="Free Times"/>
                <w:sz w:val="22"/>
                <w:szCs w:val="22"/>
              </w:rPr>
            </w:pPr>
            <w:r>
              <w:rPr>
                <w:rFonts w:ascii="Free Times" w:hAnsi="Free Times"/>
                <w:sz w:val="22"/>
                <w:szCs w:val="22"/>
              </w:rPr>
              <w:t>-173</w:t>
            </w:r>
          </w:p>
        </w:tc>
        <w:tc>
          <w:tcPr>
            <w:tcW w:w="840"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Normal"/>
              <w:ind w:hanging="0"/>
              <w:jc w:val="center"/>
              <w:rPr>
                <w:rFonts w:ascii="Free Times" w:hAnsi="Free Times"/>
                <w:sz w:val="22"/>
                <w:szCs w:val="22"/>
              </w:rPr>
            </w:pPr>
            <w:r>
              <w:rPr>
                <w:rFonts w:ascii="Free Times" w:hAnsi="Free Times"/>
                <w:sz w:val="22"/>
                <w:szCs w:val="22"/>
              </w:rPr>
              <w:t>-156</w:t>
            </w:r>
          </w:p>
        </w:tc>
        <w:tc>
          <w:tcPr>
            <w:tcW w:w="840"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Normal"/>
              <w:ind w:hanging="0"/>
              <w:jc w:val="center"/>
              <w:rPr>
                <w:rFonts w:ascii="Free Times" w:hAnsi="Free Times"/>
                <w:sz w:val="22"/>
                <w:szCs w:val="22"/>
              </w:rPr>
            </w:pPr>
            <w:r>
              <w:rPr>
                <w:rFonts w:ascii="Free Times" w:hAnsi="Free Times"/>
                <w:sz w:val="22"/>
                <w:szCs w:val="22"/>
              </w:rPr>
              <w:t>-147</w:t>
            </w:r>
          </w:p>
        </w:tc>
        <w:tc>
          <w:tcPr>
            <w:tcW w:w="1243"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7" w:type="dxa"/>
            </w:tcMar>
          </w:tcPr>
          <w:p>
            <w:pPr>
              <w:pStyle w:val="Style24"/>
              <w:ind w:hanging="0"/>
              <w:jc w:val="center"/>
              <w:rPr>
                <w:rFonts w:ascii="Free Times" w:hAnsi="Free Times"/>
                <w:sz w:val="22"/>
                <w:szCs w:val="22"/>
                <w:lang w:val="en-US"/>
              </w:rPr>
            </w:pPr>
            <w:r>
              <w:rPr>
                <w:rFonts w:ascii="Free Times" w:hAnsi="Free Times"/>
                <w:sz w:val="22"/>
                <w:szCs w:val="22"/>
                <w:lang w:val="en-US"/>
              </w:rPr>
              <w:t>-54.3</w:t>
            </w:r>
          </w:p>
        </w:tc>
      </w:tr>
    </w:tbl>
    <w:p>
      <w:pPr>
        <w:pStyle w:val="Normal"/>
        <w:jc w:val="left"/>
        <w:rPr>
          <w:color w:val="000000"/>
          <w:highlight w:val="red"/>
        </w:rPr>
      </w:pPr>
      <w:r>
        <w:rPr>
          <w:color w:val="000000"/>
          <w:highlight w:val="red"/>
        </w:rPr>
      </w:r>
    </w:p>
    <w:p>
      <w:pPr>
        <w:pStyle w:val="Normal"/>
        <w:rPr/>
      </w:pPr>
      <w:r>
        <w:rPr/>
        <w:t xml:space="preserve">В целом, для всех реакций разложения солей </w:t>
      </w:r>
      <w:r>
        <w:rPr>
          <w:b/>
        </w:rPr>
        <w:t>1b-d</w:t>
      </w:r>
      <w:r>
        <w:rPr/>
        <w:t xml:space="preserve">, </w:t>
      </w:r>
      <w:r>
        <w:rPr>
          <w:b/>
        </w:rPr>
        <w:t>2</w:t>
      </w:r>
      <w:r>
        <w:rPr/>
        <w:t xml:space="preserve"> and </w:t>
      </w:r>
      <w:r>
        <w:rPr>
          <w:b/>
        </w:rPr>
        <w:t>3</w:t>
      </w:r>
      <w:r>
        <w:rPr/>
        <w:t xml:space="preserve"> расчетные квантово-химические и экспериментальные значения энтальпий в </w:t>
      </w:r>
      <w:r>
        <w:rPr>
          <w:rFonts w:eastAsia="Times New Roman" w:cs="Times New Roman"/>
        </w:rPr>
        <w:t xml:space="preserve">изотермической </w:t>
      </w:r>
      <w:r>
        <w:rPr/>
        <w:t xml:space="preserve">потоковой калориметрии имеют довольно близкие значения (хотя линейные корреляции между этими величинами отсутствуют). Из чего следует, что именно предложенные реакции (табл. 6, 7) вносят основной вклад в энергии экзотермического разложения, а квантово-химический метод RB3LYP/aug-cc-pVDZ пригоден для теоретической оценки теплот разложения диазониевых солей. Исключением является соль </w:t>
      </w:r>
      <w:r>
        <w:rPr>
          <w:b/>
        </w:rPr>
        <w:t>1a</w:t>
      </w:r>
      <w:r>
        <w:rPr/>
        <w:t xml:space="preserve"> с нитро-группой в </w:t>
      </w:r>
      <w:r>
        <w:rPr>
          <w:i/>
        </w:rPr>
        <w:t>орто</w:t>
      </w:r>
      <w:r>
        <w:rPr/>
        <w:t xml:space="preserve">-положении для которой энтальпия реакции в </w:t>
      </w:r>
      <w:r>
        <w:rPr>
          <w:rFonts w:eastAsia="Times New Roman" w:cs="Times New Roman"/>
        </w:rPr>
        <w:t xml:space="preserve">изотермической </w:t>
      </w:r>
      <w:r>
        <w:rPr/>
        <w:t xml:space="preserve">потоковой калориметрии значительно превышает полученные расчетные значения (табл. 7). Этот факт согласуется с вышеприведенными данными </w:t>
      </w:r>
      <w:r>
        <w:rPr>
          <w:lang w:val="en-US"/>
        </w:rPr>
        <w:t>GC</w:t>
      </w:r>
      <w:r>
        <w:rPr/>
        <w:t>-</w:t>
      </w:r>
      <w:r>
        <w:rPr>
          <w:lang w:val="en-US"/>
        </w:rPr>
        <w:t>MS</w:t>
      </w:r>
      <w:r>
        <w:rPr/>
        <w:t xml:space="preserve"> и LC-MS, которые показывают, что при разложении соли </w:t>
      </w:r>
      <w:r>
        <w:rPr>
          <w:b/>
        </w:rPr>
        <w:t>1a</w:t>
      </w:r>
      <w:r>
        <w:rPr/>
        <w:t xml:space="preserve"> не образуется продукта замещения диазониевой группы </w:t>
      </w:r>
      <w:r>
        <w:rPr>
          <w:rFonts w:ascii="Free Times" w:hAnsi="Free Times"/>
          <w:sz w:val="22"/>
          <w:szCs w:val="22"/>
        </w:rPr>
        <w:t>2-</w:t>
      </w:r>
      <w:r>
        <w:rPr>
          <w:rFonts w:ascii="Free Times" w:hAnsi="Free Times"/>
          <w:sz w:val="22"/>
          <w:szCs w:val="22"/>
          <w:lang w:val="en-US"/>
        </w:rPr>
        <w:t>NO</w:t>
      </w:r>
      <w:r>
        <w:rPr>
          <w:rFonts w:ascii="Free Times" w:hAnsi="Free Times"/>
          <w:sz w:val="22"/>
          <w:szCs w:val="22"/>
          <w:vertAlign w:val="subscript"/>
        </w:rPr>
        <w:t>2</w:t>
      </w:r>
      <w:r>
        <w:rPr>
          <w:rFonts w:ascii="Free Times" w:hAnsi="Free Times"/>
          <w:sz w:val="22"/>
          <w:szCs w:val="22"/>
          <w:lang w:val="en-US"/>
        </w:rPr>
        <w:t>C</w:t>
      </w:r>
      <w:r>
        <w:rPr>
          <w:rFonts w:ascii="Free Times" w:hAnsi="Free Times"/>
          <w:sz w:val="22"/>
          <w:szCs w:val="22"/>
          <w:vertAlign w:val="subscript"/>
        </w:rPr>
        <w:t>6</w:t>
      </w:r>
      <w:r>
        <w:rPr>
          <w:rFonts w:ascii="Free Times" w:hAnsi="Free Times"/>
          <w:sz w:val="22"/>
          <w:szCs w:val="22"/>
          <w:lang w:val="en-US"/>
        </w:rPr>
        <w:t>H</w:t>
      </w:r>
      <w:r>
        <w:rPr>
          <w:rFonts w:ascii="Free Times" w:hAnsi="Free Times"/>
          <w:sz w:val="22"/>
          <w:szCs w:val="22"/>
          <w:vertAlign w:val="subscript"/>
        </w:rPr>
        <w:t>4</w:t>
      </w:r>
      <w:r>
        <w:rPr>
          <w:rFonts w:ascii="Free Times" w:hAnsi="Free Times"/>
          <w:sz w:val="22"/>
          <w:szCs w:val="22"/>
          <w:lang w:val="en-US"/>
        </w:rPr>
        <w:t>OTf</w:t>
      </w:r>
      <w:r>
        <w:rPr/>
        <w:t>, а разложение проходит по иному маршруту (схемы 4 и 5).</w:t>
      </w:r>
    </w:p>
    <w:p>
      <w:pPr>
        <w:pStyle w:val="Normal"/>
        <w:rPr/>
      </w:pPr>
      <w:r>
        <w:rPr/>
        <w:t xml:space="preserve">Некоторые значения энтальпий экзотермического разложения солей </w:t>
      </w:r>
      <w:r>
        <w:rPr>
          <w:b/>
        </w:rPr>
        <w:t>1-3</w:t>
      </w:r>
      <w:r>
        <w:rPr/>
        <w:t xml:space="preserve"> по данным ТГ/ДСК оказываются значительно меньше, чем расчетные квантово-химические и данные </w:t>
      </w:r>
      <w:r>
        <w:rPr>
          <w:rFonts w:eastAsia="Times New Roman" w:cs="Times New Roman"/>
        </w:rPr>
        <w:t xml:space="preserve">изотермической </w:t>
      </w:r>
      <w:r>
        <w:rPr/>
        <w:t>потоковой калориметрии (табл. 8). Причиной этого является то, что разложение солей в условиях ТГ/ДСК протекает при температурах значительно превышающих 85 </w:t>
      </w:r>
      <w:r>
        <w:rPr>
          <w:vertAlign w:val="superscript"/>
        </w:rPr>
        <w:t>о</w:t>
      </w:r>
      <w:r>
        <w:rPr/>
        <w:t xml:space="preserve">С (табл. 2), в результате происходит процесс испарения, сопровождающийся значительной потерей массы, что снижает тепловой эффект реакции. </w:t>
      </w:r>
    </w:p>
    <w:p>
      <w:pPr>
        <w:pStyle w:val="1"/>
        <w:numPr>
          <w:ilvl w:val="0"/>
          <w:numId w:val="2"/>
        </w:numPr>
        <w:ind w:left="0" w:firstLine="397"/>
        <w:rPr/>
      </w:pPr>
      <w:r>
        <w:rPr/>
        <w:t xml:space="preserve">  </w:t>
      </w:r>
      <w:bookmarkStart w:id="0" w:name="_GoBack"/>
      <w:bookmarkEnd w:id="0"/>
      <w:r>
        <w:rPr/>
        <w:t>CONCLUSIONS</w:t>
      </w:r>
    </w:p>
    <w:p>
      <w:pPr>
        <w:pStyle w:val="Normal"/>
        <w:tabs>
          <w:tab w:val="center" w:pos="218" w:leader="none"/>
        </w:tabs>
        <w:rPr>
          <w:highlight w:val="yellow"/>
        </w:rPr>
      </w:pPr>
      <w:commentRangeStart w:id="10"/>
      <w:r>
        <w:rPr>
          <w:highlight w:val="yellow"/>
          <w:lang w:val="en-US"/>
        </w:rPr>
        <w:t>In</w:t>
      </w:r>
      <w:r>
        <w:rPr>
          <w:highlight w:val="yellow"/>
        </w:rPr>
        <w:t xml:space="preserve"> </w:t>
      </w:r>
      <w:r>
        <w:rPr>
          <w:highlight w:val="yellow"/>
          <w:lang w:val="en-US"/>
        </w:rPr>
        <w:t>conclusion</w:t>
      </w:r>
      <w:r>
        <w:rPr>
          <w:highlight w:val="yellow"/>
        </w:rPr>
        <w:t xml:space="preserve">, впервые проведенное исследование термического разложения ряда </w:t>
      </w:r>
      <w:r>
        <w:rPr>
          <w:highlight w:val="yellow"/>
        </w:rPr>
      </w:r>
      <w:commentRangeEnd w:id="10"/>
      <w:r>
        <w:commentReference w:id="10"/>
      </w:r>
      <w:r>
        <w:rPr>
          <w:highlight w:val="yellow"/>
        </w:rPr>
        <w:t xml:space="preserve">ароматических диазониевых солей с </w:t>
      </w:r>
      <w:r>
        <w:rPr>
          <w:highlight w:val="yellow"/>
          <w:lang w:val="en-US"/>
        </w:rPr>
        <w:t>ArN</w:t>
      </w:r>
      <w:r>
        <w:rPr>
          <w:highlight w:val="yellow"/>
        </w:rPr>
        <w:t xml:space="preserve">2+ </w:t>
      </w:r>
      <w:r>
        <w:rPr>
          <w:highlight w:val="yellow"/>
          <w:lang w:val="en-US"/>
        </w:rPr>
        <w:t>X</w:t>
      </w:r>
      <w:r>
        <w:rPr>
          <w:highlight w:val="yellow"/>
        </w:rPr>
        <w:t xml:space="preserve">- с различными анионами </w:t>
      </w:r>
      <w:r>
        <w:rPr>
          <w:highlight w:val="yellow"/>
          <w:lang w:val="en-US"/>
        </w:rPr>
        <w:t>X</w:t>
      </w:r>
      <w:r>
        <w:rPr>
          <w:highlight w:val="yellow"/>
        </w:rPr>
        <w:t xml:space="preserve">= </w:t>
      </w:r>
      <w:r>
        <w:rPr>
          <w:highlight w:val="yellow"/>
          <w:lang w:val="en-US"/>
        </w:rPr>
        <w:t>TfO</w:t>
      </w:r>
      <w:r>
        <w:rPr>
          <w:highlight w:val="yellow"/>
        </w:rPr>
        <w:t xml:space="preserve">, </w:t>
      </w:r>
      <w:r>
        <w:rPr>
          <w:highlight w:val="yellow"/>
          <w:lang w:val="en-US"/>
        </w:rPr>
        <w:t>TsO</w:t>
      </w:r>
      <w:r>
        <w:rPr>
          <w:highlight w:val="yellow"/>
        </w:rPr>
        <w:t xml:space="preserve">, </w:t>
      </w:r>
      <w:r>
        <w:rPr>
          <w:highlight w:val="yellow"/>
          <w:lang w:val="en-US"/>
        </w:rPr>
        <w:t>BF</w:t>
      </w:r>
      <w:r>
        <w:rPr>
          <w:highlight w:val="yellow"/>
        </w:rPr>
        <w:t xml:space="preserve">4 с использованием метода </w:t>
      </w:r>
      <w:r>
        <w:rPr>
          <w:rFonts w:eastAsia="Times New Roman" w:cs="Times New Roman"/>
          <w:highlight w:val="yellow"/>
        </w:rPr>
        <w:t xml:space="preserve">изотермической </w:t>
      </w:r>
      <w:r>
        <w:rPr>
          <w:highlight w:val="yellow"/>
        </w:rPr>
        <w:t xml:space="preserve">потоковой калориметрии позволило определить термодинамику и кинетику их разложения и стабильность сухих ДС при хранении в нормальных условиях. Моделирование термодинамики реакций термолиза с помощью </w:t>
      </w:r>
      <w:r>
        <w:rPr>
          <w:highlight w:val="yellow"/>
          <w:lang w:val="en-US"/>
        </w:rPr>
        <w:t>DFT</w:t>
      </w:r>
      <w:r>
        <w:rPr>
          <w:highlight w:val="yellow"/>
        </w:rPr>
        <w:t xml:space="preserve"> RB3LYP/aug-cc-pVDZ расчетов показывает удовлетворительную сходимость с результатами </w:t>
      </w:r>
      <w:r>
        <w:rPr>
          <w:rFonts w:eastAsia="Times New Roman" w:cs="Times New Roman"/>
          <w:highlight w:val="yellow"/>
        </w:rPr>
        <w:t xml:space="preserve">изотермической </w:t>
      </w:r>
      <w:r>
        <w:rPr>
          <w:highlight w:val="yellow"/>
        </w:rPr>
        <w:t>потоковой калориметрии, но не с данными DSC/</w:t>
      </w:r>
      <w:r>
        <w:rPr>
          <w:highlight w:val="yellow"/>
          <w:lang w:val="en-US"/>
        </w:rPr>
        <w:t>TGA</w:t>
      </w:r>
      <w:r>
        <w:rPr>
          <w:highlight w:val="yellow"/>
        </w:rPr>
        <w:t xml:space="preserve"> для всех изученных диазониевых солей, кроме 2-нитробензолдиазоний трифлата.</w:t>
      </w:r>
    </w:p>
    <w:p>
      <w:pPr>
        <w:pStyle w:val="Normal"/>
        <w:tabs>
          <w:tab w:val="center" w:pos="218" w:leader="none"/>
        </w:tabs>
        <w:ind w:hanging="0"/>
        <w:rPr/>
      </w:pPr>
      <w:r>
        <w:rPr>
          <w:highlight w:val="yellow"/>
        </w:rPr>
        <w:t xml:space="preserve">Продукты разложения 2-нитробензолдиазоний трифлата резко отличаются от продуктов разложения остальных диазониевых солей, что показано с помощью </w:t>
      </w:r>
      <w:r>
        <w:rPr>
          <w:highlight w:val="yellow"/>
          <w:lang w:val="en-US"/>
        </w:rPr>
        <w:t>GC</w:t>
      </w:r>
      <w:r>
        <w:rPr>
          <w:highlight w:val="yellow"/>
        </w:rPr>
        <w:t>-</w:t>
      </w:r>
      <w:r>
        <w:rPr>
          <w:highlight w:val="yellow"/>
          <w:lang w:val="en-US"/>
        </w:rPr>
        <w:t>MS</w:t>
      </w:r>
      <w:r>
        <w:rPr>
          <w:highlight w:val="yellow"/>
        </w:rPr>
        <w:t xml:space="preserve"> и </w:t>
      </w:r>
      <w:r>
        <w:rPr>
          <w:highlight w:val="yellow"/>
          <w:lang w:val="en-US"/>
        </w:rPr>
        <w:t>LC</w:t>
      </w:r>
      <w:r>
        <w:rPr>
          <w:highlight w:val="yellow"/>
        </w:rPr>
        <w:t>-</w:t>
      </w:r>
      <w:r>
        <w:rPr>
          <w:highlight w:val="yellow"/>
          <w:lang w:val="en-US"/>
        </w:rPr>
        <w:t>MS</w:t>
      </w:r>
      <w:r>
        <w:rPr>
          <w:highlight w:val="yellow"/>
        </w:rPr>
        <w:t xml:space="preserve"> исследований.</w:t>
      </w:r>
    </w:p>
    <w:p>
      <w:pPr>
        <w:pStyle w:val="Normal"/>
        <w:tabs>
          <w:tab w:val="center" w:pos="218" w:leader="none"/>
        </w:tabs>
        <w:ind w:hanging="0"/>
        <w:rPr/>
      </w:pPr>
      <w:r>
        <w:rPr/>
      </w:r>
    </w:p>
    <w:p>
      <w:pPr>
        <w:pStyle w:val="Normal"/>
        <w:tabs>
          <w:tab w:val="center" w:pos="218" w:leader="none"/>
        </w:tabs>
        <w:rPr/>
      </w:pPr>
      <w:r>
        <w:rPr/>
      </w:r>
    </w:p>
    <w:p>
      <w:pPr>
        <w:pStyle w:val="Normal"/>
        <w:tabs>
          <w:tab w:val="center" w:pos="218" w:leader="none"/>
        </w:tabs>
        <w:rPr/>
      </w:pPr>
      <w:r>
        <w:rPr/>
        <w:t xml:space="preserve">Проведение только ТГ/ДСК исследования не может служить надежным критерием для оценки термической стабильности и энергетики солей диазония, так как в этом случае происходит разложение при более высоких температурах и сопровождается интенсивным испарением низкомолекулярных продуктов реакции. Кроме того при ТГ/ДСК исследованиях разложение происходит при различных температурах, что затрудняет анализ и сравнение полученных данных. Сравнение кинетики при более высоких температурах не всегда качественно описывает сравнительную стабильность при нормальных условиях, в следствии различия механизмов и энергий активации. Следовательно ТГ/ДСК исследования не могут быть надежным критерием стабильности ДС, и их следует дополнять более подробным изучением кинетики тепловыделения методом </w:t>
      </w:r>
      <w:r>
        <w:rPr>
          <w:rFonts w:eastAsia="Times New Roman" w:cs="Times New Roman"/>
          <w:highlight w:val="green"/>
        </w:rPr>
        <w:t>изотермической</w:t>
      </w:r>
      <w:r>
        <w:rPr>
          <w:rFonts w:eastAsia="Times New Roman" w:cs="Times New Roman"/>
        </w:rPr>
        <w:t xml:space="preserve"> </w:t>
      </w:r>
      <w:r>
        <w:rPr/>
        <w:t xml:space="preserve">потоковой калориметрии, с определением величин максимальных тепловых потоков и аппроксимацией кинетики на нормальные условия. </w:t>
      </w:r>
    </w:p>
    <w:p>
      <w:pPr>
        <w:pStyle w:val="Normal"/>
        <w:tabs>
          <w:tab w:val="center" w:pos="218" w:leader="none"/>
        </w:tabs>
        <w:rPr/>
      </w:pPr>
      <w:r>
        <w:rPr/>
        <w:t xml:space="preserve">Существенное влияние на стабильность солей оказывает вид аниона. Проведенный анализ Аррениуса и аппроксимация кривых разложения на нормальные условия показали, что наибольшей стабильностью в хранении при нормальных условиях следует ожидать у трифлатных солей, до 90 лет в случае </w:t>
      </w:r>
      <w:r>
        <w:rPr>
          <w:color w:val="000000"/>
        </w:rPr>
        <w:t>трифлат 3-нитрофенилдиазония</w:t>
      </w:r>
      <w:r>
        <w:rPr/>
        <w:t>. В случае трифлата 4-нитрофенилдиазония по сравнению с его тозилатной и тетрафторборатной солью наблюдается значительное увеличение времени полураспада и уменьшение величины максимального теплового потока при нормальных условиях. Предположительно, влияние аниона связано с изменением вероятности протекания различных механизмов при разложении солей.</w:t>
      </w:r>
    </w:p>
    <w:p>
      <w:pPr>
        <w:pStyle w:val="Normal"/>
        <w:tabs>
          <w:tab w:val="center" w:pos="218" w:leader="none"/>
        </w:tabs>
        <w:rPr/>
      </w:pPr>
      <w:r>
        <w:rPr/>
        <w:t xml:space="preserve">По результатам </w:t>
      </w:r>
      <w:r>
        <w:rPr>
          <w:rFonts w:eastAsia="Times New Roman" w:cs="Times New Roman"/>
          <w:highlight w:val="green"/>
        </w:rPr>
        <w:t>изотермической</w:t>
      </w:r>
      <w:r>
        <w:rPr>
          <w:rFonts w:eastAsia="Times New Roman" w:cs="Times New Roman"/>
        </w:rPr>
        <w:t xml:space="preserve"> </w:t>
      </w:r>
      <w:r>
        <w:rPr/>
        <w:t>потоковой калориметрии изученные соединения разлагаются с тепловыми эффектами близкими к пороговому значению 800 Дж/г для безопасной транспортировки, по данным ЮНЕСКО [17]. В случае трифлата 2-нитрофенилдиазония выделяющаяся энергия -1300 Дж/г превышает допустимое значение.</w:t>
      </w:r>
    </w:p>
    <w:p>
      <w:pPr>
        <w:pStyle w:val="Normal"/>
        <w:tabs>
          <w:tab w:val="center" w:pos="218" w:leader="none"/>
        </w:tabs>
        <w:rPr/>
      </w:pPr>
      <w:r>
        <w:rPr/>
        <w:t xml:space="preserve">Эксперимент показал, что природа заместителя и его положение существенно влияют на кинетику разложения солей. Вероятно, это связано с электронным строением и стабильностью самого диазониевого катиона. В случае 2-нитрофенилдиазония  имеют место более сложные процессы связанные, вероятно, с перегруппировкой или иными побочными процессами после выделения молекулярного азота. Этот факт подтверждается существенным отличием в энергии активации для трифлата 2-нитрофенилдиазония от других изученных диазониевых солей, значительно более высоким энергетическим эффектом, а так  же отсутствием в продуктах реакции 2-нитрофенилтрифторметансульфоната по данным ГХ-МС. Очевидно, случай сульфоната 2-нитрофенилдиазония следует рассматривать в индивидуальном порядке. Наибольшим временем хранения при нормальных условиях наблюдается у пара- и мета-производного. </w:t>
      </w:r>
    </w:p>
    <w:p>
      <w:pPr>
        <w:pStyle w:val="Normal"/>
        <w:tabs>
          <w:tab w:val="center" w:pos="218" w:leader="none"/>
        </w:tabs>
        <w:rPr/>
      </w:pPr>
      <w:r>
        <w:rPr/>
        <w:t>GC-MS и LC-MS исследования продуктов разложения показали, что процесс идет как минимум двумя основными путями - образование эфиров с тозилат и трифлат анионом (фторидов, в случае тетрафторбората) и за счет образования промежуточных бензин-производных с их последующей полимеризацией.</w:t>
      </w:r>
    </w:p>
    <w:p>
      <w:pPr>
        <w:pStyle w:val="Normal"/>
        <w:tabs>
          <w:tab w:val="center" w:pos="218" w:leader="none"/>
        </w:tabs>
        <w:rPr/>
      </w:pPr>
      <w:r>
        <w:rPr/>
        <w:t xml:space="preserve">Квантово-химические расчеты удовлетворительно описывают энергетику процессов разложения, при условии адекватности механизма реакции и известных продуктах разложения. Энергетические эффекты для  сульфоната 2-нитрофенилдиазония почти в два раза превышают расчетные по механизму 3, что связано с преобладанием механизма 4, 5  разложения и образования полимерных продуктов. Очевидно, что для прогнозирования стабильности солей диазония необходимо более подробное экспериментальное и теоретическое изучение механизмов реакций протекающих при разложении. </w:t>
      </w:r>
    </w:p>
    <w:p>
      <w:pPr>
        <w:pStyle w:val="1"/>
        <w:numPr>
          <w:ilvl w:val="0"/>
          <w:numId w:val="2"/>
        </w:numPr>
        <w:ind w:left="0" w:firstLine="397"/>
        <w:rPr/>
      </w:pPr>
      <w:r>
        <w:rPr/>
        <w:t xml:space="preserve">  </w:t>
      </w:r>
      <w:r>
        <w:rPr/>
        <w:t>ASSOCIATED CONTENT</w:t>
      </w:r>
    </w:p>
    <w:p>
      <w:pPr>
        <w:pStyle w:val="1"/>
        <w:numPr>
          <w:ilvl w:val="0"/>
          <w:numId w:val="2"/>
        </w:numPr>
        <w:ind w:left="0" w:firstLine="397"/>
        <w:rPr/>
      </w:pPr>
      <w:r>
        <w:rPr/>
        <w:t xml:space="preserve">  </w:t>
      </w:r>
      <w:r>
        <w:rPr/>
        <w:t>AUTHOR INFORMATION</w:t>
      </w:r>
    </w:p>
    <w:p>
      <w:pPr>
        <w:pStyle w:val="1"/>
        <w:numPr>
          <w:ilvl w:val="0"/>
          <w:numId w:val="2"/>
        </w:numPr>
        <w:ind w:left="0" w:firstLine="397"/>
        <w:rPr/>
      </w:pPr>
      <w:r>
        <w:rPr/>
        <w:t xml:space="preserve">  </w:t>
      </w:r>
      <w:r>
        <w:rPr/>
        <w:t>ACKNOWLEDGMENTS</w:t>
      </w:r>
    </w:p>
    <w:p>
      <w:pPr>
        <w:pStyle w:val="1"/>
        <w:numPr>
          <w:ilvl w:val="0"/>
          <w:numId w:val="2"/>
        </w:numPr>
        <w:ind w:left="0" w:firstLine="397"/>
        <w:rPr/>
      </w:pPr>
      <w:r>
        <w:rPr/>
        <w:t xml:space="preserve">  </w:t>
      </w:r>
      <w:r>
        <w:rPr/>
        <w:t>REFERENCES (fINAL)</w:t>
      </w:r>
    </w:p>
    <w:p>
      <w:pPr>
        <w:pStyle w:val="Normal"/>
        <w:numPr>
          <w:ilvl w:val="0"/>
          <w:numId w:val="5"/>
        </w:numPr>
        <w:tabs>
          <w:tab w:val="center" w:pos="218" w:leader="none"/>
        </w:tabs>
        <w:spacing w:before="0" w:after="57"/>
        <w:ind w:left="0" w:firstLine="283"/>
        <w:rPr>
          <w:lang w:val="en-US"/>
        </w:rPr>
      </w:pPr>
      <w:r>
        <w:rPr>
          <w:rFonts w:cs="Times New Roman" w:ascii="FreeSerif" w:hAnsi="FreeSerif"/>
          <w:lang w:val="en-US"/>
        </w:rPr>
        <w:t xml:space="preserve">(a) Zollinger, H. </w:t>
      </w:r>
      <w:r>
        <w:rPr>
          <w:rFonts w:cs="Times New Roman" w:ascii="FreeSerif" w:hAnsi="FreeSerif"/>
          <w:i/>
          <w:iCs/>
          <w:lang w:val="en-US"/>
        </w:rPr>
        <w:t>Diazo Chemistry I: Aromatic and Heteroaromatic Compounds</w:t>
      </w:r>
      <w:r>
        <w:rPr>
          <w:rFonts w:cs="Times New Roman" w:ascii="FreeSerif" w:hAnsi="FreeSerif"/>
          <w:lang w:val="en-US"/>
        </w:rPr>
        <w:t xml:space="preserve">; VCH, Weinheim, </w:t>
      </w:r>
      <w:r>
        <w:rPr>
          <w:rFonts w:cs="Times New Roman" w:ascii="FreeSerif" w:hAnsi="FreeSerif"/>
          <w:b/>
          <w:bCs/>
          <w:lang w:val="en-US"/>
        </w:rPr>
        <w:t>1994</w:t>
      </w:r>
      <w:r>
        <w:rPr>
          <w:rFonts w:cs="Times New Roman" w:ascii="FreeSerif" w:hAnsi="FreeSerif"/>
          <w:lang w:val="en-US"/>
        </w:rPr>
        <w:t xml:space="preserve">. (b) Roglands, A.; Pla-Quintana, A.; Moreno-Manas M. </w:t>
      </w:r>
      <w:r>
        <w:rPr>
          <w:rFonts w:cs="Times New Roman" w:ascii="FreeSerif" w:hAnsi="FreeSerif"/>
          <w:i/>
          <w:iCs/>
          <w:lang w:val="en-US"/>
        </w:rPr>
        <w:t>Chem. Rev</w:t>
      </w:r>
      <w:r>
        <w:rPr>
          <w:rFonts w:cs="Times New Roman" w:ascii="FreeSerif" w:hAnsi="FreeSerif"/>
          <w:lang w:val="en-US"/>
        </w:rPr>
        <w:t xml:space="preserve">. </w:t>
      </w:r>
      <w:r>
        <w:rPr>
          <w:rFonts w:cs="Times New Roman" w:ascii="FreeSerif" w:hAnsi="FreeSerif"/>
          <w:b/>
          <w:bCs/>
          <w:lang w:val="en-US"/>
        </w:rPr>
        <w:t>2006</w:t>
      </w:r>
      <w:r>
        <w:rPr>
          <w:rFonts w:cs="Times New Roman" w:ascii="FreeSerif" w:hAnsi="FreeSerif"/>
          <w:lang w:val="en-US"/>
        </w:rPr>
        <w:t xml:space="preserve">, </w:t>
      </w:r>
      <w:r>
        <w:rPr>
          <w:rFonts w:cs="Times New Roman" w:ascii="FreeSerif" w:hAnsi="FreeSerif"/>
          <w:i/>
          <w:iCs/>
          <w:lang w:val="en-US"/>
        </w:rPr>
        <w:t>106</w:t>
      </w:r>
      <w:r>
        <w:rPr>
          <w:rFonts w:cs="Times New Roman" w:ascii="FreeSerif" w:hAnsi="FreeSerif"/>
          <w:lang w:val="en-US"/>
        </w:rPr>
        <w:t xml:space="preserve">, 4622. (c) Bonin H.; Fouquet, E.; Felpin, F.-X. </w:t>
      </w:r>
      <w:r>
        <w:rPr>
          <w:rFonts w:cs="Times New Roman" w:ascii="FreeSerif" w:hAnsi="FreeSerif"/>
          <w:i/>
          <w:iCs/>
          <w:lang w:val="en-US"/>
        </w:rPr>
        <w:t>Adv. Synth. Catal</w:t>
      </w:r>
      <w:r>
        <w:rPr>
          <w:rFonts w:cs="Times New Roman" w:ascii="FreeSerif" w:hAnsi="FreeSerif"/>
          <w:lang w:val="en-US"/>
        </w:rPr>
        <w:t xml:space="preserve">. </w:t>
      </w:r>
      <w:r>
        <w:rPr>
          <w:rFonts w:cs="Times New Roman" w:ascii="FreeSerif" w:hAnsi="FreeSerif"/>
          <w:b/>
          <w:bCs/>
          <w:lang w:val="en-US"/>
        </w:rPr>
        <w:t>2011</w:t>
      </w:r>
      <w:r>
        <w:rPr>
          <w:rFonts w:cs="Times New Roman" w:ascii="FreeSerif" w:hAnsi="FreeSerif"/>
          <w:lang w:val="en-US"/>
        </w:rPr>
        <w:t xml:space="preserve">, </w:t>
      </w:r>
      <w:r>
        <w:rPr>
          <w:rFonts w:cs="Times New Roman" w:ascii="FreeSerif" w:hAnsi="FreeSerif"/>
          <w:i/>
          <w:iCs/>
          <w:lang w:val="en-US"/>
        </w:rPr>
        <w:t>353</w:t>
      </w:r>
      <w:r>
        <w:rPr>
          <w:rFonts w:cs="Times New Roman" w:ascii="FreeSerif" w:hAnsi="FreeSerif"/>
          <w:lang w:val="en-US"/>
        </w:rPr>
        <w:t xml:space="preserve">, 3063. (d) Mo, F.; Dong, G.; Zhang, Y.; Wang, </w:t>
      </w:r>
      <w:r>
        <w:rPr>
          <w:rFonts w:cs="Times New Roman" w:ascii="FreeSerif" w:hAnsi="FreeSerif"/>
          <w:i/>
          <w:iCs/>
          <w:lang w:val="en-US"/>
        </w:rPr>
        <w:t>J. Org. Biomol. Chem</w:t>
      </w:r>
      <w:r>
        <w:rPr>
          <w:rFonts w:cs="Times New Roman" w:ascii="FreeSerif" w:hAnsi="FreeSerif"/>
          <w:lang w:val="en-US"/>
        </w:rPr>
        <w:t xml:space="preserve">. </w:t>
      </w:r>
      <w:r>
        <w:rPr>
          <w:rFonts w:cs="Times New Roman" w:ascii="FreeSerif" w:hAnsi="FreeSerif"/>
          <w:b/>
          <w:bCs/>
          <w:lang w:val="en-US"/>
        </w:rPr>
        <w:t>2013</w:t>
      </w:r>
      <w:r>
        <w:rPr>
          <w:rFonts w:cs="Times New Roman" w:ascii="FreeSerif" w:hAnsi="FreeSerif"/>
          <w:lang w:val="en-US"/>
        </w:rPr>
        <w:t xml:space="preserve">, </w:t>
      </w:r>
      <w:r>
        <w:rPr>
          <w:rFonts w:cs="Times New Roman" w:ascii="FreeSerif" w:hAnsi="FreeSerif"/>
          <w:i/>
          <w:iCs/>
          <w:lang w:val="en-US"/>
        </w:rPr>
        <w:t>11</w:t>
      </w:r>
      <w:r>
        <w:rPr>
          <w:rFonts w:cs="Times New Roman" w:ascii="FreeSerif" w:hAnsi="FreeSerif"/>
          <w:lang w:val="en-US"/>
        </w:rPr>
        <w:t xml:space="preserve">, 1582. (e) Kölmel, D. K.; Jung, N.; Bräse, S. </w:t>
      </w:r>
      <w:r>
        <w:rPr>
          <w:rFonts w:cs="Times New Roman" w:ascii="FreeSerif" w:hAnsi="FreeSerif"/>
          <w:i/>
          <w:iCs/>
          <w:lang w:val="en-US"/>
        </w:rPr>
        <w:t>Aust. J. Chem</w:t>
      </w:r>
      <w:r>
        <w:rPr>
          <w:rFonts w:cs="Times New Roman" w:ascii="FreeSerif" w:hAnsi="FreeSerif"/>
          <w:lang w:val="en-US"/>
        </w:rPr>
        <w:t xml:space="preserve">. </w:t>
      </w:r>
      <w:r>
        <w:rPr>
          <w:rFonts w:cs="Times New Roman" w:ascii="FreeSerif" w:hAnsi="FreeSerif"/>
          <w:b/>
          <w:bCs/>
          <w:lang w:val="en-US"/>
        </w:rPr>
        <w:t>2014</w:t>
      </w:r>
      <w:r>
        <w:rPr>
          <w:rFonts w:cs="Times New Roman" w:ascii="FreeSerif" w:hAnsi="FreeSerif"/>
          <w:lang w:val="en-US"/>
        </w:rPr>
        <w:t xml:space="preserve">, </w:t>
      </w:r>
      <w:r>
        <w:rPr>
          <w:rFonts w:cs="Times New Roman" w:ascii="FreeSerif" w:hAnsi="FreeSerif"/>
          <w:i/>
          <w:iCs/>
          <w:lang w:val="en-US"/>
        </w:rPr>
        <w:t>67</w:t>
      </w:r>
      <w:r>
        <w:rPr>
          <w:rFonts w:cs="Times New Roman" w:ascii="FreeSerif" w:hAnsi="FreeSerif"/>
          <w:lang w:val="en-US"/>
        </w:rPr>
        <w:t xml:space="preserve">, 328. (f) Deadman, B. J.; Collins, S.G.; Maguire, A. R. </w:t>
      </w:r>
      <w:r>
        <w:rPr>
          <w:rFonts w:cs="Times New Roman" w:ascii="FreeSerif" w:hAnsi="FreeSerif"/>
          <w:i/>
          <w:iCs/>
          <w:lang w:val="en-US"/>
        </w:rPr>
        <w:t>Chem. Eur. J.</w:t>
      </w:r>
      <w:r>
        <w:rPr>
          <w:rFonts w:cs="Times New Roman" w:ascii="FreeSerif" w:hAnsi="FreeSerif"/>
          <w:lang w:val="en-US"/>
        </w:rPr>
        <w:t xml:space="preserve"> </w:t>
      </w:r>
      <w:r>
        <w:rPr>
          <w:rFonts w:cs="Times New Roman" w:ascii="FreeSerif" w:hAnsi="FreeSerif"/>
          <w:b/>
          <w:bCs/>
          <w:lang w:val="en-US"/>
        </w:rPr>
        <w:t>2015</w:t>
      </w:r>
      <w:r>
        <w:rPr>
          <w:rFonts w:cs="Times New Roman" w:ascii="FreeSerif" w:hAnsi="FreeSerif"/>
          <w:lang w:val="en-US"/>
        </w:rPr>
        <w:t xml:space="preserve">, </w:t>
      </w:r>
      <w:r>
        <w:rPr>
          <w:rFonts w:cs="Times New Roman" w:ascii="FreeSerif" w:hAnsi="FreeSerif"/>
          <w:i/>
          <w:iCs/>
          <w:lang w:val="en-US"/>
        </w:rPr>
        <w:t>21</w:t>
      </w:r>
      <w:r>
        <w:rPr>
          <w:rFonts w:cs="Times New Roman" w:ascii="FreeSerif" w:hAnsi="FreeSerif"/>
          <w:lang w:val="en-US"/>
        </w:rPr>
        <w:t>, 2298.</w:t>
      </w:r>
    </w:p>
    <w:p>
      <w:pPr>
        <w:pStyle w:val="Style20"/>
        <w:numPr>
          <w:ilvl w:val="0"/>
          <w:numId w:val="5"/>
        </w:numPr>
        <w:tabs>
          <w:tab w:val="center" w:pos="218" w:leader="none"/>
        </w:tabs>
        <w:spacing w:lineRule="auto" w:line="312" w:before="0" w:after="57"/>
        <w:ind w:left="0" w:firstLine="283"/>
        <w:rPr/>
      </w:pPr>
      <w:r>
        <w:rPr>
          <w:rFonts w:cs="Times New Roman" w:ascii="FreeSerif" w:hAnsi="FreeSerif"/>
          <w:lang w:val="en-US"/>
        </w:rPr>
        <w:t xml:space="preserve">Mahouche-Chergui, S.; Gam-Derouich, S.; Manganey, C.; Chehimi, M. M. </w:t>
      </w:r>
      <w:r>
        <w:rPr>
          <w:rFonts w:cs="Times New Roman" w:ascii="FreeSerif" w:hAnsi="FreeSerif"/>
          <w:i/>
          <w:iCs/>
          <w:lang w:val="en-US"/>
        </w:rPr>
        <w:t>Chem. Soc. Rev.</w:t>
      </w:r>
      <w:r>
        <w:rPr>
          <w:rFonts w:cs="Times New Roman" w:ascii="FreeSerif" w:hAnsi="FreeSerif"/>
          <w:lang w:val="en-US"/>
        </w:rPr>
        <w:t xml:space="preserve"> </w:t>
      </w:r>
      <w:r>
        <w:rPr>
          <w:rFonts w:cs="Times New Roman" w:ascii="FreeSerif" w:hAnsi="FreeSerif"/>
          <w:b/>
          <w:bCs/>
          <w:lang w:val="en-US"/>
        </w:rPr>
        <w:t>2011</w:t>
      </w:r>
      <w:r>
        <w:rPr>
          <w:rFonts w:cs="Times New Roman" w:ascii="FreeSerif" w:hAnsi="FreeSerif"/>
          <w:lang w:val="en-US"/>
        </w:rPr>
        <w:t xml:space="preserve">, </w:t>
      </w:r>
      <w:r>
        <w:rPr>
          <w:rFonts w:cs="Times New Roman" w:ascii="FreeSerif" w:hAnsi="FreeSerif"/>
          <w:i/>
          <w:iCs/>
          <w:lang w:val="en-US"/>
        </w:rPr>
        <w:t>40</w:t>
      </w:r>
      <w:r>
        <w:rPr>
          <w:rFonts w:cs="Times New Roman" w:ascii="FreeSerif" w:hAnsi="FreeSerif"/>
          <w:lang w:val="en-US"/>
        </w:rPr>
        <w:t>, 4143.</w:t>
      </w:r>
    </w:p>
    <w:p>
      <w:pPr>
        <w:pStyle w:val="Normal"/>
        <w:numPr>
          <w:ilvl w:val="0"/>
          <w:numId w:val="5"/>
        </w:numPr>
        <w:tabs>
          <w:tab w:val="center" w:pos="218" w:leader="none"/>
        </w:tabs>
        <w:spacing w:before="0" w:after="57"/>
        <w:ind w:left="0" w:firstLine="283"/>
        <w:rPr/>
      </w:pPr>
      <w:r>
        <w:rPr>
          <w:rFonts w:eastAsia="Times New Roman" w:cs="Times New Roman" w:ascii="FreeSerif" w:hAnsi="FreeSerif"/>
        </w:rPr>
        <w:t xml:space="preserve">(a) Filimonov V. D., Trusova M.E., Postnikov P.S., Krasnokutskaya E.A., Lee Y.M., Hwang H.Y., Kim H., Ki-Whan Chi. </w:t>
      </w:r>
      <w:r>
        <w:rPr>
          <w:rFonts w:eastAsia="Times New Roman" w:cs="Times New Roman" w:ascii="FreeSerif" w:hAnsi="FreeSerif"/>
          <w:lang w:val="en-US"/>
        </w:rPr>
        <w:t xml:space="preserve">Unusually Stable, Versatile, and Pure Arenediazonium Tosylates: their Preparation, Structures, and Synthetic Applicability. Org. Lett., 2008, 10, 3961-3964. (b)  V.D. Filimonov, E.A. Krasnokutskaya, A.Zh. Kassanova, V.A. Fedorova, K.S. Stankevich, N.G. Naumov, A.A. Bondarev, V.A. Kataeva. Synthesis, structure, and synthetic potential of arenediazonium trifluoromethanesulfonates as stable and safe diazonium salts. Eur. J. Org. Chem. 2018,  </w:t>
      </w:r>
      <w:hyperlink r:id="rId28">
        <w:r>
          <w:rPr>
            <w:rStyle w:val="Style13"/>
            <w:rFonts w:eastAsia="Times New Roman" w:cs="Times New Roman" w:ascii="FreeSerif" w:hAnsi="FreeSerif"/>
            <w:color w:val="0000FF"/>
            <w:lang w:val="en-US"/>
          </w:rPr>
          <w:t>https://doi.org/10.1002/ejoc.201800887</w:t>
        </w:r>
      </w:hyperlink>
    </w:p>
    <w:p>
      <w:pPr>
        <w:pStyle w:val="Normal"/>
        <w:numPr>
          <w:ilvl w:val="0"/>
          <w:numId w:val="5"/>
        </w:numPr>
        <w:tabs>
          <w:tab w:val="center" w:pos="218" w:leader="none"/>
        </w:tabs>
        <w:spacing w:before="0" w:after="57"/>
        <w:ind w:left="0" w:firstLine="283"/>
        <w:rPr/>
      </w:pPr>
      <w:r>
        <w:rPr>
          <w:rFonts w:eastAsia="Times New Roman" w:cs="Times New Roman" w:ascii="FreeSerif" w:hAnsi="FreeSerif"/>
          <w:lang w:val="en-US"/>
        </w:rPr>
        <w:t xml:space="preserve">(a) Krasnokutskaya E.A., Semenischeva N.I., Filimonov V.D., Knochel P. Synthesis, 2007, 81. (b) Filimonov V.D., Semenischeva N.I., Krasnokutskaya E.A., Tretyakov A.N., Hwang H.Y., Chi K.-W. Sulfonic Acid Based Cation-Exchange Resin: A Novel Proton Source for One-Pot Diazotization-Iodination of Aromatic Amines in Water. Synthesis, 2008, 185-187. (c) Gorlushko D.A., Filimonov V.D., Krasnokutskaya E.A., Semenischeva N.I., Go B.S., Hwang H.Y., Chi K-W.  Iodination of aryl amines in a water-paste form via stable aryl diazonium tosylates. Tetrahedron Lett., 2008, 49, 1080-1082. (d) Lee Y.M., Moon M.E., Vajpayee V., Filimonov V.D., Chi K.-W. Efficient and economic halogenation of aryl amines via arenediazonium tosylate salts. Tetrahedron, 2010, 66, 7418-7422. (e) Moon M.E., Choi Y., Lee Y.M., Vajpayee V., Trusova M.E., Filimonov V.D., Chi K.-W.. An expeditious and environmentally benign preparation of aryl halides from aryl amines by solvent-free grinding. Tetrahedron Lett., 2010, 51, 6769–6771. (f)  Trusova M.E., Krasnokutskaya E.A. Postnikov, P.S., Choi Y.; Chi,  Ki-Whan, Filimonov V.D., A Green Procedure for the Diazotization–Iodination of Aromatic Amines under Aqueous, Strong-Acid-Free Conditions. Synthesis, 2011, 2154-2158. (g) Kutonova, K.V.; Trusova, M.E.; Postnikov, P.S.; Filimonov, V.D.; Parello, J. A Simple and Effective Synthesis of Aryl Azides via Arenediazonium Tosylates. Synthesis. 2013, 45, 2706-2710. (h) Kutonova, K. S.; Trusova, M. E.; Stankevich, A. V.; Postnikov, P. S.; Filimonov, V. D. Matsuda-Heck reaction with arenediazonium tosylates in water. Beilstein J. Org. Chem. 2015, 11, 358-362. (i) Kutonova K.V., Jung N., Trusova M.E., Filimonov V.D., Postnikov P.S., Brase S. Arenediazonium Tosylates (ADTs) as Efficient Reagents for Suzuki-Miyaura Cross-Coupling in Neat Water. Synthesis 2017, 49, 1680-1688. (j) Vajpayee, V.; Song, Y. H.; Ahn, J. S.; Chi, K.-W. Bull. </w:t>
      </w:r>
      <w:r>
        <w:rPr>
          <w:rFonts w:eastAsia="Times New Roman" w:cs="Times New Roman" w:ascii="FreeSerif" w:hAnsi="FreeSerif"/>
        </w:rPr>
        <w:t>Korean Chem. Soc. 2011, 32, 2970.</w:t>
      </w:r>
    </w:p>
    <w:p>
      <w:pPr>
        <w:pStyle w:val="Normal"/>
        <w:numPr>
          <w:ilvl w:val="0"/>
          <w:numId w:val="5"/>
        </w:numPr>
        <w:tabs>
          <w:tab w:val="center" w:pos="218" w:leader="none"/>
        </w:tabs>
        <w:spacing w:before="0" w:after="57"/>
        <w:ind w:left="0" w:firstLine="283"/>
        <w:rPr/>
      </w:pPr>
      <w:r>
        <w:rPr>
          <w:rFonts w:eastAsia="Times New Roman" w:cs="Times New Roman" w:ascii="FreeSerif" w:hAnsi="FreeSerif"/>
          <w:lang w:val="en-US"/>
        </w:rPr>
        <w:t xml:space="preserve">(a) Riss, P. J.; Kuschel, S.; Aigbirhio, F. I. </w:t>
      </w:r>
      <w:r>
        <w:rPr>
          <w:rFonts w:eastAsia="Times New Roman" w:cs="Times New Roman" w:ascii="FreeSerif" w:hAnsi="FreeSerif"/>
          <w:color w:val="FF0000"/>
          <w:lang w:val="en-US"/>
        </w:rPr>
        <w:t>title</w:t>
      </w:r>
      <w:r>
        <w:rPr>
          <w:rFonts w:eastAsia="Times New Roman" w:cs="Times New Roman" w:ascii="FreeSerif" w:hAnsi="FreeSerif"/>
          <w:lang w:val="en-US"/>
        </w:rPr>
        <w:t xml:space="preserve"> Tetrahedron Lett. 2012, 53, 1717. (b)  Velikorodov, A. V.; Ionova, V. A.; Temirbulatova, S. I.; Suvorova, M. A. </w:t>
      </w:r>
      <w:r>
        <w:rPr>
          <w:rFonts w:eastAsia="Times New Roman" w:cs="Times New Roman" w:ascii="FreeSerif" w:hAnsi="FreeSerif"/>
          <w:color w:val="FF0000"/>
          <w:lang w:val="en-US"/>
        </w:rPr>
        <w:t>title</w:t>
      </w:r>
      <w:r>
        <w:rPr>
          <w:rFonts w:eastAsia="Times New Roman" w:cs="Times New Roman" w:ascii="FreeSerif" w:hAnsi="FreeSerif"/>
          <w:lang w:val="en-US"/>
        </w:rPr>
        <w:t xml:space="preserve"> Rus. J. Org. Chem. 2013, 49, 1004. (c) Tang, Z. Y.; Zhang, Y.; Wang, T.; Wang, W. </w:t>
      </w:r>
      <w:r>
        <w:rPr>
          <w:rFonts w:eastAsia="Times New Roman" w:cs="Times New Roman" w:ascii="FreeSerif" w:hAnsi="FreeSerif"/>
          <w:color w:val="FF0000"/>
          <w:lang w:val="en-US"/>
        </w:rPr>
        <w:t>title</w:t>
      </w:r>
      <w:r>
        <w:rPr>
          <w:rFonts w:eastAsia="Times New Roman" w:cs="Times New Roman" w:ascii="FreeSerif" w:hAnsi="FreeSerif"/>
          <w:lang w:val="en-US"/>
        </w:rPr>
        <w:t xml:space="preserve"> Synlett. 2010, 804. (d) PostnikovP.S., M. E. Trusova, T. A. Fedushchak, M. A. Uimin, A. E. Ermakov, V. D. Filimonov Aryldiazonium Tosylates as New Efficient Agents for Covalent Grafting of Aromatic Groups on Carbon Coatings of Metal Nanoparticles. Nanotechnologies in Russia. 2010, 5, 446-449 (e) Min, M.; Seo, S.; Lee, J.; Lee, S. M.; Hwang, E.; Lee, H. Chem. </w:t>
      </w:r>
      <w:r>
        <w:rPr>
          <w:rFonts w:eastAsia="Times New Roman" w:cs="Times New Roman" w:ascii="FreeSerif" w:hAnsi="FreeSerif"/>
        </w:rPr>
        <w:t xml:space="preserve">Commun. </w:t>
      </w:r>
      <w:r>
        <w:rPr>
          <w:rFonts w:eastAsia="Times New Roman" w:cs="Times New Roman" w:ascii="FreeSerif" w:hAnsi="FreeSerif"/>
          <w:color w:val="FF0000"/>
        </w:rPr>
        <w:t>title</w:t>
      </w:r>
      <w:r>
        <w:rPr>
          <w:rFonts w:eastAsia="Times New Roman" w:cs="Times New Roman" w:ascii="FreeSerif" w:hAnsi="FreeSerif"/>
        </w:rPr>
        <w:t xml:space="preserve"> 2013, 49, 6289.</w:t>
      </w:r>
    </w:p>
    <w:p>
      <w:pPr>
        <w:pStyle w:val="Normal"/>
        <w:numPr>
          <w:ilvl w:val="0"/>
          <w:numId w:val="5"/>
        </w:numPr>
        <w:tabs>
          <w:tab w:val="center" w:pos="218" w:leader="none"/>
        </w:tabs>
        <w:spacing w:before="0" w:after="57"/>
        <w:ind w:left="0" w:firstLine="283"/>
        <w:rPr/>
      </w:pPr>
      <w:hyperlink r:id="rId29">
        <w:r>
          <w:rPr>
            <w:rStyle w:val="Style13"/>
            <w:rFonts w:eastAsia="Calibri" w:cs="Calibri" w:ascii="FreeSerif" w:hAnsi="FreeSerif"/>
            <w:color w:val="0000FF"/>
          </w:rPr>
          <w:t>http://www.unece.org/trans/danger/danger.html</w:t>
        </w:r>
      </w:hyperlink>
    </w:p>
    <w:p>
      <w:pPr>
        <w:pStyle w:val="Normal"/>
        <w:numPr>
          <w:ilvl w:val="0"/>
          <w:numId w:val="5"/>
        </w:numPr>
        <w:tabs>
          <w:tab w:val="center" w:pos="218" w:leader="none"/>
        </w:tabs>
        <w:spacing w:before="0" w:after="57"/>
        <w:ind w:left="0" w:firstLine="283"/>
        <w:rPr/>
      </w:pPr>
      <w:r>
        <w:rPr>
          <w:rFonts w:eastAsia="Times New Roman" w:cs="Times New Roman" w:ascii="FreeSerif" w:hAnsi="FreeSerif"/>
          <w:lang w:val="en-US"/>
        </w:rPr>
        <w:t xml:space="preserve">(a) R. Ullrich, Th. Grewer, Decomposition of aromatic diazonium compounds, Thermochim. Acta, 1993, 225, 201-211, (b) L.L. Brown, J.S. Drury, Nitrogen Isotope Effects in the Decomposition of Diazonium Salts, J. Chem. Phys. 1965, 43, </w:t>
      </w:r>
      <w:r>
        <w:rPr>
          <w:rFonts w:eastAsia="Times New Roman" w:cs="Times New Roman" w:ascii="FreeSerif" w:hAnsi="FreeSerif"/>
          <w:color w:val="FF0000"/>
          <w:lang w:val="en-US"/>
        </w:rPr>
        <w:t>??</w:t>
      </w:r>
      <w:r>
        <w:rPr>
          <w:rFonts w:eastAsia="Times New Roman" w:cs="Times New Roman" w:ascii="FreeSerif" w:hAnsi="FreeSerif"/>
          <w:lang w:val="en-US"/>
        </w:rPr>
        <w:t xml:space="preserve">. (c) P.D. Storey, Calorimetric Studies of the Thermal Explosion Properties of Aromatic Diazonium Salts, Institution. Chem. Eng. Symposium Series 1981, </w:t>
      </w:r>
      <w:r>
        <w:rPr>
          <w:rFonts w:eastAsia="Times New Roman" w:cs="Times New Roman" w:ascii="FreeSerif" w:hAnsi="FreeSerif"/>
          <w:color w:val="FF0000"/>
          <w:lang w:val="en-US"/>
        </w:rPr>
        <w:t>No. 68. P. 1-3. P. 9</w:t>
      </w:r>
    </w:p>
    <w:p>
      <w:pPr>
        <w:pStyle w:val="Normal"/>
        <w:numPr>
          <w:ilvl w:val="0"/>
          <w:numId w:val="5"/>
        </w:numPr>
        <w:tabs>
          <w:tab w:val="center" w:pos="218" w:leader="none"/>
        </w:tabs>
        <w:spacing w:before="0" w:after="57"/>
        <w:ind w:left="0" w:firstLine="283"/>
        <w:rPr>
          <w:highlight w:val="yellow"/>
        </w:rPr>
      </w:pPr>
      <w:r>
        <w:rPr>
          <w:highlight w:val="yellow"/>
          <w:lang w:val="en-US"/>
        </w:rPr>
        <w:t xml:space="preserve">P. Guillaume, M. Rat, S. Wilker, G. Pantel, Microcalorimetric and Chemical Studies of Propellants Proc. </w:t>
      </w:r>
      <w:r>
        <w:rPr>
          <w:highlight w:val="yellow"/>
        </w:rPr>
        <w:t>Int Annu. Conf. ICT 29, 133 (1998).</w:t>
      </w:r>
    </w:p>
    <w:p>
      <w:pPr>
        <w:pStyle w:val="Normal"/>
        <w:numPr>
          <w:ilvl w:val="0"/>
          <w:numId w:val="5"/>
        </w:numPr>
        <w:tabs>
          <w:tab w:val="center" w:pos="218" w:leader="none"/>
        </w:tabs>
        <w:spacing w:before="0" w:after="57"/>
        <w:ind w:left="0" w:firstLine="283"/>
        <w:rPr/>
      </w:pPr>
      <w:r>
        <w:rPr>
          <w:rFonts w:eastAsia="Times New Roman" w:cs="Times New Roman" w:ascii="FreeSerif" w:hAnsi="FreeSerif"/>
          <w:highlight w:val="yellow"/>
          <w:lang w:val="en-US"/>
        </w:rPr>
        <w:t xml:space="preserve">(a) Williams, T. and Kelley, C. (2011). Gnuplot 4.5: an interactive plotting program. URL http://gnuplot.info. (Last accessed: 2011 June 7) (b) R Core Team (2017). R: A language and environment for statistical computing. R Foundation for Statistical / Computing, Vienna, Austria. URL </w:t>
      </w:r>
      <w:hyperlink r:id="rId30">
        <w:r>
          <w:rPr>
            <w:rStyle w:val="Style13"/>
            <w:rFonts w:eastAsia="Times New Roman" w:cs="Times New Roman" w:ascii="FreeSerif" w:hAnsi="FreeSerif"/>
            <w:color w:val="00000A"/>
            <w:highlight w:val="yellow"/>
            <w:lang w:val="en-US"/>
          </w:rPr>
          <w:t>https://www.R-project.org/</w:t>
        </w:r>
      </w:hyperlink>
    </w:p>
    <w:p>
      <w:pPr>
        <w:pStyle w:val="Normal"/>
        <w:numPr>
          <w:ilvl w:val="0"/>
          <w:numId w:val="5"/>
        </w:numPr>
        <w:tabs>
          <w:tab w:val="center" w:pos="218" w:leader="none"/>
        </w:tabs>
        <w:spacing w:before="0" w:after="57"/>
        <w:ind w:left="0" w:firstLine="283"/>
        <w:rPr>
          <w:rFonts w:ascii="FreeSerif" w:hAnsi="FreeSerif" w:eastAsia="Times New Roman" w:cs="Times New Roman"/>
          <w:highlight w:val="yellow"/>
          <w:lang w:val="en-US"/>
        </w:rPr>
      </w:pPr>
      <w:r>
        <w:rPr>
          <w:rFonts w:eastAsia="Times New Roman" w:cs="Times New Roman" w:ascii="FreeSerif" w:hAnsi="FreeSerif"/>
          <w:highlight w:val="yellow"/>
          <w:lang w:val="en-US"/>
        </w:rPr>
        <w:t xml:space="preserve"> </w:t>
      </w:r>
      <w:r>
        <w:rPr>
          <w:rFonts w:eastAsia="Times New Roman" w:cs="Times New Roman" w:ascii="FreeSerif" w:hAnsi="FreeSerif"/>
          <w:highlight w:val="yellow"/>
          <w:lang w:val="en-US"/>
        </w:rPr>
        <w:t>(a) Sturm et al., BMC Bioinformatics (2008), 9, 163, (b) Kohlbacher et al., Bioinformatics (2008), 23:e191-e197</w:t>
      </w:r>
    </w:p>
    <w:p>
      <w:pPr>
        <w:pStyle w:val="Normal"/>
        <w:numPr>
          <w:ilvl w:val="0"/>
          <w:numId w:val="5"/>
        </w:numPr>
        <w:tabs>
          <w:tab w:val="center" w:pos="218" w:leader="none"/>
        </w:tabs>
        <w:spacing w:before="0" w:after="57"/>
        <w:ind w:left="0" w:firstLine="283"/>
        <w:rPr>
          <w:rFonts w:ascii="FreeSerif" w:hAnsi="FreeSerif" w:eastAsia="Times New Roman" w:cs="Times New Roman"/>
          <w:highlight w:val="yellow"/>
          <w:lang w:val="en-US"/>
        </w:rPr>
      </w:pPr>
      <w:r>
        <w:rPr>
          <w:rFonts w:eastAsia="Times New Roman" w:cs="Times New Roman" w:ascii="FreeSerif" w:hAnsi="FreeSerif"/>
          <w:highlight w:val="yellow"/>
          <w:lang w:val="en-US"/>
        </w:rPr>
        <w:t xml:space="preserve"> </w:t>
      </w:r>
      <w:r>
        <w:rPr>
          <w:rFonts w:eastAsia="Times New Roman" w:cs="Times New Roman" w:ascii="FreeSerif" w:hAnsi="FreeSerif"/>
          <w:highlight w:val="yellow"/>
          <w:lang w:val="en-US"/>
        </w:rPr>
        <w:t>Gaussian 09, Revision A.02, M. J. Frisch, G. W. Trucks, H. B. Schlegel, G. E. Scuseria, M. A. Robb, J. R. Cheeseman, G. Scalmani, V. Barone, G. A. Petersson, H. Nakatsuji, X. Li, M. Caricato, A. Marenich, J. Bloino, B. G. Janesko, R. Gomperts, B. Mennucci, H. P. Hratchian, J. V. Ortiz, A. F. Izmaylov, J. L. Sonnenberg, D. Williams-Young, F. Ding, F. Lipparini, F. Egidi, J. Goings, B. Peng, A. Petrone, T. Henderson, D. Ranasinghe, V. G. Zakrzewski, J. Gao, N. Rega, G. Zheng, W. Liang, M. Hada, M. Ehara, K. Toyota, R. Fukuda, J. Hasegawa, M. Ishida, T. Nakajima, Y. Honda, O. Kitao, H. Nakai, T. Vreven, K. Throssell, J. A. Montgomery, Jr., J. E. Peralta, F. Ogliaro, M. Bearpark, J. J. Heyd, E. Brothers, K. N. Kudin, V. N. Staroverov, T. Keith, R. Kobayashi, J. Normand, K. Raghavachari, A. Rendell, J. C. Burant, S. S. Iyengar, J. Tomasi, M. Cossi, J. M. Millam, M. Klene, C. Adamo, R. Cammi, J. W. Ochterski, R. L. Martin, K. Morokuma, O. Farkas, J. B. Foresman, and D. J. Fox, Gaussian, Inc., Wallingford CT, 2016.</w:t>
      </w:r>
    </w:p>
    <w:p>
      <w:pPr>
        <w:pStyle w:val="Normal"/>
        <w:numPr>
          <w:ilvl w:val="0"/>
          <w:numId w:val="5"/>
        </w:numPr>
        <w:tabs>
          <w:tab w:val="center" w:pos="218" w:leader="none"/>
        </w:tabs>
        <w:spacing w:before="0" w:after="57"/>
        <w:ind w:left="0" w:firstLine="283"/>
        <w:rPr>
          <w:rFonts w:ascii="FreeSerif" w:hAnsi="FreeSerif" w:eastAsia="Times New Roman" w:cs="Times New Roman"/>
          <w:highlight w:val="yellow"/>
          <w:lang w:val="en-US"/>
        </w:rPr>
      </w:pPr>
      <w:r>
        <w:rPr>
          <w:rFonts w:eastAsia="Times New Roman" w:cs="Times New Roman" w:ascii="FreeSerif" w:hAnsi="FreeSerif"/>
          <w:highlight w:val="yellow"/>
          <w:lang w:val="en-US"/>
        </w:rPr>
        <w:t xml:space="preserve"> </w:t>
      </w:r>
      <w:r>
        <w:rPr>
          <w:rFonts w:eastAsia="Times New Roman" w:cs="Times New Roman" w:ascii="FreeSerif" w:hAnsi="FreeSerif"/>
          <w:highlight w:val="yellow"/>
          <w:lang w:val="en-US"/>
        </w:rPr>
        <w:t xml:space="preserve">(a) </w:t>
      </w:r>
      <w:r>
        <w:rPr>
          <w:rStyle w:val="Style18"/>
          <w:rFonts w:eastAsia="Times New Roman" w:cs="Times New Roman" w:ascii="FreeSerif" w:hAnsi="FreeSerif"/>
          <w:i w:val="false"/>
          <w:iCs w:val="false"/>
          <w:highlight w:val="yellow"/>
          <w:lang w:val="en-US"/>
        </w:rPr>
        <w:t>Fletcher, Roger (1987), Practical methods of optimization (2nd ed.), New York: John Wiley &amp; Sons, ISBN 978-0-471-91547-8, (b) Alexander Bondarev. Deconvolution-Kinetic. Zenodo November 7, 2018, p. DOI: 10.5281/zenodo.1478946</w:t>
      </w:r>
    </w:p>
    <w:p>
      <w:pPr>
        <w:pStyle w:val="3"/>
        <w:numPr>
          <w:ilvl w:val="2"/>
          <w:numId w:val="3"/>
        </w:numPr>
        <w:ind w:left="0" w:firstLine="567"/>
        <w:rPr>
          <w:lang w:val="en-US"/>
        </w:rPr>
      </w:pPr>
      <w:r>
        <w:rPr>
          <w:lang w:val="en-US"/>
        </w:rPr>
      </w:r>
      <w:r>
        <w:br w:type="page"/>
      </w:r>
    </w:p>
    <w:p>
      <w:pPr>
        <w:pStyle w:val="1"/>
        <w:numPr>
          <w:ilvl w:val="0"/>
          <w:numId w:val="2"/>
        </w:numPr>
        <w:ind w:left="0" w:firstLine="397"/>
        <w:rPr/>
      </w:pPr>
      <w:r>
        <w:rPr/>
        <w:t>Supporting</w:t>
      </w:r>
    </w:p>
    <w:p>
      <w:pPr>
        <w:pStyle w:val="Normal"/>
        <w:tabs>
          <w:tab w:val="left" w:pos="225" w:leader="none"/>
          <w:tab w:val="left" w:pos="510" w:leader="none"/>
        </w:tabs>
        <w:spacing w:before="0" w:after="113"/>
        <w:ind w:left="720" w:hanging="0"/>
        <w:jc w:val="center"/>
        <w:rPr>
          <w:b/>
          <w:b/>
          <w:bCs/>
        </w:rPr>
      </w:pPr>
      <w:r>
        <w:rPr>
          <w:b/>
          <w:bCs/>
        </w:rPr>
        <w:t>Приложение 1s. Результаты моделирования и деконволюции экспериментальных кинетических кривых теплового потока в изотермических условиях</w:t>
      </w:r>
    </w:p>
    <w:p>
      <w:pPr>
        <w:pStyle w:val="Normal"/>
        <w:tabs>
          <w:tab w:val="center" w:pos="218" w:leader="none"/>
        </w:tabs>
        <w:rPr/>
      </w:pPr>
      <w:r>
        <w:rPr>
          <w:color w:val="000000"/>
        </w:rPr>
        <w:t xml:space="preserve">Исходные экспериментальные зависимости теплового потока от времени представлены в файлах - </w:t>
      </w:r>
      <w:r>
        <w:rPr>
          <w:i/>
          <w:iCs/>
          <w:color w:val="000000"/>
          <w:u w:val="single"/>
        </w:rPr>
        <w:t>Supporting/Flow-Calorimetry/Main-Experiment/Source</w:t>
      </w:r>
      <w:r>
        <w:rPr>
          <w:color w:val="000000"/>
        </w:rPr>
        <w:t xml:space="preserve">, результаты моделирования одним автокаталитическим процессом в каталоге - </w:t>
      </w:r>
      <w:r>
        <w:rPr>
          <w:i/>
          <w:iCs/>
          <w:color w:val="000000"/>
          <w:u w:val="single"/>
        </w:rPr>
        <w:t>Supporting/Flow-Calorimetry/Main-Experiment/pdf</w:t>
      </w:r>
      <w:r>
        <w:rPr>
          <w:color w:val="000000"/>
        </w:rPr>
        <w:t xml:space="preserve">. Результаты статистическая обработки и оценки воспроизводимости в каталоге -  </w:t>
      </w:r>
      <w:r>
        <w:rPr>
          <w:i/>
          <w:iCs/>
          <w:color w:val="000000"/>
          <w:u w:val="single"/>
        </w:rPr>
        <w:t>Supporting/Flow-Calorimetry/Stat</w:t>
      </w:r>
      <w:r>
        <w:rPr>
          <w:color w:val="000000"/>
        </w:rPr>
        <w:t>.</w:t>
      </w:r>
    </w:p>
    <w:p>
      <w:pPr>
        <w:pStyle w:val="Normal"/>
        <w:tabs>
          <w:tab w:val="center" w:pos="218" w:leader="none"/>
        </w:tabs>
        <w:rPr/>
      </w:pPr>
      <w:r>
        <w:rPr>
          <w:color w:val="000000"/>
        </w:rPr>
        <w:t>Деконволюцию проводили путем компьютерного моделирования комбинаций двух независимых и двух последовательных автокаталитических реакций при варьировании величин тепловых эффектов и кинетических параметров с минимизацией среднеквадратичного отклонения от экспериментальной кривой с помощью алгоритма Broyden–Fletcher–Goldfarb–Shanno (BFGS) [12a] реализованный в  разработанной нами компьютерной программы [12b] и системы статистического анализа и обработки R statistics [9b]. Исходные значения для первого приближения были взяты из данных ДСК-ТГА, для эндотермической реакции.</w:t>
      </w:r>
      <w:r>
        <w:rPr/>
        <w:t xml:space="preserve"> На рисунке 1s.1-6 приведены результаты деконволюции.  </w:t>
      </w:r>
    </w:p>
    <w:p>
      <w:pPr>
        <w:pStyle w:val="Normal"/>
        <w:spacing w:lineRule="auto" w:line="240"/>
        <w:ind w:hanging="0"/>
        <w:jc w:val="center"/>
        <w:rPr>
          <w:sz w:val="12"/>
          <w:szCs w:val="12"/>
        </w:rPr>
      </w:pPr>
      <w:r>
        <w:rPr>
          <w:sz w:val="12"/>
          <w:szCs w:val="12"/>
        </w:rPr>
      </w:r>
    </w:p>
    <w:p>
      <w:pPr>
        <w:pStyle w:val="Normal"/>
        <w:ind w:hanging="0"/>
        <w:jc w:val="center"/>
        <w:rPr/>
      </w:pPr>
      <w:r>
        <w:rPr/>
        <w:drawing>
          <wp:inline distT="0" distB="0" distL="0" distR="0">
            <wp:extent cx="4411345" cy="4009390"/>
            <wp:effectExtent l="0" t="0" r="0" b="0"/>
            <wp:docPr id="22"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1" descr=""/>
                    <pic:cNvPicPr>
                      <a:picLocks noChangeAspect="1" noChangeArrowheads="1"/>
                    </pic:cNvPicPr>
                  </pic:nvPicPr>
                  <pic:blipFill>
                    <a:blip r:embed="rId31"/>
                    <a:stretch>
                      <a:fillRect/>
                    </a:stretch>
                  </pic:blipFill>
                  <pic:spPr bwMode="auto">
                    <a:xfrm>
                      <a:off x="0" y="0"/>
                      <a:ext cx="4411345" cy="4009390"/>
                    </a:xfrm>
                    <a:prstGeom prst="rect">
                      <a:avLst/>
                    </a:prstGeom>
                  </pic:spPr>
                </pic:pic>
              </a:graphicData>
            </a:graphic>
          </wp:inline>
        </w:drawing>
      </w:r>
    </w:p>
    <w:p>
      <w:pPr>
        <w:pStyle w:val="Normal"/>
        <w:ind w:hanging="0"/>
        <w:jc w:val="center"/>
        <w:rPr/>
      </w:pPr>
      <w:r>
        <w:rPr/>
        <w:t xml:space="preserve">Рисунок 1s.1. Экспериментальная кривая и результат деконволюции теплового потока изотермического разложения 2-нитробензолдиазоний трифлата </w:t>
      </w:r>
      <w:r>
        <w:rPr>
          <w:b/>
        </w:rPr>
        <w:t>1</w:t>
      </w:r>
      <w:r>
        <w:rPr>
          <w:b/>
          <w:lang w:val="en-US"/>
        </w:rPr>
        <w:t>a</w:t>
      </w:r>
      <w:r>
        <w:rPr/>
        <w:t xml:space="preserve"> при температуре 75 </w:t>
      </w:r>
      <w:r>
        <w:rPr>
          <w:vertAlign w:val="superscript"/>
        </w:rPr>
        <w:t>о</w:t>
      </w:r>
      <w:r>
        <w:rPr/>
        <w:t xml:space="preserve">С </w:t>
      </w:r>
    </w:p>
    <w:p>
      <w:pPr>
        <w:pStyle w:val="Normal"/>
        <w:ind w:hanging="0"/>
        <w:jc w:val="center"/>
        <w:rPr>
          <w:color w:val="000000"/>
        </w:rPr>
      </w:pPr>
      <w:r>
        <w:rPr>
          <w:color w:val="000000"/>
        </w:rPr>
      </w:r>
    </w:p>
    <w:p>
      <w:pPr>
        <w:pStyle w:val="Normal"/>
        <w:ind w:hanging="0"/>
        <w:jc w:val="center"/>
        <w:rPr>
          <w:color w:val="000000"/>
        </w:rPr>
      </w:pPr>
      <w:r>
        <w:rPr>
          <w:color w:val="000000"/>
        </w:rPr>
      </w:r>
    </w:p>
    <w:p>
      <w:pPr>
        <w:pStyle w:val="Normal"/>
        <w:ind w:hanging="0"/>
        <w:jc w:val="center"/>
        <w:rPr/>
      </w:pPr>
      <w:r>
        <w:rPr/>
        <w:drawing>
          <wp:inline distT="0" distB="0" distL="0" distR="0">
            <wp:extent cx="4218940" cy="3834765"/>
            <wp:effectExtent l="0" t="0" r="0" b="0"/>
            <wp:docPr id="23"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8" descr=""/>
                    <pic:cNvPicPr>
                      <a:picLocks noChangeAspect="1" noChangeArrowheads="1"/>
                    </pic:cNvPicPr>
                  </pic:nvPicPr>
                  <pic:blipFill>
                    <a:blip r:embed="rId32"/>
                    <a:stretch>
                      <a:fillRect/>
                    </a:stretch>
                  </pic:blipFill>
                  <pic:spPr bwMode="auto">
                    <a:xfrm>
                      <a:off x="0" y="0"/>
                      <a:ext cx="4218940" cy="3834765"/>
                    </a:xfrm>
                    <a:prstGeom prst="rect">
                      <a:avLst/>
                    </a:prstGeom>
                  </pic:spPr>
                </pic:pic>
              </a:graphicData>
            </a:graphic>
          </wp:inline>
        </w:drawing>
      </w:r>
    </w:p>
    <w:p>
      <w:pPr>
        <w:pStyle w:val="Normal"/>
        <w:ind w:hanging="0"/>
        <w:jc w:val="center"/>
        <w:rPr/>
      </w:pPr>
      <w:r>
        <w:rPr/>
        <w:t xml:space="preserve">Рисунок 1s.2. Экспериментальная кривая и результат деконволюции теплового потока изотермического разложения 2-нитробензолдиазоний трифлата </w:t>
      </w:r>
      <w:r>
        <w:rPr>
          <w:b/>
        </w:rPr>
        <w:t>1</w:t>
      </w:r>
      <w:r>
        <w:rPr>
          <w:b/>
          <w:lang w:val="en-US"/>
        </w:rPr>
        <w:t>a</w:t>
      </w:r>
      <w:r>
        <w:rPr/>
        <w:t xml:space="preserve"> при температуре 80 </w:t>
      </w:r>
      <w:r>
        <w:rPr>
          <w:vertAlign w:val="superscript"/>
        </w:rPr>
        <w:t>о</w:t>
      </w:r>
      <w:r>
        <w:rPr/>
        <w:t xml:space="preserve">С </w:t>
      </w:r>
    </w:p>
    <w:p>
      <w:pPr>
        <w:pStyle w:val="Normal"/>
        <w:ind w:hanging="0"/>
        <w:jc w:val="center"/>
        <w:rPr>
          <w:color w:val="000000"/>
        </w:rPr>
      </w:pPr>
      <w:r>
        <w:rPr>
          <w:color w:val="000000"/>
        </w:rPr>
      </w:r>
    </w:p>
    <w:p>
      <w:pPr>
        <w:pStyle w:val="Normal"/>
        <w:ind w:hanging="0"/>
        <w:jc w:val="center"/>
        <w:rPr/>
      </w:pPr>
      <w:r>
        <w:rPr/>
        <w:drawing>
          <wp:inline distT="0" distB="0" distL="0" distR="0">
            <wp:extent cx="4120515" cy="3745230"/>
            <wp:effectExtent l="0" t="0" r="0" b="0"/>
            <wp:docPr id="24"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33" descr=""/>
                    <pic:cNvPicPr>
                      <a:picLocks noChangeAspect="1" noChangeArrowheads="1"/>
                    </pic:cNvPicPr>
                  </pic:nvPicPr>
                  <pic:blipFill>
                    <a:blip r:embed="rId33"/>
                    <a:stretch>
                      <a:fillRect/>
                    </a:stretch>
                  </pic:blipFill>
                  <pic:spPr bwMode="auto">
                    <a:xfrm>
                      <a:off x="0" y="0"/>
                      <a:ext cx="4120515" cy="3745230"/>
                    </a:xfrm>
                    <a:prstGeom prst="rect">
                      <a:avLst/>
                    </a:prstGeom>
                  </pic:spPr>
                </pic:pic>
              </a:graphicData>
            </a:graphic>
          </wp:inline>
        </w:drawing>
      </w:r>
    </w:p>
    <w:p>
      <w:pPr>
        <w:pStyle w:val="Normal"/>
        <w:ind w:hanging="0"/>
        <w:jc w:val="center"/>
        <w:rPr/>
      </w:pPr>
      <w:r>
        <w:rPr/>
        <w:t xml:space="preserve">Рисунок 1s.3. Экспериментальная кривая и результат деконволюции теплового потока изотермического разложения 2-нитробензолдиазоний трифлата </w:t>
      </w:r>
      <w:r>
        <w:rPr>
          <w:b/>
        </w:rPr>
        <w:t>1</w:t>
      </w:r>
      <w:r>
        <w:rPr>
          <w:b/>
          <w:lang w:val="en-US"/>
        </w:rPr>
        <w:t>a</w:t>
      </w:r>
      <w:r>
        <w:rPr/>
        <w:t xml:space="preserve"> при температуре 85 </w:t>
      </w:r>
      <w:r>
        <w:rPr>
          <w:vertAlign w:val="superscript"/>
        </w:rPr>
        <w:t>о</w:t>
      </w:r>
      <w:r>
        <w:rPr/>
        <w:t xml:space="preserve">С </w:t>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drawing>
          <wp:inline distT="0" distB="0" distL="0" distR="0">
            <wp:extent cx="4120515" cy="3745230"/>
            <wp:effectExtent l="0" t="0" r="0" b="0"/>
            <wp:docPr id="25"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34" descr=""/>
                    <pic:cNvPicPr>
                      <a:picLocks noChangeAspect="1" noChangeArrowheads="1"/>
                    </pic:cNvPicPr>
                  </pic:nvPicPr>
                  <pic:blipFill>
                    <a:blip r:embed="rId34"/>
                    <a:stretch>
                      <a:fillRect/>
                    </a:stretch>
                  </pic:blipFill>
                  <pic:spPr bwMode="auto">
                    <a:xfrm>
                      <a:off x="0" y="0"/>
                      <a:ext cx="4120515" cy="3745230"/>
                    </a:xfrm>
                    <a:prstGeom prst="rect">
                      <a:avLst/>
                    </a:prstGeom>
                  </pic:spPr>
                </pic:pic>
              </a:graphicData>
            </a:graphic>
          </wp:inline>
        </w:drawing>
      </w:r>
    </w:p>
    <w:p>
      <w:pPr>
        <w:pStyle w:val="Normal"/>
        <w:ind w:hanging="0"/>
        <w:jc w:val="center"/>
        <w:rPr/>
      </w:pPr>
      <w:r>
        <w:rPr/>
        <w:t xml:space="preserve">Рисунок 1s.4. Экспериментальная кривая и результат деконволюции теплового потока изотермического разложения 4-метоксибензолдиазоний трифлата </w:t>
      </w:r>
      <w:r>
        <w:rPr>
          <w:b/>
        </w:rPr>
        <w:t>1d</w:t>
      </w:r>
      <w:r>
        <w:rPr/>
        <w:t xml:space="preserve"> при температуре 75 </w:t>
      </w:r>
      <w:r>
        <w:rPr>
          <w:vertAlign w:val="superscript"/>
        </w:rPr>
        <w:t>о</w:t>
      </w:r>
      <w:r>
        <w:rPr/>
        <w:t xml:space="preserve">С </w:t>
      </w:r>
    </w:p>
    <w:p>
      <w:pPr>
        <w:pStyle w:val="Normal"/>
        <w:ind w:hanging="0"/>
        <w:jc w:val="center"/>
        <w:rPr/>
      </w:pPr>
      <w:r>
        <w:rPr/>
      </w:r>
    </w:p>
    <w:p>
      <w:pPr>
        <w:pStyle w:val="Normal"/>
        <w:ind w:hanging="0"/>
        <w:jc w:val="center"/>
        <w:rPr/>
      </w:pPr>
      <w:r>
        <w:rPr/>
        <w:drawing>
          <wp:inline distT="0" distB="0" distL="0" distR="0">
            <wp:extent cx="4120515" cy="3745230"/>
            <wp:effectExtent l="0" t="0" r="0" b="0"/>
            <wp:docPr id="26"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35" descr=""/>
                    <pic:cNvPicPr>
                      <a:picLocks noChangeAspect="1" noChangeArrowheads="1"/>
                    </pic:cNvPicPr>
                  </pic:nvPicPr>
                  <pic:blipFill>
                    <a:blip r:embed="rId35"/>
                    <a:stretch>
                      <a:fillRect/>
                    </a:stretch>
                  </pic:blipFill>
                  <pic:spPr bwMode="auto">
                    <a:xfrm>
                      <a:off x="0" y="0"/>
                      <a:ext cx="4120515" cy="3745230"/>
                    </a:xfrm>
                    <a:prstGeom prst="rect">
                      <a:avLst/>
                    </a:prstGeom>
                  </pic:spPr>
                </pic:pic>
              </a:graphicData>
            </a:graphic>
          </wp:inline>
        </w:drawing>
      </w:r>
    </w:p>
    <w:p>
      <w:pPr>
        <w:pStyle w:val="Normal"/>
        <w:ind w:hanging="0"/>
        <w:jc w:val="center"/>
        <w:rPr/>
      </w:pPr>
      <w:r>
        <w:rPr/>
        <w:t xml:space="preserve">Рисунок 1s.5. Экспериментальная кривая и результат деконволюции теплового потока изотермического разложения 4-метоксибензолдиазоний трифлата </w:t>
      </w:r>
      <w:r>
        <w:rPr>
          <w:b/>
        </w:rPr>
        <w:t>1</w:t>
      </w:r>
      <w:r>
        <w:rPr>
          <w:b/>
          <w:lang w:val="en-US"/>
        </w:rPr>
        <w:t>d</w:t>
      </w:r>
      <w:r>
        <w:rPr/>
        <w:t xml:space="preserve"> при температуре 80 </w:t>
      </w:r>
      <w:r>
        <w:rPr>
          <w:vertAlign w:val="superscript"/>
        </w:rPr>
        <w:t>о</w:t>
      </w:r>
      <w:r>
        <w:rPr/>
        <w:t xml:space="preserve">С </w:t>
      </w:r>
    </w:p>
    <w:p>
      <w:pPr>
        <w:pStyle w:val="Normal"/>
        <w:ind w:hanging="0"/>
        <w:jc w:val="center"/>
        <w:rPr/>
      </w:pPr>
      <w:r>
        <w:rPr/>
      </w:r>
    </w:p>
    <w:p>
      <w:pPr>
        <w:pStyle w:val="Normal"/>
        <w:ind w:hanging="0"/>
        <w:jc w:val="center"/>
        <w:rPr/>
      </w:pPr>
      <w:r>
        <w:rPr/>
        <w:drawing>
          <wp:inline distT="0" distB="0" distL="0" distR="0">
            <wp:extent cx="4120515" cy="3745230"/>
            <wp:effectExtent l="0" t="0" r="0" b="0"/>
            <wp:docPr id="27" name="Изображение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36" descr=""/>
                    <pic:cNvPicPr>
                      <a:picLocks noChangeAspect="1" noChangeArrowheads="1"/>
                    </pic:cNvPicPr>
                  </pic:nvPicPr>
                  <pic:blipFill>
                    <a:blip r:embed="rId36"/>
                    <a:stretch>
                      <a:fillRect/>
                    </a:stretch>
                  </pic:blipFill>
                  <pic:spPr bwMode="auto">
                    <a:xfrm>
                      <a:off x="0" y="0"/>
                      <a:ext cx="4120515" cy="3745230"/>
                    </a:xfrm>
                    <a:prstGeom prst="rect">
                      <a:avLst/>
                    </a:prstGeom>
                  </pic:spPr>
                </pic:pic>
              </a:graphicData>
            </a:graphic>
          </wp:inline>
        </w:drawing>
      </w:r>
    </w:p>
    <w:p>
      <w:pPr>
        <w:pStyle w:val="Normal"/>
        <w:ind w:hanging="0"/>
        <w:jc w:val="center"/>
        <w:rPr/>
      </w:pPr>
      <w:r>
        <w:rPr/>
        <w:t xml:space="preserve">Рисунок 1s.6. Экспериментальная кривая и результат деконволюции теплового потока изотермического разложения 4-метоксибензолдиазоний трифлата </w:t>
      </w:r>
      <w:r>
        <w:rPr>
          <w:b/>
        </w:rPr>
        <w:t>1</w:t>
      </w:r>
      <w:r>
        <w:rPr>
          <w:b/>
          <w:lang w:val="en-US"/>
        </w:rPr>
        <w:t>a</w:t>
      </w:r>
      <w:r>
        <w:rPr/>
        <w:t xml:space="preserve"> при температуре 85 </w:t>
      </w:r>
      <w:r>
        <w:rPr>
          <w:vertAlign w:val="superscript"/>
        </w:rPr>
        <w:t>о</w:t>
      </w:r>
      <w:r>
        <w:rPr/>
        <w:t xml:space="preserve">С </w:t>
      </w:r>
    </w:p>
    <w:p>
      <w:pPr>
        <w:pStyle w:val="Normal"/>
        <w:ind w:hanging="0"/>
        <w:jc w:val="center"/>
        <w:rPr>
          <w:b/>
          <w:b/>
          <w:bCs/>
        </w:rPr>
      </w:pPr>
      <w:r>
        <w:rPr>
          <w:b/>
          <w:bCs/>
        </w:rPr>
      </w:r>
    </w:p>
    <w:p>
      <w:pPr>
        <w:pStyle w:val="Normal"/>
        <w:tabs>
          <w:tab w:val="left" w:pos="225" w:leader="none"/>
          <w:tab w:val="left" w:pos="510" w:leader="none"/>
        </w:tabs>
        <w:spacing w:before="0" w:after="113"/>
        <w:ind w:left="720" w:hanging="0"/>
        <w:jc w:val="center"/>
        <w:rPr>
          <w:b/>
          <w:b/>
          <w:bCs/>
        </w:rPr>
      </w:pPr>
      <w:r>
        <w:rPr>
          <w:b/>
          <w:bCs/>
        </w:rPr>
        <w:t>Приложение 2s. ГХ-МС Спектры продуктов разложения ДС</w:t>
      </w:r>
    </w:p>
    <w:p>
      <w:pPr>
        <w:pStyle w:val="Normal"/>
        <w:tabs>
          <w:tab w:val="left" w:pos="0" w:leader="none"/>
        </w:tabs>
        <w:ind w:hanging="0"/>
        <w:jc w:val="center"/>
        <w:rPr/>
      </w:pPr>
      <w:r>
        <w:rPr/>
        <w:drawing>
          <wp:inline distT="0" distB="0" distL="0" distR="0">
            <wp:extent cx="5400040" cy="2520315"/>
            <wp:effectExtent l="0" t="0" r="0" b="0"/>
            <wp:docPr id="28"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25" descr=""/>
                    <pic:cNvPicPr>
                      <a:picLocks noChangeAspect="1" noChangeArrowheads="1"/>
                    </pic:cNvPicPr>
                  </pic:nvPicPr>
                  <pic:blipFill>
                    <a:blip r:embed="rId37"/>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pPr>
      <w:r>
        <w:rPr/>
        <w:t xml:space="preserve">Рисунок 15. Продукты разложения соли </w:t>
      </w:r>
      <w:r>
        <w:rPr>
          <w:b/>
        </w:rPr>
        <w:t>1a</w:t>
      </w:r>
      <w:r>
        <w:rPr/>
        <w:t xml:space="preserve"> по данным ГХ-МС. </w:t>
      </w:r>
    </w:p>
    <w:p>
      <w:pPr>
        <w:pStyle w:val="Normal"/>
        <w:tabs>
          <w:tab w:val="left" w:pos="0" w:leader="none"/>
        </w:tabs>
        <w:ind w:hanging="0"/>
        <w:jc w:val="center"/>
        <w:rPr/>
      </w:pPr>
      <w:r>
        <w:rPr/>
      </w:r>
    </w:p>
    <w:p>
      <w:pPr>
        <w:pStyle w:val="Normal"/>
        <w:tabs>
          <w:tab w:val="left" w:pos="0" w:leader="none"/>
        </w:tabs>
        <w:ind w:hanging="0"/>
        <w:jc w:val="center"/>
        <w:rPr/>
      </w:pPr>
      <w:r>
        <w:rPr/>
        <w:drawing>
          <wp:inline distT="0" distB="0" distL="0" distR="0">
            <wp:extent cx="5400040" cy="2520315"/>
            <wp:effectExtent l="0" t="0" r="0" b="0"/>
            <wp:docPr id="29"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6" descr=""/>
                    <pic:cNvPicPr>
                      <a:picLocks noChangeAspect="1" noChangeArrowheads="1"/>
                    </pic:cNvPicPr>
                  </pic:nvPicPr>
                  <pic:blipFill>
                    <a:blip r:embed="rId38"/>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pPr>
      <w:r>
        <w:rPr/>
        <w:t xml:space="preserve">Рисунок 16. Продукты разложения соли </w:t>
      </w:r>
      <w:r>
        <w:rPr>
          <w:b/>
        </w:rPr>
        <w:t>1b</w:t>
      </w:r>
      <w:r>
        <w:rPr/>
        <w:t xml:space="preserve"> по данным ГХ-МС. (Пик 9.246 мин. соответствует соединению 3-NO</w:t>
      </w:r>
      <w:r>
        <w:rPr>
          <w:vertAlign w:val="subscript"/>
        </w:rPr>
        <w:t>2</w:t>
      </w:r>
      <w:r>
        <w:rPr/>
        <w:t>-C</w:t>
      </w:r>
      <w:r>
        <w:rPr>
          <w:vertAlign w:val="subscript"/>
        </w:rPr>
        <w:t>6</w:t>
      </w:r>
      <w:r>
        <w:rPr/>
        <w:t>H</w:t>
      </w:r>
      <w:r>
        <w:rPr>
          <w:vertAlign w:val="subscript"/>
        </w:rPr>
        <w:t>4</w:t>
      </w:r>
      <w:r>
        <w:rPr/>
        <w:t>-OSO</w:t>
      </w:r>
      <w:r>
        <w:rPr>
          <w:vertAlign w:val="subscript"/>
        </w:rPr>
        <w:t>2</w:t>
      </w:r>
      <w:r>
        <w:rPr/>
        <w:t>CF</w:t>
      </w:r>
      <w:r>
        <w:rPr>
          <w:vertAlign w:val="subscript"/>
        </w:rPr>
        <w:t>3</w:t>
      </w:r>
      <w:r>
        <w:rPr/>
        <w:t>, рис. 21)</w:t>
      </w:r>
    </w:p>
    <w:p>
      <w:pPr>
        <w:pStyle w:val="Normal"/>
        <w:tabs>
          <w:tab w:val="left" w:pos="0" w:leader="none"/>
        </w:tabs>
        <w:ind w:hanging="0"/>
        <w:jc w:val="center"/>
        <w:rPr/>
      </w:pPr>
      <w:r>
        <w:rPr/>
      </w:r>
    </w:p>
    <w:p>
      <w:pPr>
        <w:pStyle w:val="Normal"/>
        <w:tabs>
          <w:tab w:val="left" w:pos="0" w:leader="none"/>
        </w:tabs>
        <w:ind w:hanging="0"/>
        <w:jc w:val="center"/>
        <w:rPr/>
      </w:pPr>
      <w:r>
        <w:rPr/>
        <w:drawing>
          <wp:inline distT="0" distB="0" distL="0" distR="0">
            <wp:extent cx="5400040" cy="2520315"/>
            <wp:effectExtent l="0" t="0" r="0" b="0"/>
            <wp:docPr id="30"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27" descr=""/>
                    <pic:cNvPicPr>
                      <a:picLocks noChangeAspect="1" noChangeArrowheads="1"/>
                    </pic:cNvPicPr>
                  </pic:nvPicPr>
                  <pic:blipFill>
                    <a:blip r:embed="rId39"/>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pPr>
      <w:r>
        <w:rPr/>
        <w:t xml:space="preserve">Рисунок 17. Продукты разложения соли </w:t>
      </w:r>
      <w:r>
        <w:rPr>
          <w:b/>
        </w:rPr>
        <w:t>1c</w:t>
      </w:r>
      <w:r>
        <w:rPr/>
        <w:t xml:space="preserve"> по данным ГХ-МС. (Пик 13.314 мин. соответствует соединению 4-NO</w:t>
      </w:r>
      <w:r>
        <w:rPr>
          <w:vertAlign w:val="subscript"/>
        </w:rPr>
        <w:t>2</w:t>
      </w:r>
      <w:r>
        <w:rPr/>
        <w:t>-C</w:t>
      </w:r>
      <w:r>
        <w:rPr>
          <w:vertAlign w:val="subscript"/>
        </w:rPr>
        <w:t>6</w:t>
      </w:r>
      <w:r>
        <w:rPr/>
        <w:t>H</w:t>
      </w:r>
      <w:r>
        <w:rPr>
          <w:vertAlign w:val="subscript"/>
        </w:rPr>
        <w:t>4</w:t>
      </w:r>
      <w:r>
        <w:rPr/>
        <w:t>-OSO</w:t>
      </w:r>
      <w:r>
        <w:rPr>
          <w:vertAlign w:val="subscript"/>
        </w:rPr>
        <w:t>2</w:t>
      </w:r>
      <w:r>
        <w:rPr/>
        <w:t>CF</w:t>
      </w:r>
      <w:r>
        <w:rPr>
          <w:vertAlign w:val="subscript"/>
        </w:rPr>
        <w:t>3</w:t>
      </w:r>
      <w:r>
        <w:rPr/>
        <w:t>, 14.912 мин. 1-йод-4-нитробензолу рис. 22)</w:t>
      </w:r>
    </w:p>
    <w:p>
      <w:pPr>
        <w:pStyle w:val="Normal"/>
        <w:tabs>
          <w:tab w:val="left" w:pos="0" w:leader="none"/>
        </w:tabs>
        <w:ind w:hanging="0"/>
        <w:jc w:val="center"/>
        <w:rPr/>
      </w:pPr>
      <w:r>
        <w:rPr/>
      </w:r>
    </w:p>
    <w:p>
      <w:pPr>
        <w:pStyle w:val="Normal"/>
        <w:tabs>
          <w:tab w:val="left" w:pos="0" w:leader="none"/>
        </w:tabs>
        <w:ind w:hanging="0"/>
        <w:jc w:val="center"/>
        <w:rPr/>
      </w:pPr>
      <w:r>
        <w:rPr/>
        <w:drawing>
          <wp:inline distT="0" distB="0" distL="0" distR="0">
            <wp:extent cx="5400040" cy="2520315"/>
            <wp:effectExtent l="0" t="0" r="0" b="0"/>
            <wp:docPr id="31"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28" descr=""/>
                    <pic:cNvPicPr>
                      <a:picLocks noChangeAspect="1" noChangeArrowheads="1"/>
                    </pic:cNvPicPr>
                  </pic:nvPicPr>
                  <pic:blipFill>
                    <a:blip r:embed="rId40"/>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pPr>
      <w:r>
        <w:rPr/>
        <w:t xml:space="preserve">Рисунок 18. Продукты разложения соли </w:t>
      </w:r>
      <w:r>
        <w:rPr>
          <w:b/>
        </w:rPr>
        <w:t>1d</w:t>
      </w:r>
      <w:r>
        <w:rPr/>
        <w:t xml:space="preserve"> по данным ГХ-МС. (Пик 8.337 мин. соответствует соединению 4-CH</w:t>
      </w:r>
      <w:r>
        <w:rPr>
          <w:vertAlign w:val="subscript"/>
        </w:rPr>
        <w:t>3</w:t>
      </w:r>
      <w:r>
        <w:rPr/>
        <w:t>О-C</w:t>
      </w:r>
      <w:r>
        <w:rPr>
          <w:vertAlign w:val="subscript"/>
        </w:rPr>
        <w:t>6</w:t>
      </w:r>
      <w:r>
        <w:rPr/>
        <w:t>H</w:t>
      </w:r>
      <w:r>
        <w:rPr>
          <w:vertAlign w:val="subscript"/>
        </w:rPr>
        <w:t>4</w:t>
      </w:r>
      <w:r>
        <w:rPr/>
        <w:t>-OSO</w:t>
      </w:r>
      <w:r>
        <w:rPr>
          <w:vertAlign w:val="subscript"/>
        </w:rPr>
        <w:t>2</w:t>
      </w:r>
      <w:r>
        <w:rPr/>
        <w:t>CF</w:t>
      </w:r>
      <w:r>
        <w:rPr>
          <w:vertAlign w:val="subscript"/>
        </w:rPr>
        <w:t>3</w:t>
      </w:r>
      <w:r>
        <w:rPr/>
        <w:t>, рис. 23)</w:t>
      </w:r>
    </w:p>
    <w:p>
      <w:pPr>
        <w:pStyle w:val="Normal"/>
        <w:tabs>
          <w:tab w:val="left" w:pos="0" w:leader="none"/>
        </w:tabs>
        <w:ind w:hanging="0"/>
        <w:jc w:val="center"/>
        <w:rPr/>
      </w:pPr>
      <w:r>
        <w:rPr/>
      </w:r>
    </w:p>
    <w:p>
      <w:pPr>
        <w:pStyle w:val="Normal"/>
        <w:tabs>
          <w:tab w:val="left" w:pos="0" w:leader="none"/>
        </w:tabs>
        <w:ind w:hanging="0"/>
        <w:jc w:val="center"/>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400040" cy="2520315"/>
            <wp:effectExtent l="0" t="0" r="0" b="0"/>
            <wp:wrapSquare wrapText="largest"/>
            <wp:docPr id="32"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31" descr=""/>
                    <pic:cNvPicPr>
                      <a:picLocks noChangeAspect="1" noChangeArrowheads="1"/>
                    </pic:cNvPicPr>
                  </pic:nvPicPr>
                  <pic:blipFill>
                    <a:blip r:embed="rId41"/>
                    <a:stretch>
                      <a:fillRect/>
                    </a:stretch>
                  </pic:blipFill>
                  <pic:spPr bwMode="auto">
                    <a:xfrm>
                      <a:off x="0" y="0"/>
                      <a:ext cx="5400040" cy="2520315"/>
                    </a:xfrm>
                    <a:prstGeom prst="rect">
                      <a:avLst/>
                    </a:prstGeom>
                  </pic:spPr>
                </pic:pic>
              </a:graphicData>
            </a:graphic>
          </wp:anchor>
        </w:drawing>
      </w:r>
    </w:p>
    <w:p>
      <w:pPr>
        <w:pStyle w:val="Normal"/>
        <w:tabs>
          <w:tab w:val="left" w:pos="0" w:leader="none"/>
        </w:tabs>
        <w:ind w:hanging="0"/>
        <w:jc w:val="center"/>
        <w:rPr/>
      </w:pPr>
      <w:r>
        <w:rPr/>
      </w:r>
    </w:p>
    <w:p>
      <w:pPr>
        <w:pStyle w:val="Normal"/>
        <w:tabs>
          <w:tab w:val="left" w:pos="0" w:leader="none"/>
        </w:tabs>
        <w:ind w:hanging="0"/>
        <w:jc w:val="center"/>
        <w:rPr/>
      </w:pPr>
      <w:r>
        <w:rPr/>
        <w:t xml:space="preserve">Рисунок 19. Продукты разложения соли </w:t>
      </w:r>
      <w:r>
        <w:rPr>
          <w:b/>
        </w:rPr>
        <w:t>2</w:t>
      </w:r>
      <w:r>
        <w:rPr/>
        <w:t xml:space="preserve"> по данным ГХ-МС. (Пик 6.750 мин. соответствует 1-фтор-4-нитробензолу,  10.642 мин. 1-йод-4-нитробензолу, рис. 24)</w:t>
      </w:r>
    </w:p>
    <w:p>
      <w:pPr>
        <w:pStyle w:val="Normal"/>
        <w:tabs>
          <w:tab w:val="left" w:pos="0" w:leader="none"/>
        </w:tabs>
        <w:ind w:hanging="0"/>
        <w:jc w:val="center"/>
        <w:rPr/>
      </w:pPr>
      <w:r>
        <w:rPr/>
      </w:r>
    </w:p>
    <w:p>
      <w:pPr>
        <w:pStyle w:val="Normal"/>
        <w:tabs>
          <w:tab w:val="left" w:pos="0" w:leader="none"/>
        </w:tabs>
        <w:ind w:hanging="0"/>
        <w:jc w:val="center"/>
        <w:rPr/>
      </w:pPr>
      <w:r>
        <w:rPr/>
        <w:drawing>
          <wp:inline distT="0" distB="0" distL="0" distR="0">
            <wp:extent cx="5400040" cy="2520315"/>
            <wp:effectExtent l="0" t="0" r="0" b="0"/>
            <wp:docPr id="33"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29" descr=""/>
                    <pic:cNvPicPr>
                      <a:picLocks noChangeAspect="1" noChangeArrowheads="1"/>
                    </pic:cNvPicPr>
                  </pic:nvPicPr>
                  <pic:blipFill>
                    <a:blip r:embed="rId42"/>
                    <a:stretch>
                      <a:fillRect/>
                    </a:stretch>
                  </pic:blipFill>
                  <pic:spPr bwMode="auto">
                    <a:xfrm>
                      <a:off x="0" y="0"/>
                      <a:ext cx="5400040" cy="2520315"/>
                    </a:xfrm>
                    <a:prstGeom prst="rect">
                      <a:avLst/>
                    </a:prstGeom>
                  </pic:spPr>
                </pic:pic>
              </a:graphicData>
            </a:graphic>
          </wp:inline>
        </w:drawing>
      </w:r>
    </w:p>
    <w:p>
      <w:pPr>
        <w:pStyle w:val="Normal"/>
        <w:tabs>
          <w:tab w:val="left" w:pos="0" w:leader="none"/>
        </w:tabs>
        <w:spacing w:before="0" w:after="113"/>
        <w:ind w:hanging="0"/>
        <w:jc w:val="center"/>
        <w:rPr/>
      </w:pPr>
      <w:r>
        <w:rPr/>
        <w:t>Рисунок 20. Продукты разложения соли 3 по данным ГХ-МС. (Пик 6.307 мин. соответствует 1-фтор-4-нитробензолу,  10.515 мин. 1-йод-4-нитробензолу, рис. 25)</w:t>
      </w:r>
    </w:p>
    <w:p>
      <w:pPr>
        <w:pStyle w:val="Normal"/>
        <w:tabs>
          <w:tab w:val="left" w:pos="0" w:leader="none"/>
        </w:tabs>
        <w:spacing w:before="0" w:after="113"/>
        <w:ind w:hanging="0"/>
        <w:jc w:val="center"/>
        <w:rPr/>
      </w:pPr>
      <w:r>
        <w:rPr/>
      </w:r>
    </w:p>
    <w:p>
      <w:pPr>
        <w:pStyle w:val="Normal"/>
        <w:tabs>
          <w:tab w:val="left" w:pos="0" w:leader="none"/>
        </w:tabs>
        <w:ind w:hanging="0"/>
        <w:jc w:val="center"/>
        <w:rPr/>
      </w:pPr>
      <w:r>
        <w:rPr/>
        <w:drawing>
          <wp:inline distT="0" distB="0" distL="0" distR="0">
            <wp:extent cx="5400040" cy="2520315"/>
            <wp:effectExtent l="0" t="0" r="0" b="0"/>
            <wp:docPr id="34"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21" descr=""/>
                    <pic:cNvPicPr>
                      <a:picLocks noChangeAspect="1" noChangeArrowheads="1"/>
                    </pic:cNvPicPr>
                  </pic:nvPicPr>
                  <pic:blipFill>
                    <a:blip r:embed="rId43"/>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pPr>
      <w:r>
        <w:rPr/>
        <w:t xml:space="preserve">Рисунок 21. Основной продукт разложения соли </w:t>
      </w:r>
      <w:r>
        <w:rPr>
          <w:b/>
        </w:rPr>
        <w:t>1b</w:t>
      </w:r>
      <w:r>
        <w:rPr/>
        <w:t xml:space="preserve"> по данным ГХ-МС, совпадает со спектром 3-NO</w:t>
      </w:r>
      <w:r>
        <w:rPr>
          <w:vertAlign w:val="subscript"/>
        </w:rPr>
        <w:t>2</w:t>
      </w:r>
      <w:r>
        <w:rPr/>
        <w:t>-C</w:t>
      </w:r>
      <w:r>
        <w:rPr>
          <w:vertAlign w:val="subscript"/>
        </w:rPr>
        <w:t>6</w:t>
      </w:r>
      <w:r>
        <w:rPr/>
        <w:t>H</w:t>
      </w:r>
      <w:r>
        <w:rPr>
          <w:vertAlign w:val="subscript"/>
        </w:rPr>
        <w:t>4</w:t>
      </w:r>
      <w:r>
        <w:rPr/>
        <w:t>-OSO</w:t>
      </w:r>
      <w:r>
        <w:rPr>
          <w:vertAlign w:val="subscript"/>
        </w:rPr>
        <w:t>2</w:t>
      </w:r>
      <w:r>
        <w:rPr/>
        <w:t>CF</w:t>
      </w:r>
      <w:r>
        <w:rPr>
          <w:vertAlign w:val="subscript"/>
        </w:rPr>
        <w:t>3</w:t>
      </w:r>
      <w:r>
        <w:rPr/>
        <w:t xml:space="preserve"> M/Z: 271, 161, 95, 92, 69, 64.</w:t>
      </w:r>
    </w:p>
    <w:p>
      <w:pPr>
        <w:pStyle w:val="Normal"/>
        <w:tabs>
          <w:tab w:val="left" w:pos="0" w:leader="none"/>
        </w:tabs>
        <w:ind w:hanging="0"/>
        <w:jc w:val="center"/>
        <w:rPr/>
      </w:pPr>
      <w:r>
        <w:rPr/>
      </w:r>
    </w:p>
    <w:p>
      <w:pPr>
        <w:pStyle w:val="Normal"/>
        <w:tabs>
          <w:tab w:val="left" w:pos="0" w:leader="none"/>
        </w:tabs>
        <w:ind w:hanging="0"/>
        <w:jc w:val="center"/>
        <w:rPr/>
      </w:pPr>
      <w:r>
        <w:rPr/>
        <w:drawing>
          <wp:inline distT="0" distB="0" distL="0" distR="0">
            <wp:extent cx="5588635" cy="2574925"/>
            <wp:effectExtent l="0" t="0" r="0" b="0"/>
            <wp:docPr id="35"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22" descr=""/>
                    <pic:cNvPicPr>
                      <a:picLocks noChangeAspect="1" noChangeArrowheads="1"/>
                    </pic:cNvPicPr>
                  </pic:nvPicPr>
                  <pic:blipFill>
                    <a:blip r:embed="rId44"/>
                    <a:stretch>
                      <a:fillRect/>
                    </a:stretch>
                  </pic:blipFill>
                  <pic:spPr bwMode="auto">
                    <a:xfrm>
                      <a:off x="0" y="0"/>
                      <a:ext cx="5588635" cy="2574925"/>
                    </a:xfrm>
                    <a:prstGeom prst="rect">
                      <a:avLst/>
                    </a:prstGeom>
                  </pic:spPr>
                </pic:pic>
              </a:graphicData>
            </a:graphic>
          </wp:inline>
        </w:drawing>
      </w:r>
    </w:p>
    <w:p>
      <w:pPr>
        <w:pStyle w:val="Normal"/>
        <w:tabs>
          <w:tab w:val="left" w:pos="0" w:leader="none"/>
        </w:tabs>
        <w:ind w:hanging="0"/>
        <w:jc w:val="center"/>
        <w:rPr/>
      </w:pPr>
      <w:r>
        <w:rPr/>
        <w:drawing>
          <wp:inline distT="0" distB="0" distL="0" distR="0">
            <wp:extent cx="5588635" cy="2434590"/>
            <wp:effectExtent l="0" t="0" r="0" b="0"/>
            <wp:docPr id="36"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5" descr=""/>
                    <pic:cNvPicPr>
                      <a:picLocks noChangeAspect="1" noChangeArrowheads="1"/>
                    </pic:cNvPicPr>
                  </pic:nvPicPr>
                  <pic:blipFill>
                    <a:blip r:embed="rId45"/>
                    <a:stretch>
                      <a:fillRect/>
                    </a:stretch>
                  </pic:blipFill>
                  <pic:spPr bwMode="auto">
                    <a:xfrm>
                      <a:off x="0" y="0"/>
                      <a:ext cx="5588635" cy="2434590"/>
                    </a:xfrm>
                    <a:prstGeom prst="rect">
                      <a:avLst/>
                    </a:prstGeom>
                  </pic:spPr>
                </pic:pic>
              </a:graphicData>
            </a:graphic>
          </wp:inline>
        </w:drawing>
      </w:r>
    </w:p>
    <w:p>
      <w:pPr>
        <w:pStyle w:val="Normal"/>
        <w:tabs>
          <w:tab w:val="left" w:pos="0" w:leader="none"/>
        </w:tabs>
        <w:ind w:hanging="0"/>
        <w:jc w:val="center"/>
        <w:rPr/>
      </w:pPr>
      <w:r>
        <w:rPr/>
        <w:t xml:space="preserve">Рисунок 22. Основные продукты разложения соли </w:t>
      </w:r>
      <w:r>
        <w:rPr>
          <w:b/>
        </w:rPr>
        <w:t>1c</w:t>
      </w:r>
      <w:r>
        <w:rPr/>
        <w:t xml:space="preserve"> по данным ГХ-МС, совпадают со спектром 4-NO</w:t>
      </w:r>
      <w:r>
        <w:rPr>
          <w:vertAlign w:val="subscript"/>
        </w:rPr>
        <w:t>2</w:t>
      </w:r>
      <w:r>
        <w:rPr/>
        <w:t>-C</w:t>
      </w:r>
      <w:r>
        <w:rPr>
          <w:vertAlign w:val="subscript"/>
        </w:rPr>
        <w:t>6</w:t>
      </w:r>
      <w:r>
        <w:rPr/>
        <w:t>H</w:t>
      </w:r>
      <w:r>
        <w:rPr>
          <w:vertAlign w:val="subscript"/>
        </w:rPr>
        <w:t>4</w:t>
      </w:r>
      <w:r>
        <w:rPr/>
        <w:t>-OSO</w:t>
      </w:r>
      <w:r>
        <w:rPr>
          <w:vertAlign w:val="subscript"/>
        </w:rPr>
        <w:t>2</w:t>
      </w:r>
      <w:r>
        <w:rPr/>
        <w:t>CF</w:t>
      </w:r>
      <w:r>
        <w:rPr>
          <w:vertAlign w:val="subscript"/>
        </w:rPr>
        <w:t>3</w:t>
      </w:r>
      <w:r>
        <w:rPr/>
        <w:t xml:space="preserve"> M/Z: 271, 177, 95, 69 и спектром 1-йод-4-нитробензола M/Z: 249, 203, 76.</w:t>
      </w:r>
    </w:p>
    <w:p>
      <w:pPr>
        <w:pStyle w:val="Normal"/>
        <w:tabs>
          <w:tab w:val="left" w:pos="0" w:leader="none"/>
        </w:tabs>
        <w:ind w:hanging="0"/>
        <w:jc w:val="center"/>
        <w:rPr/>
      </w:pPr>
      <w:r>
        <w:rPr/>
      </w:r>
    </w:p>
    <w:p>
      <w:pPr>
        <w:pStyle w:val="Normal"/>
        <w:tabs>
          <w:tab w:val="left" w:pos="0" w:leader="none"/>
        </w:tabs>
        <w:ind w:hanging="0"/>
        <w:jc w:val="center"/>
        <w:rPr/>
      </w:pPr>
      <w:r>
        <w:rPr/>
        <w:drawing>
          <wp:inline distT="0" distB="0" distL="0" distR="0">
            <wp:extent cx="5400040" cy="2520315"/>
            <wp:effectExtent l="0" t="0" r="0" b="0"/>
            <wp:docPr id="37"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23" descr=""/>
                    <pic:cNvPicPr>
                      <a:picLocks noChangeAspect="1" noChangeArrowheads="1"/>
                    </pic:cNvPicPr>
                  </pic:nvPicPr>
                  <pic:blipFill>
                    <a:blip r:embed="rId46"/>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pPr>
      <w:r>
        <w:rPr/>
        <w:t xml:space="preserve">Рисунок 23. Основной продукт разложения соли </w:t>
      </w:r>
      <w:r>
        <w:rPr>
          <w:b/>
        </w:rPr>
        <w:t>1d</w:t>
      </w:r>
      <w:r>
        <w:rPr/>
        <w:t xml:space="preserve"> по данным ГХ-МС, совпадает со спектром 3-CH</w:t>
      </w:r>
      <w:r>
        <w:rPr>
          <w:vertAlign w:val="subscript"/>
        </w:rPr>
        <w:t>3</w:t>
      </w:r>
      <w:r>
        <w:rPr/>
        <w:t>O-C</w:t>
      </w:r>
      <w:r>
        <w:rPr>
          <w:vertAlign w:val="subscript"/>
        </w:rPr>
        <w:t>6</w:t>
      </w:r>
      <w:r>
        <w:rPr/>
        <w:t>H</w:t>
      </w:r>
      <w:r>
        <w:rPr>
          <w:vertAlign w:val="subscript"/>
        </w:rPr>
        <w:t>4</w:t>
      </w:r>
      <w:r>
        <w:rPr/>
        <w:t>-OSO</w:t>
      </w:r>
      <w:r>
        <w:rPr>
          <w:vertAlign w:val="subscript"/>
        </w:rPr>
        <w:t>2</w:t>
      </w:r>
      <w:r>
        <w:rPr/>
        <w:t>CF</w:t>
      </w:r>
      <w:r>
        <w:rPr>
          <w:vertAlign w:val="subscript"/>
        </w:rPr>
        <w:t>3</w:t>
      </w:r>
      <w:r>
        <w:rPr/>
        <w:t xml:space="preserve"> M/Z: 256, 123, 69, 52.</w:t>
      </w:r>
    </w:p>
    <w:p>
      <w:pPr>
        <w:pStyle w:val="Normal"/>
        <w:tabs>
          <w:tab w:val="left" w:pos="0" w:leader="none"/>
        </w:tabs>
        <w:ind w:hanging="0"/>
        <w:jc w:val="center"/>
        <w:rPr/>
      </w:pPr>
      <w:r>
        <w:rPr/>
      </w:r>
    </w:p>
    <w:p>
      <w:pPr>
        <w:pStyle w:val="Normal"/>
        <w:rPr/>
      </w:pPr>
      <w:r>
        <w:rPr/>
        <w:drawing>
          <wp:inline distT="0" distB="0" distL="0" distR="0">
            <wp:extent cx="5400040" cy="2520315"/>
            <wp:effectExtent l="0" t="0" r="0" b="0"/>
            <wp:docPr id="38"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13" descr=""/>
                    <pic:cNvPicPr>
                      <a:picLocks noChangeAspect="1" noChangeArrowheads="1"/>
                    </pic:cNvPicPr>
                  </pic:nvPicPr>
                  <pic:blipFill>
                    <a:blip r:embed="rId47"/>
                    <a:stretch>
                      <a:fillRect/>
                    </a:stretch>
                  </pic:blipFill>
                  <pic:spPr bwMode="auto">
                    <a:xfrm>
                      <a:off x="0" y="0"/>
                      <a:ext cx="5400040" cy="2520315"/>
                    </a:xfrm>
                    <a:prstGeom prst="rect">
                      <a:avLst/>
                    </a:prstGeom>
                  </pic:spPr>
                </pic:pic>
              </a:graphicData>
            </a:graphic>
          </wp:inline>
        </w:drawing>
      </w:r>
    </w:p>
    <w:p>
      <w:pPr>
        <w:pStyle w:val="Normal"/>
        <w:rPr/>
      </w:pPr>
      <w:r>
        <w:rPr/>
        <w:drawing>
          <wp:inline distT="0" distB="0" distL="0" distR="0">
            <wp:extent cx="5400040" cy="2520315"/>
            <wp:effectExtent l="0" t="0" r="0" b="0"/>
            <wp:docPr id="39"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15" descr=""/>
                    <pic:cNvPicPr>
                      <a:picLocks noChangeAspect="1" noChangeArrowheads="1"/>
                    </pic:cNvPicPr>
                  </pic:nvPicPr>
                  <pic:blipFill>
                    <a:blip r:embed="rId48"/>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pPr>
      <w:r>
        <w:rPr/>
        <w:t xml:space="preserve">Рисунок 24. Основные продукты разложения соли </w:t>
      </w:r>
      <w:r>
        <w:rPr>
          <w:b/>
        </w:rPr>
        <w:t>2</w:t>
      </w:r>
      <w:r>
        <w:rPr/>
        <w:t xml:space="preserve"> по данным ГХ-МС, совпадают со спектрами нитробензола M/Z: 123, 77, 51 и 1-йод-4-нитробензола M/Z: 249, 203, 76, 50.</w:t>
      </w:r>
    </w:p>
    <w:p>
      <w:pPr>
        <w:pStyle w:val="Normal"/>
        <w:tabs>
          <w:tab w:val="left" w:pos="0" w:leader="none"/>
        </w:tabs>
        <w:ind w:hanging="0"/>
        <w:jc w:val="center"/>
        <w:rPr/>
      </w:pPr>
      <w:r>
        <w:rPr/>
      </w:r>
    </w:p>
    <w:p>
      <w:pPr>
        <w:pStyle w:val="Normal"/>
        <w:rPr/>
      </w:pPr>
      <w:r>
        <w:rPr/>
        <w:drawing>
          <wp:inline distT="0" distB="0" distL="0" distR="0">
            <wp:extent cx="5400040" cy="2520315"/>
            <wp:effectExtent l="0" t="0" r="0" b="0"/>
            <wp:docPr id="40"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2" descr=""/>
                    <pic:cNvPicPr>
                      <a:picLocks noChangeAspect="1" noChangeArrowheads="1"/>
                    </pic:cNvPicPr>
                  </pic:nvPicPr>
                  <pic:blipFill>
                    <a:blip r:embed="rId49"/>
                    <a:stretch>
                      <a:fillRect/>
                    </a:stretch>
                  </pic:blipFill>
                  <pic:spPr bwMode="auto">
                    <a:xfrm>
                      <a:off x="0" y="0"/>
                      <a:ext cx="5400040" cy="2520315"/>
                    </a:xfrm>
                    <a:prstGeom prst="rect">
                      <a:avLst/>
                    </a:prstGeom>
                  </pic:spPr>
                </pic:pic>
              </a:graphicData>
            </a:graphic>
          </wp:inline>
        </w:drawing>
      </w:r>
    </w:p>
    <w:p>
      <w:pPr>
        <w:pStyle w:val="Normal"/>
        <w:rPr/>
      </w:pPr>
      <w:r>
        <w:rPr/>
        <w:drawing>
          <wp:inline distT="0" distB="0" distL="0" distR="0">
            <wp:extent cx="5400040" cy="2520315"/>
            <wp:effectExtent l="0" t="0" r="0" b="0"/>
            <wp:docPr id="41"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3" descr=""/>
                    <pic:cNvPicPr>
                      <a:picLocks noChangeAspect="1" noChangeArrowheads="1"/>
                    </pic:cNvPicPr>
                  </pic:nvPicPr>
                  <pic:blipFill>
                    <a:blip r:embed="rId50"/>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pPr>
      <w:r>
        <w:rPr/>
        <w:t xml:space="preserve">Рисунок 25. Основные продукты разложения соли </w:t>
      </w:r>
      <w:r>
        <w:rPr>
          <w:b/>
        </w:rPr>
        <w:t>3</w:t>
      </w:r>
      <w:r>
        <w:rPr/>
        <w:t xml:space="preserve"> по данным ГХ-МС, совпадают со спектрами 1-фтор-2-нитробензола M/Z: 141, 111, 95, 75, 50 и 1-йод-4-нитробензола M/Z: 249, 203, 76.</w:t>
      </w:r>
    </w:p>
    <w:p>
      <w:pPr>
        <w:pStyle w:val="Normal"/>
        <w:tabs>
          <w:tab w:val="left" w:pos="225" w:leader="none"/>
          <w:tab w:val="left" w:pos="510" w:leader="none"/>
        </w:tabs>
        <w:spacing w:before="0" w:after="113"/>
        <w:ind w:left="720" w:hanging="0"/>
        <w:jc w:val="center"/>
        <w:rPr>
          <w:b/>
          <w:b/>
          <w:bCs/>
        </w:rPr>
      </w:pPr>
      <w:r>
        <w:rPr>
          <w:b/>
          <w:bCs/>
        </w:rPr>
      </w:r>
    </w:p>
    <w:p>
      <w:pPr>
        <w:pStyle w:val="Normal"/>
        <w:tabs>
          <w:tab w:val="left" w:pos="225" w:leader="none"/>
          <w:tab w:val="left" w:pos="510" w:leader="none"/>
        </w:tabs>
        <w:spacing w:before="0" w:after="113"/>
        <w:ind w:left="720" w:hanging="0"/>
        <w:jc w:val="center"/>
        <w:rPr>
          <w:b/>
          <w:b/>
          <w:bCs/>
        </w:rPr>
      </w:pPr>
      <w:r>
        <w:rPr>
          <w:b/>
          <w:bCs/>
        </w:rPr>
        <w:t>Приложение 3s. LS-MS Спектры продуктов разложения ДС</w:t>
      </w:r>
    </w:p>
    <w:p>
      <w:pPr>
        <w:pStyle w:val="Style20"/>
        <w:rPr/>
      </w:pPr>
      <w:r>
        <w:rPr/>
        <w:t xml:space="preserve">Исходные файлы спектров LS-MS находятся в каталоге - </w:t>
      </w:r>
      <w:r>
        <w:rPr>
          <w:i/>
          <w:iCs/>
          <w:u w:val="single"/>
        </w:rPr>
        <w:t>Supporting/LC-MS</w:t>
      </w:r>
      <w:r>
        <w:rPr/>
        <w:t>. Для просмотра и анализа файлов можно использовать свободное программное обеспечение OpenMS (</w:t>
      </w:r>
      <w:hyperlink r:id="rId51">
        <w:r>
          <w:rPr>
            <w:rStyle w:val="Style13"/>
          </w:rPr>
          <w:t>https://www.openms.de/</w:t>
        </w:r>
      </w:hyperlink>
      <w:r>
        <w:rPr/>
        <w:t xml:space="preserve">). </w:t>
      </w:r>
    </w:p>
    <w:p>
      <w:pPr>
        <w:pStyle w:val="Style20"/>
        <w:rPr/>
      </w:pPr>
      <w:r>
        <w:rPr/>
      </w:r>
    </w:p>
    <w:p>
      <w:pPr>
        <w:pStyle w:val="Normal"/>
        <w:tabs>
          <w:tab w:val="left" w:pos="0" w:leader="none"/>
        </w:tabs>
        <w:ind w:hanging="0"/>
        <w:jc w:val="center"/>
        <w:rPr>
          <w:b/>
          <w:b/>
          <w:bCs/>
        </w:rPr>
      </w:pPr>
      <w:r>
        <w:rPr>
          <w:b/>
          <w:bCs/>
        </w:rPr>
        <w:t>Приложение 4s. Результаты квантовохимических расчетов</w:t>
      </w:r>
    </w:p>
    <w:p>
      <w:pPr>
        <w:pStyle w:val="Normal"/>
        <w:tabs>
          <w:tab w:val="left" w:pos="225" w:leader="none"/>
          <w:tab w:val="left" w:pos="510" w:leader="none"/>
        </w:tabs>
        <w:spacing w:before="0" w:after="113"/>
        <w:ind w:left="720" w:hanging="0"/>
        <w:rPr/>
      </w:pPr>
      <w:r>
        <w:rPr/>
        <w:t xml:space="preserve">Выходные файлы квантовохимических расчетов находятся в каталоге -  </w:t>
      </w:r>
      <w:r>
        <w:rPr>
          <w:i/>
          <w:iCs/>
          <w:u w:val="single"/>
        </w:rPr>
        <w:t>Supporting/Quant/Out</w:t>
      </w:r>
      <w:r>
        <w:rPr/>
        <w:t xml:space="preserve">. Оптимизированная геометрия - </w:t>
      </w:r>
      <w:r>
        <w:rPr>
          <w:i/>
          <w:iCs/>
          <w:u w:val="single"/>
        </w:rPr>
        <w:t>Supporting/Quant/Mol</w:t>
      </w:r>
      <w:r>
        <w:rPr/>
        <w:t>.</w:t>
      </w:r>
    </w:p>
    <w:p>
      <w:pPr>
        <w:pStyle w:val="Normal"/>
        <w:tabs>
          <w:tab w:val="left" w:pos="225" w:leader="none"/>
          <w:tab w:val="left" w:pos="510" w:leader="none"/>
        </w:tabs>
        <w:spacing w:before="0" w:after="113"/>
        <w:ind w:left="1230" w:hanging="0"/>
        <w:rPr>
          <w:lang w:val="en-US"/>
        </w:rPr>
      </w:pPr>
      <w:r>
        <w:rPr>
          <w:lang w:val="en-US"/>
        </w:rPr>
      </w:r>
    </w:p>
    <w:p>
      <w:pPr>
        <w:pStyle w:val="Normal"/>
        <w:tabs>
          <w:tab w:val="center" w:pos="218" w:leader="none"/>
        </w:tabs>
        <w:spacing w:before="227" w:after="227"/>
        <w:ind w:left="1230" w:right="624" w:hanging="0"/>
        <w:rPr/>
      </w:pPr>
      <w:r>
        <w:rPr/>
      </w:r>
    </w:p>
    <w:sectPr>
      <w:footerReference w:type="default" r:id="rId52"/>
      <w:type w:val="nextPage"/>
      <w:pgSz w:w="11906" w:h="16838"/>
      <w:pgMar w:left="1134" w:right="1134" w:header="0" w:top="850" w:footer="850" w:bottom="1409" w:gutter="0"/>
      <w:pgNumType w:fmt="decimal"/>
      <w:formProt w:val="false"/>
      <w:textDirection w:val="lrTb"/>
      <w:docGrid w:type="default" w:linePitch="325"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fvd" w:date="2019-01-08T23:18:00Z" w:initials="f">
    <w:p>
      <w:r>
        <w:rPr>
          <w:rFonts w:eastAsia="DejaVu Sans" w:cs="DejaVu Sans"/>
          <w:color w:val="auto"/>
          <w:lang w:val="en-US" w:eastAsia="en-US" w:bidi="en-US"/>
        </w:rPr>
        <w:t xml:space="preserve">Это мой вариант абстракта. </w:t>
      </w:r>
    </w:p>
  </w:comment>
  <w:comment w:id="1" w:author="fvd" w:date="2019-01-07T16:38:00Z" w:initials="f">
    <w:p>
      <w:r>
        <w:rPr>
          <w:rFonts w:eastAsia="DejaVu Sans" w:cs="DejaVu Sans"/>
          <w:color w:val="auto"/>
          <w:lang w:val="en-US" w:eastAsia="en-US" w:bidi="en-US"/>
        </w:rPr>
        <w:t>Стоит сказать об используемых количеств веществ. Материал, объем кюветы ?</w:t>
      </w:r>
    </w:p>
  </w:comment>
  <w:comment w:id="2" w:author="fvd" w:date="2019-01-07T16:08:00Z" w:initials="f">
    <w:p>
      <w:r>
        <w:rPr>
          <w:rFonts w:eastAsia="DejaVu Sans" w:cs="DejaVu Sans"/>
          <w:color w:val="auto"/>
          <w:lang w:val="en-US" w:eastAsia="en-US" w:bidi="en-US"/>
        </w:rPr>
        <w:t xml:space="preserve">Можно ли так писать, если при 85 град и даже 75 значения для </w:t>
      </w:r>
      <w:r>
        <w:rPr>
          <w:rFonts w:eastAsia="DejaVu Sans" w:cs="DejaVu Sans"/>
          <w:b/>
          <w:color w:val="auto"/>
          <w:lang w:val="en-US" w:eastAsia="en-US" w:bidi="en-US"/>
        </w:rPr>
        <w:t>1с</w:t>
      </w:r>
      <w:r>
        <w:rPr>
          <w:rFonts w:eastAsia="DejaVu Sans" w:cs="DejaVu Sans"/>
          <w:color w:val="auto"/>
          <w:lang w:val="en-US" w:eastAsia="en-US" w:bidi="en-US"/>
        </w:rPr>
        <w:t xml:space="preserve"> сильно отличаются от </w:t>
      </w:r>
      <w:r>
        <w:rPr>
          <w:rFonts w:eastAsia="DejaVu Sans" w:cs="DejaVu Sans"/>
          <w:b/>
          <w:color w:val="auto"/>
          <w:lang w:val="en-US" w:eastAsia="en-US" w:bidi="en-US"/>
        </w:rPr>
        <w:t>2</w:t>
      </w:r>
      <w:r>
        <w:rPr>
          <w:rFonts w:eastAsia="DejaVu Sans" w:cs="DejaVu Sans"/>
          <w:color w:val="auto"/>
          <w:lang w:val="en-US" w:eastAsia="en-US" w:bidi="en-US"/>
        </w:rPr>
        <w:t xml:space="preserve"> и </w:t>
      </w:r>
      <w:r>
        <w:rPr>
          <w:rFonts w:eastAsia="DejaVu Sans" w:cs="DejaVu Sans"/>
          <w:b/>
          <w:color w:val="auto"/>
          <w:lang w:val="en-US" w:eastAsia="en-US" w:bidi="en-US"/>
        </w:rPr>
        <w:t>3</w:t>
      </w:r>
      <w:r>
        <w:rPr>
          <w:rFonts w:eastAsia="DejaVu Sans" w:cs="DejaVu Sans"/>
          <w:color w:val="auto"/>
          <w:lang w:val="en-US" w:eastAsia="en-US" w:bidi="en-US"/>
        </w:rPr>
        <w:t xml:space="preserve"> ? Вот </w:t>
      </w:r>
      <w:r>
        <w:rPr>
          <w:rFonts w:eastAsia="DejaVu Sans" w:cs="DejaVu Sans"/>
          <w:b/>
          <w:color w:val="auto"/>
          <w:lang w:val="en-US" w:eastAsia="en-US" w:bidi="en-US"/>
        </w:rPr>
        <w:t>2</w:t>
      </w:r>
      <w:r>
        <w:rPr>
          <w:rFonts w:eastAsia="DejaVu Sans" w:cs="DejaVu Sans"/>
          <w:color w:val="auto"/>
          <w:lang w:val="en-US" w:eastAsia="en-US" w:bidi="en-US"/>
        </w:rPr>
        <w:t xml:space="preserve"> и </w:t>
      </w:r>
      <w:r>
        <w:rPr>
          <w:rFonts w:eastAsia="DejaVu Sans" w:cs="DejaVu Sans"/>
          <w:b/>
          <w:color w:val="auto"/>
          <w:lang w:val="en-US" w:eastAsia="en-US" w:bidi="en-US"/>
        </w:rPr>
        <w:t>3</w:t>
      </w:r>
      <w:r>
        <w:rPr>
          <w:rFonts w:eastAsia="DejaVu Sans" w:cs="DejaVu Sans"/>
          <w:color w:val="auto"/>
          <w:lang w:val="en-US" w:eastAsia="en-US" w:bidi="en-US"/>
        </w:rPr>
        <w:t xml:space="preserve"> точно не отличаются между собой. Может быть, точнее написать: «….1с, 2, 3 почти не зависят от природы аниона при температурах 75 град».</w:t>
      </w:r>
    </w:p>
  </w:comment>
  <w:comment w:id="3" w:author="fvd" w:date="2019-01-07T16:25:00Z" w:initials="f">
    <w:p>
      <w:r>
        <w:rPr>
          <w:rFonts w:eastAsia="DejaVu Sans" w:cs="DejaVu Sans"/>
          <w:color w:val="auto"/>
          <w:lang w:val="en-US" w:eastAsia="en-US" w:bidi="en-US"/>
        </w:rPr>
        <w:t>Это не совсем верно, если сравнить 1</w:t>
      </w:r>
      <w:r>
        <w:rPr>
          <w:rFonts w:eastAsia="DejaVu Sans" w:cs="DejaVu Sans"/>
          <w:color w:val="auto"/>
          <w:lang w:eastAsia="en-US" w:bidi="en-US" w:val="en-US"/>
        </w:rPr>
        <w:t>d</w:t>
      </w:r>
      <w:r>
        <w:rPr>
          <w:rFonts w:eastAsia="DejaVu Sans" w:cs="DejaVu Sans"/>
          <w:color w:val="auto"/>
          <w:lang w:val="en-US" w:eastAsia="en-US" w:bidi="en-US"/>
        </w:rPr>
        <w:t xml:space="preserve"> и1</w:t>
      </w:r>
      <w:r>
        <w:rPr>
          <w:rFonts w:eastAsia="DejaVu Sans" w:cs="DejaVu Sans"/>
          <w:color w:val="auto"/>
          <w:lang w:eastAsia="en-US" w:bidi="en-US" w:val="en-US"/>
        </w:rPr>
        <w:t>a</w:t>
      </w:r>
    </w:p>
  </w:comment>
  <w:comment w:id="4" w:author="fvd" w:date="2019-01-07T16:33:00Z" w:initials="f">
    <w:p>
      <w:r>
        <w:rPr>
          <w:rFonts w:eastAsia="DejaVu Sans" w:cs="DejaVu Sans"/>
          <w:color w:val="auto"/>
          <w:lang w:val="en-US" w:eastAsia="en-US" w:bidi="en-US"/>
        </w:rPr>
        <w:t>Саша, а какую ты брал концентрацию Ао, если соли твердые ?</w:t>
      </w:r>
    </w:p>
  </w:comment>
  <w:comment w:id="5" w:author="fvd" w:date="2019-01-07T16:46:00Z" w:initials="f">
    <w:p>
      <w:r>
        <w:rPr>
          <w:rFonts w:eastAsia="DejaVu Sans" w:cs="DejaVu Sans"/>
          <w:color w:val="auto"/>
          <w:lang w:val="en-US" w:eastAsia="en-US" w:bidi="en-US"/>
        </w:rPr>
        <w:t>А откуда виден этот эндотермический процесс ? есть ли цифры?</w:t>
      </w:r>
    </w:p>
  </w:comment>
  <w:comment w:id="6" w:author="fvd" w:date="2019-01-08T21:05:00Z" w:initials="f">
    <w:p>
      <w:r>
        <w:rPr>
          <w:rFonts w:eastAsia="DejaVu Sans" w:cs="DejaVu Sans"/>
          <w:color w:val="auto"/>
          <w:lang w:val="en-US" w:eastAsia="en-US" w:bidi="en-US"/>
        </w:rPr>
        <w:t xml:space="preserve">А по </w:t>
      </w:r>
      <w:r>
        <w:rPr>
          <w:rFonts w:eastAsia="DejaVu Sans" w:cs="DejaVu Sans"/>
          <w:b/>
          <w:color w:val="auto"/>
          <w:lang w:val="en-US" w:eastAsia="en-US" w:bidi="en-US"/>
        </w:rPr>
        <w:t>1</w:t>
      </w:r>
      <w:r>
        <w:rPr>
          <w:rFonts w:eastAsia="DejaVu Sans" w:cs="DejaVu Sans"/>
          <w:b/>
          <w:color w:val="auto"/>
          <w:lang w:eastAsia="en-US" w:bidi="en-US" w:val="en-US"/>
        </w:rPr>
        <w:t>d</w:t>
      </w:r>
      <w:r>
        <w:rPr>
          <w:rFonts w:eastAsia="DejaVu Sans" w:cs="DejaVu Sans"/>
          <w:color w:val="auto"/>
          <w:lang w:val="en-US" w:eastAsia="en-US" w:bidi="en-US"/>
        </w:rPr>
        <w:t xml:space="preserve"> нет данных ?</w:t>
      </w:r>
    </w:p>
  </w:comment>
  <w:comment w:id="7" w:author="fvd" w:date="2019-01-08T21:15:00Z" w:initials="f">
    <w:p>
      <w:r>
        <w:rPr>
          <w:rFonts w:eastAsia="DejaVu Sans" w:cs="DejaVu Sans"/>
          <w:color w:val="auto"/>
          <w:lang w:val="en-US" w:eastAsia="en-US" w:bidi="en-US"/>
        </w:rPr>
        <w:t>Здесь я попытался перефразировать твои мысли. Не уверен, что получилось сильно лучше. На твое усмотрение.</w:t>
      </w:r>
    </w:p>
  </w:comment>
  <w:comment w:id="8" w:author="fvd" w:date="2019-01-08T15:46:00Z" w:initials="f">
    <w:p>
      <w:r>
        <w:rPr>
          <w:rFonts w:eastAsia="DejaVu Sans" w:cs="DejaVu Sans"/>
          <w:color w:val="auto"/>
          <w:lang w:val="en-US" w:eastAsia="en-US" w:bidi="en-US"/>
        </w:rPr>
        <w:t>Положителдьное значение  величины ?</w:t>
      </w:r>
    </w:p>
  </w:comment>
  <w:comment w:id="9" w:author="fvd" w:date="2019-01-08T16:19:00Z" w:initials="f">
    <w:p>
      <w:r>
        <w:rPr>
          <w:rFonts w:eastAsia="DejaVu Sans" w:cs="DejaVu Sans"/>
          <w:color w:val="auto"/>
          <w:lang w:val="en-US" w:eastAsia="en-US" w:bidi="en-US"/>
        </w:rPr>
        <w:t>Саша, ты проводил расчеты и для более высоких температур. Интересно, эти значения более близки к экспериментальным ? Если да, то, может быть, стоит привести их ?</w:t>
      </w:r>
    </w:p>
  </w:comment>
  <w:comment w:id="10" w:author="fvd" w:date="2019-01-09T12:50:00Z" w:initials="f">
    <w:p>
      <w:r>
        <w:rPr>
          <w:rFonts w:eastAsia="DejaVu Sans" w:cs="DejaVu Sans"/>
          <w:color w:val="auto"/>
          <w:lang w:val="en-US" w:eastAsia="en-US" w:bidi="en-US"/>
        </w:rPr>
        <w:t>Я написал другой вариант заключения. Получилось покороче, но не слишком хорошо. Посмотри. Давай еще пошлифуем</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tandard Symbols L">
    <w:charset w:val="01"/>
    <w:family w:val="roman"/>
    <w:pitch w:val="variable"/>
  </w:font>
  <w:font w:name="Symbol">
    <w:charset w:val="01"/>
    <w:family w:val="roman"/>
    <w:pitch w:val="variable"/>
  </w:font>
  <w:font w:name="Free Times">
    <w:charset w:val="01"/>
    <w:family w:val="roman"/>
    <w:pitch w:val="variable"/>
  </w:font>
  <w:font w:name="FreeSerif">
    <w:charset w:val="01"/>
    <w:family w:val="roman"/>
    <w:pitch w:val="variable"/>
  </w:font>
  <w:font w:name="Wingdings">
    <w:charset w:val="02"/>
    <w:family w:val="auto"/>
    <w:pitch w:val="default"/>
  </w:font>
  <w:font w:name="OpenSymbol">
    <w:altName w:val="Arial Unicode MS"/>
    <w:charset w:val="01"/>
    <w:family w:val="auto"/>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6"/>
      <w:jc w:val="center"/>
      <w:rPr/>
    </w:pPr>
    <w:r>
      <w:rPr/>
      <w:fldChar w:fldCharType="begin"/>
    </w:r>
    <w:r>
      <w:instrText> PAGE </w:instrText>
    </w:r>
    <w:r>
      <w:fldChar w:fldCharType="separate"/>
    </w:r>
    <w:r>
      <w:t>34</w:t>
    </w:r>
    <w:r>
      <w:fldChar w:fldCharType="end"/>
    </w:r>
    <w:r>
      <w:rPr/>
      <w:t>/</w:t>
    </w:r>
    <w:r>
      <w:rPr/>
      <w:fldChar w:fldCharType="begin"/>
    </w:r>
    <w:r>
      <w:instrText> NUMPAGES </w:instrText>
    </w:r>
    <w:r>
      <w:fldChar w:fldCharType="separate"/>
    </w:r>
    <w:r>
      <w:t>34</w:t>
    </w:r>
    <w:r>
      <w:fldChar w:fldCharType="end"/>
    </w:r>
    <w:r>
      <w:rPr/>
      <w:t xml:space="preserve"> от </w:t>
    </w:r>
    <w:r>
      <w:rPr/>
      <w:fldChar w:fldCharType="begin"/>
    </w:r>
    <w:r>
      <w:instrText> DATE \@"dd\.MM\.yy" </w:instrText>
    </w:r>
    <w:r>
      <w:fldChar w:fldCharType="separate"/>
    </w:r>
    <w:r>
      <w:t>09.01.19</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0" w:hanging="0"/>
      </w:pPr>
    </w:lvl>
    <w:lvl w:ilvl="1">
      <w:start w:val="1"/>
      <w:pStyle w:val="2"/>
      <w:numFmt w:val="none"/>
      <w:suff w:val="nothing"/>
      <w:lvlText w:val=""/>
      <w:lvlJc w:val="left"/>
      <w:pPr>
        <w:ind w:left="0" w:hanging="576"/>
      </w:pPr>
    </w:lvl>
    <w:lvl w:ilvl="2">
      <w:start w:val="1"/>
      <w:pStyle w:val="3"/>
      <w:numFmt w:val="none"/>
      <w:suff w:val="nothing"/>
      <w:lvlText w:val=""/>
      <w:lvlJc w:val="left"/>
      <w:pPr>
        <w:ind w:left="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720" w:hanging="0"/>
      </w:pPr>
    </w:lvl>
    <w:lvl w:ilvl="1">
      <w:start w:val="1"/>
      <w:numFmt w:val="none"/>
      <w:suff w:val="nothing"/>
      <w:lvlText w:val=""/>
      <w:lvlJc w:val="left"/>
      <w:pPr>
        <w:ind w:left="1080" w:hanging="576"/>
      </w:pPr>
    </w:lvl>
    <w:lvl w:ilvl="2">
      <w:start w:val="1"/>
      <w:numFmt w:val="none"/>
      <w:suff w:val="nothing"/>
      <w:lvlText w:val=""/>
      <w:lvlJc w:val="left"/>
      <w:pPr>
        <w:ind w:left="1440" w:hanging="720"/>
      </w:pPr>
    </w:lvl>
    <w:lvl w:ilvl="3">
      <w:start w:val="1"/>
      <w:numFmt w:val="none"/>
      <w:suff w:val="nothing"/>
      <w:lvlText w:val=""/>
      <w:lvlJc w:val="left"/>
      <w:pPr>
        <w:ind w:left="1800" w:hanging="0"/>
      </w:pPr>
    </w:lvl>
    <w:lvl w:ilvl="4">
      <w:start w:val="1"/>
      <w:numFmt w:val="none"/>
      <w:suff w:val="nothing"/>
      <w:lvlText w:val=""/>
      <w:lvlJc w:val="left"/>
      <w:pPr>
        <w:ind w:left="2160" w:hanging="0"/>
      </w:pPr>
    </w:lvl>
    <w:lvl w:ilvl="5">
      <w:start w:val="1"/>
      <w:numFmt w:val="none"/>
      <w:suff w:val="nothing"/>
      <w:lvlText w:val=""/>
      <w:lvlJc w:val="left"/>
      <w:pPr>
        <w:ind w:left="2520" w:hanging="0"/>
      </w:pPr>
    </w:lvl>
    <w:lvl w:ilvl="6">
      <w:start w:val="1"/>
      <w:numFmt w:val="none"/>
      <w:suff w:val="nothing"/>
      <w:lvlText w:val=""/>
      <w:lvlJc w:val="left"/>
      <w:pPr>
        <w:ind w:left="2880" w:hanging="0"/>
      </w:pPr>
    </w:lvl>
    <w:lvl w:ilvl="7">
      <w:start w:val="1"/>
      <w:numFmt w:val="none"/>
      <w:suff w:val="nothing"/>
      <w:lvlText w:val=""/>
      <w:lvlJc w:val="left"/>
      <w:pPr>
        <w:ind w:left="3240" w:hanging="0"/>
      </w:pPr>
    </w:lvl>
    <w:lvl w:ilvl="8">
      <w:start w:val="1"/>
      <w:numFmt w:val="none"/>
      <w:suff w:val="nothing"/>
      <w:lvlText w:val=""/>
      <w:lvlJc w:val="left"/>
      <w:pPr>
        <w:ind w:left="3600" w:hanging="0"/>
      </w:pPr>
    </w:lvl>
  </w:abstractNum>
  <w:abstractNum w:abstractNumId="3">
    <w:lvl w:ilvl="0">
      <w:start w:val="1"/>
      <w:numFmt w:val="none"/>
      <w:suff w:val="nothing"/>
      <w:lvlText w:val=""/>
      <w:lvlJc w:val="left"/>
      <w:pPr>
        <w:ind w:left="720" w:hanging="432"/>
      </w:pPr>
    </w:lvl>
    <w:lvl w:ilvl="1">
      <w:start w:val="1"/>
      <w:numFmt w:val="none"/>
      <w:suff w:val="nothing"/>
      <w:lvlText w:val=""/>
      <w:lvlJc w:val="left"/>
      <w:pPr>
        <w:ind w:left="1080" w:hanging="576"/>
      </w:pPr>
    </w:lvl>
    <w:lvl w:ilvl="2">
      <w:start w:val="1"/>
      <w:numFmt w:val="none"/>
      <w:suff w:val="nothing"/>
      <w:lvlText w:val=""/>
      <w:lvlJc w:val="left"/>
      <w:pPr>
        <w:ind w:left="1440" w:hanging="720"/>
      </w:pPr>
    </w:lvl>
    <w:lvl w:ilvl="3">
      <w:start w:val="1"/>
      <w:numFmt w:val="none"/>
      <w:suff w:val="nothing"/>
      <w:lvlText w:val=""/>
      <w:lvlJc w:val="left"/>
      <w:pPr>
        <w:ind w:left="1800" w:hanging="0"/>
      </w:pPr>
    </w:lvl>
    <w:lvl w:ilvl="4">
      <w:start w:val="1"/>
      <w:numFmt w:val="none"/>
      <w:suff w:val="nothing"/>
      <w:lvlText w:val=""/>
      <w:lvlJc w:val="left"/>
      <w:pPr>
        <w:ind w:left="2160" w:hanging="0"/>
      </w:pPr>
    </w:lvl>
    <w:lvl w:ilvl="5">
      <w:start w:val="1"/>
      <w:numFmt w:val="none"/>
      <w:suff w:val="nothing"/>
      <w:lvlText w:val=""/>
      <w:lvlJc w:val="left"/>
      <w:pPr>
        <w:ind w:left="2520" w:hanging="0"/>
      </w:pPr>
    </w:lvl>
    <w:lvl w:ilvl="6">
      <w:start w:val="1"/>
      <w:numFmt w:val="none"/>
      <w:suff w:val="nothing"/>
      <w:lvlText w:val=""/>
      <w:lvlJc w:val="left"/>
      <w:pPr>
        <w:ind w:left="2880" w:hanging="0"/>
      </w:pPr>
    </w:lvl>
    <w:lvl w:ilvl="7">
      <w:start w:val="1"/>
      <w:numFmt w:val="none"/>
      <w:suff w:val="nothing"/>
      <w:lvlText w:val=""/>
      <w:lvlJc w:val="left"/>
      <w:pPr>
        <w:ind w:left="3240" w:hanging="0"/>
      </w:pPr>
    </w:lvl>
    <w:lvl w:ilvl="8">
      <w:start w:val="1"/>
      <w:numFmt w:val="none"/>
      <w:suff w:val="nothing"/>
      <w:lvlText w:val=""/>
      <w:lvlJc w:val="left"/>
      <w:pPr>
        <w:ind w:left="3600" w:hanging="0"/>
      </w:pPr>
    </w:lvl>
  </w:abstractNum>
  <w:abstractNum w:abstractNumId="4">
    <w:lvl w:ilvl="0">
      <w:start w:val="1"/>
      <w:numFmt w:val="bullet"/>
      <w:lvlText w:val=""/>
      <w:lvlJc w:val="left"/>
      <w:pPr>
        <w:tabs>
          <w:tab w:val="num" w:pos="435"/>
        </w:tabs>
        <w:ind w:left="720" w:hanging="360"/>
      </w:pPr>
      <w:rPr>
        <w:rFonts w:ascii="Wingdings" w:hAnsi="Wingdings" w:cs="Wingdings" w:hint="default"/>
        <w:rFonts w:cs="Wingdings"/>
      </w:rPr>
    </w:lvl>
    <w:lvl w:ilvl="1">
      <w:start w:val="1"/>
      <w:numFmt w:val="bullet"/>
      <w:lvlText w:val="◦"/>
      <w:lvlJc w:val="left"/>
      <w:pPr>
        <w:tabs>
          <w:tab w:val="num" w:pos="795"/>
        </w:tabs>
        <w:ind w:left="1080" w:hanging="360"/>
      </w:pPr>
      <w:rPr>
        <w:rFonts w:ascii="OpenSymbol" w:hAnsi="OpenSymbol" w:cs="OpenSymbol" w:hint="default"/>
        <w:rFonts w:cs="OpenSymbol"/>
      </w:rPr>
    </w:lvl>
    <w:lvl w:ilvl="2">
      <w:start w:val="1"/>
      <w:numFmt w:val="bullet"/>
      <w:lvlText w:val="▪"/>
      <w:lvlJc w:val="left"/>
      <w:pPr>
        <w:tabs>
          <w:tab w:val="num" w:pos="1155"/>
        </w:tabs>
        <w:ind w:left="1440" w:hanging="360"/>
      </w:pPr>
      <w:rPr>
        <w:rFonts w:ascii="OpenSymbol" w:hAnsi="OpenSymbol" w:cs="OpenSymbol" w:hint="default"/>
        <w:rFonts w:cs="OpenSymbol"/>
      </w:rPr>
    </w:lvl>
    <w:lvl w:ilvl="3">
      <w:start w:val="1"/>
      <w:numFmt w:val="bullet"/>
      <w:lvlText w:val=""/>
      <w:lvlJc w:val="left"/>
      <w:pPr>
        <w:tabs>
          <w:tab w:val="num" w:pos="1515"/>
        </w:tabs>
        <w:ind w:left="1800" w:hanging="360"/>
      </w:pPr>
      <w:rPr>
        <w:rFonts w:ascii="Symbol" w:hAnsi="Symbol" w:cs="Symbol" w:hint="default"/>
        <w:rFonts w:cs="OpenSymbol"/>
      </w:rPr>
    </w:lvl>
    <w:lvl w:ilvl="4">
      <w:start w:val="1"/>
      <w:numFmt w:val="bullet"/>
      <w:lvlText w:val="◦"/>
      <w:lvlJc w:val="left"/>
      <w:pPr>
        <w:tabs>
          <w:tab w:val="num" w:pos="1875"/>
        </w:tabs>
        <w:ind w:left="2160" w:hanging="360"/>
      </w:pPr>
      <w:rPr>
        <w:rFonts w:ascii="OpenSymbol" w:hAnsi="OpenSymbol" w:cs="OpenSymbol" w:hint="default"/>
        <w:rFonts w:cs="OpenSymbol"/>
      </w:rPr>
    </w:lvl>
    <w:lvl w:ilvl="5">
      <w:start w:val="1"/>
      <w:numFmt w:val="bullet"/>
      <w:lvlText w:val="▪"/>
      <w:lvlJc w:val="left"/>
      <w:pPr>
        <w:tabs>
          <w:tab w:val="num" w:pos="2235"/>
        </w:tabs>
        <w:ind w:left="2520" w:hanging="360"/>
      </w:pPr>
      <w:rPr>
        <w:rFonts w:ascii="OpenSymbol" w:hAnsi="OpenSymbol" w:cs="OpenSymbol" w:hint="default"/>
        <w:rFonts w:cs="OpenSymbol"/>
      </w:rPr>
    </w:lvl>
    <w:lvl w:ilvl="6">
      <w:start w:val="1"/>
      <w:numFmt w:val="bullet"/>
      <w:lvlText w:val=""/>
      <w:lvlJc w:val="left"/>
      <w:pPr>
        <w:tabs>
          <w:tab w:val="num" w:pos="2595"/>
        </w:tabs>
        <w:ind w:left="2880" w:hanging="360"/>
      </w:pPr>
      <w:rPr>
        <w:rFonts w:ascii="Symbol" w:hAnsi="Symbol" w:cs="Symbol" w:hint="default"/>
        <w:rFonts w:cs="OpenSymbol"/>
      </w:rPr>
    </w:lvl>
    <w:lvl w:ilvl="7">
      <w:start w:val="1"/>
      <w:numFmt w:val="bullet"/>
      <w:lvlText w:val="◦"/>
      <w:lvlJc w:val="left"/>
      <w:pPr>
        <w:tabs>
          <w:tab w:val="num" w:pos="2955"/>
        </w:tabs>
        <w:ind w:left="3240" w:hanging="360"/>
      </w:pPr>
      <w:rPr>
        <w:rFonts w:ascii="OpenSymbol" w:hAnsi="OpenSymbol" w:cs="OpenSymbol" w:hint="default"/>
        <w:rFonts w:cs="OpenSymbol"/>
      </w:rPr>
    </w:lvl>
    <w:lvl w:ilvl="8">
      <w:start w:val="1"/>
      <w:numFmt w:val="bullet"/>
      <w:lvlText w:val="▪"/>
      <w:lvlJc w:val="left"/>
      <w:pPr>
        <w:tabs>
          <w:tab w:val="num" w:pos="3315"/>
        </w:tabs>
        <w:ind w:left="3600" w:hanging="360"/>
      </w:pPr>
      <w:rPr>
        <w:rFonts w:ascii="OpenSymbol" w:hAnsi="OpenSymbol" w:cs="OpenSymbol" w:hint="default"/>
        <w:rFonts w:cs="OpenSymbol"/>
      </w:r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isplayBackgroundShape/>
  <w:embedSystemFonts/>
  <w:defaultTabStop w:val="864"/>
  <w:autoHyphenation w:val="false"/>
  <w:compat>
    <w:compatSetting w:name="compatibilityMode" w:uri="http://schemas.microsoft.com/office/word" w:val="12"/>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ru-RU" w:eastAsia="ru-RU"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overflowPunct w:val="true"/>
      <w:bidi w:val="0"/>
      <w:spacing w:lineRule="auto" w:line="312"/>
      <w:ind w:firstLine="397"/>
      <w:jc w:val="both"/>
    </w:pPr>
    <w:rPr>
      <w:rFonts w:ascii="Liberation Serif" w:hAnsi="Liberation Serif" w:eastAsia="Noto Sans CJK SC Regular" w:cs="FreeSans"/>
      <w:color w:val="00000A"/>
      <w:sz w:val="24"/>
      <w:szCs w:val="24"/>
      <w:lang w:eastAsia="zh-CN" w:bidi="hi-IN" w:val="ru-RU"/>
    </w:rPr>
  </w:style>
  <w:style w:type="paragraph" w:styleId="1">
    <w:name w:val="Heading 1"/>
    <w:basedOn w:val="Style19"/>
    <w:qFormat/>
    <w:pPr>
      <w:numPr>
        <w:ilvl w:val="0"/>
        <w:numId w:val="1"/>
      </w:numPr>
      <w:spacing w:before="170" w:after="113"/>
      <w:jc w:val="left"/>
      <w:outlineLvl w:val="0"/>
      <w:outlineLvl w:val="0"/>
    </w:pPr>
    <w:rPr>
      <w:b/>
      <w:caps/>
      <w:color w:val="669900"/>
      <w:szCs w:val="36"/>
    </w:rPr>
  </w:style>
  <w:style w:type="paragraph" w:styleId="2">
    <w:name w:val="Heading 2"/>
    <w:basedOn w:val="Style19"/>
    <w:qFormat/>
    <w:pPr>
      <w:numPr>
        <w:ilvl w:val="1"/>
        <w:numId w:val="1"/>
      </w:numPr>
      <w:spacing w:before="113" w:after="57"/>
      <w:ind w:firstLine="397"/>
      <w:jc w:val="left"/>
      <w:outlineLvl w:val="1"/>
      <w:outlineLvl w:val="1"/>
    </w:pPr>
    <w:rPr>
      <w:b/>
      <w:sz w:val="24"/>
      <w:szCs w:val="32"/>
    </w:rPr>
  </w:style>
  <w:style w:type="paragraph" w:styleId="3">
    <w:name w:val="Heading 3"/>
    <w:basedOn w:val="Style19"/>
    <w:qFormat/>
    <w:pPr>
      <w:numPr>
        <w:ilvl w:val="2"/>
        <w:numId w:val="1"/>
      </w:numPr>
      <w:spacing w:before="142" w:after="0"/>
      <w:ind w:firstLine="567"/>
      <w:outlineLvl w:val="2"/>
      <w:outlineLvl w:val="2"/>
    </w:pPr>
    <w:rPr>
      <w:b/>
      <w:bCs/>
    </w:rPr>
  </w:style>
  <w:style w:type="character" w:styleId="DefaultParagraphFont" w:default="1">
    <w:name w:val="Default Paragraph Font"/>
    <w:uiPriority w:val="1"/>
    <w:semiHidden/>
    <w:unhideWhenUsed/>
    <w:qFormat/>
    <w:rPr/>
  </w:style>
  <w:style w:type="character" w:styleId="WW8Num1z0" w:customStyle="1">
    <w:name w:val="WW8Num1z0"/>
    <w:qFormat/>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style>
  <w:style w:type="character" w:styleId="WW8Num2z1" w:customStyle="1">
    <w:name w:val="WW8Num2z1"/>
    <w:qFormat/>
    <w:rPr/>
  </w:style>
  <w:style w:type="character" w:styleId="WW8Num2z2" w:customStyle="1">
    <w:name w:val="WW8Num2z2"/>
    <w:qFormat/>
    <w:rPr/>
  </w:style>
  <w:style w:type="character" w:styleId="WW8Num2z3" w:customStyle="1">
    <w:name w:val="WW8Num2z3"/>
    <w:qFormat/>
    <w:rPr/>
  </w:style>
  <w:style w:type="character" w:styleId="WW8Num2z4" w:customStyle="1">
    <w:name w:val="WW8Num2z4"/>
    <w:qFormat/>
    <w:rPr/>
  </w:style>
  <w:style w:type="character" w:styleId="WW8Num2z5" w:customStyle="1">
    <w:name w:val="WW8Num2z5"/>
    <w:qFormat/>
    <w:rPr/>
  </w:style>
  <w:style w:type="character" w:styleId="WW8Num2z6" w:customStyle="1">
    <w:name w:val="WW8Num2z6"/>
    <w:qFormat/>
    <w:rPr/>
  </w:style>
  <w:style w:type="character" w:styleId="WW8Num2z7" w:customStyle="1">
    <w:name w:val="WW8Num2z7"/>
    <w:qFormat/>
    <w:rPr/>
  </w:style>
  <w:style w:type="character" w:styleId="WW8Num2z8" w:customStyle="1">
    <w:name w:val="WW8Num2z8"/>
    <w:qFormat/>
    <w:rPr/>
  </w:style>
  <w:style w:type="character" w:styleId="WW8Num3z0" w:customStyle="1">
    <w:name w:val="WW8Num3z0"/>
    <w:qFormat/>
    <w:rPr/>
  </w:style>
  <w:style w:type="character" w:styleId="WW8Num3z1" w:customStyle="1">
    <w:name w:val="WW8Num3z1"/>
    <w:qFormat/>
    <w:rPr/>
  </w:style>
  <w:style w:type="character" w:styleId="WW8Num3z2" w:customStyle="1">
    <w:name w:val="WW8Num3z2"/>
    <w:qFormat/>
    <w:rPr/>
  </w:style>
  <w:style w:type="character" w:styleId="WW8Num3z3" w:customStyle="1">
    <w:name w:val="WW8Num3z3"/>
    <w:qFormat/>
    <w:rPr/>
  </w:style>
  <w:style w:type="character" w:styleId="WW8Num3z4" w:customStyle="1">
    <w:name w:val="WW8Num3z4"/>
    <w:qFormat/>
    <w:rPr/>
  </w:style>
  <w:style w:type="character" w:styleId="WW8Num3z5" w:customStyle="1">
    <w:name w:val="WW8Num3z5"/>
    <w:qFormat/>
    <w:rPr/>
  </w:style>
  <w:style w:type="character" w:styleId="WW8Num3z6" w:customStyle="1">
    <w:name w:val="WW8Num3z6"/>
    <w:qFormat/>
    <w:rPr/>
  </w:style>
  <w:style w:type="character" w:styleId="WW8Num3z7" w:customStyle="1">
    <w:name w:val="WW8Num3z7"/>
    <w:qFormat/>
    <w:rPr/>
  </w:style>
  <w:style w:type="character" w:styleId="WW8Num3z8" w:customStyle="1">
    <w:name w:val="WW8Num3z8"/>
    <w:qFormat/>
    <w:rPr/>
  </w:style>
  <w:style w:type="character" w:styleId="11" w:customStyle="1">
    <w:name w:val="Основной шрифт абзаца1"/>
    <w:qFormat/>
    <w:rPr/>
  </w:style>
  <w:style w:type="character" w:styleId="Style11" w:customStyle="1">
    <w:name w:val="Символ нумерации"/>
    <w:qFormat/>
    <w:rPr/>
  </w:style>
  <w:style w:type="character" w:styleId="Style12" w:customStyle="1">
    <w:name w:val="Текст выноски Знак"/>
    <w:qFormat/>
    <w:rPr>
      <w:rFonts w:ascii="Tahoma" w:hAnsi="Tahoma" w:eastAsia="Tahoma"/>
      <w:sz w:val="16"/>
    </w:rPr>
  </w:style>
  <w:style w:type="character" w:styleId="21" w:customStyle="1">
    <w:name w:val="Основной шрифт абзаца2"/>
    <w:qFormat/>
    <w:rPr/>
  </w:style>
  <w:style w:type="character" w:styleId="12" w:customStyle="1">
    <w:name w:val="Текст выноски Знак1"/>
    <w:basedOn w:val="DefaultParagraphFont"/>
    <w:qFormat/>
    <w:rPr>
      <w:rFonts w:ascii="Tahoma" w:hAnsi="Tahoma" w:eastAsia="Noto Sans CJK SC Regular" w:cs="Mangal"/>
      <w:sz w:val="16"/>
      <w:szCs w:val="14"/>
      <w:lang w:eastAsia="zh-CN" w:bidi="hi-IN"/>
    </w:rPr>
  </w:style>
  <w:style w:type="character" w:styleId="Style13" w:customStyle="1">
    <w:name w:val="Интернет-ссылка"/>
    <w:rPr>
      <w:color w:val="000080"/>
      <w:u w:val="single"/>
    </w:rPr>
  </w:style>
  <w:style w:type="character" w:styleId="Annotationreference">
    <w:name w:val="annotation reference"/>
    <w:qFormat/>
    <w:rPr>
      <w:sz w:val="16"/>
    </w:rPr>
  </w:style>
  <w:style w:type="character" w:styleId="Style14" w:customStyle="1">
    <w:name w:val="Текст примечания Знак"/>
    <w:qFormat/>
    <w:rPr>
      <w:rFonts w:ascii="Liberation Serif" w:hAnsi="Liberation Serif" w:eastAsia="Mangal"/>
      <w:sz w:val="18"/>
      <w:lang w:eastAsia="hi-IN"/>
    </w:rPr>
  </w:style>
  <w:style w:type="character" w:styleId="Style15" w:customStyle="1">
    <w:name w:val="Тема примечания Знак"/>
    <w:qFormat/>
    <w:rPr>
      <w:rFonts w:ascii="Liberation Serif" w:hAnsi="Liberation Serif" w:eastAsia="Mangal"/>
      <w:b/>
      <w:sz w:val="18"/>
      <w:lang w:eastAsia="hi-IN"/>
    </w:rPr>
  </w:style>
  <w:style w:type="character" w:styleId="Style16" w:customStyle="1">
    <w:name w:val="Посещённая гиперссылка"/>
    <w:rPr>
      <w:color w:val="800000"/>
      <w:u w:val="single"/>
    </w:rPr>
  </w:style>
  <w:style w:type="character" w:styleId="Style17" w:customStyle="1">
    <w:name w:val="Маркеры списка"/>
    <w:qFormat/>
    <w:rPr>
      <w:rFonts w:ascii="OpenSymbol" w:hAnsi="OpenSymbol" w:eastAsia="OpenSymbol" w:cs="OpenSymbol"/>
    </w:rPr>
  </w:style>
  <w:style w:type="character" w:styleId="ListLabel1" w:customStyle="1">
    <w:name w:val="ListLabel 1"/>
    <w:qFormat/>
    <w:rPr>
      <w:rFonts w:cs="Wingdings"/>
    </w:rPr>
  </w:style>
  <w:style w:type="character" w:styleId="ListLabel2" w:customStyle="1">
    <w:name w:val="ListLabel 2"/>
    <w:qFormat/>
    <w:rPr>
      <w:rFonts w:cs="OpenSymbol"/>
    </w:rPr>
  </w:style>
  <w:style w:type="character" w:styleId="ListLabel3" w:customStyle="1">
    <w:name w:val="ListLabel 3"/>
    <w:qFormat/>
    <w:rPr>
      <w:rFonts w:cs="OpenSymbol"/>
    </w:rPr>
  </w:style>
  <w:style w:type="character" w:styleId="ListLabel4" w:customStyle="1">
    <w:name w:val="ListLabel 4"/>
    <w:qFormat/>
    <w:rPr>
      <w:rFonts w:cs="OpenSymbol"/>
    </w:rPr>
  </w:style>
  <w:style w:type="character" w:styleId="ListLabel5" w:customStyle="1">
    <w:name w:val="ListLabel 5"/>
    <w:qFormat/>
    <w:rPr>
      <w:rFonts w:cs="OpenSymbol"/>
    </w:rPr>
  </w:style>
  <w:style w:type="character" w:styleId="ListLabel6" w:customStyle="1">
    <w:name w:val="ListLabel 6"/>
    <w:qFormat/>
    <w:rPr>
      <w:rFonts w:cs="OpenSymbol"/>
    </w:rPr>
  </w:style>
  <w:style w:type="character" w:styleId="ListLabel7" w:customStyle="1">
    <w:name w:val="ListLabel 7"/>
    <w:qFormat/>
    <w:rPr>
      <w:rFonts w:cs="OpenSymbol"/>
    </w:rPr>
  </w:style>
  <w:style w:type="character" w:styleId="ListLabel8" w:customStyle="1">
    <w:name w:val="ListLabel 8"/>
    <w:qFormat/>
    <w:rPr>
      <w:rFonts w:cs="OpenSymbol"/>
    </w:rPr>
  </w:style>
  <w:style w:type="character" w:styleId="ListLabel9" w:customStyle="1">
    <w:name w:val="ListLabel 9"/>
    <w:qFormat/>
    <w:rPr>
      <w:rFonts w:cs="OpenSymbol"/>
    </w:rPr>
  </w:style>
  <w:style w:type="character" w:styleId="Style18" w:customStyle="1">
    <w:name w:val="Цитата"/>
    <w:qFormat/>
    <w:rPr>
      <w:i/>
      <w:iCs/>
    </w:rPr>
  </w:style>
  <w:style w:type="character" w:styleId="ListLabel10">
    <w:name w:val="ListLabel 10"/>
    <w:qFormat/>
    <w:rPr>
      <w:rFonts w:cs="Wingdings"/>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paragraph" w:styleId="Style19" w:customStyle="1">
    <w:name w:val="Заголовок"/>
    <w:basedOn w:val="Normal"/>
    <w:next w:val="Style20"/>
    <w:qFormat/>
    <w:pPr>
      <w:keepNext/>
      <w:spacing w:before="240" w:after="120"/>
    </w:pPr>
    <w:rPr>
      <w:rFonts w:ascii="Liberation Sans" w:hAnsi="Liberation Sans"/>
      <w:sz w:val="28"/>
      <w:szCs w:val="28"/>
    </w:rPr>
  </w:style>
  <w:style w:type="paragraph" w:styleId="Style20">
    <w:name w:val="Body Text"/>
    <w:basedOn w:val="Normal"/>
    <w:pPr>
      <w:spacing w:lineRule="auto" w:line="288" w:before="0" w:after="140"/>
    </w:pPr>
    <w:rPr/>
  </w:style>
  <w:style w:type="paragraph" w:styleId="Style21">
    <w:name w:val="List"/>
    <w:basedOn w:val="Style20"/>
    <w:pPr/>
    <w:rPr/>
  </w:style>
  <w:style w:type="paragraph" w:styleId="Style22">
    <w:name w:val="Caption"/>
    <w:basedOn w:val="Normal"/>
    <w:qFormat/>
    <w:pPr>
      <w:suppressLineNumbers/>
      <w:spacing w:before="120" w:after="120"/>
    </w:pPr>
    <w:rPr>
      <w:rFonts w:cs="FreeSans"/>
      <w:i/>
      <w:iCs/>
      <w:sz w:val="24"/>
      <w:szCs w:val="24"/>
    </w:rPr>
  </w:style>
  <w:style w:type="paragraph" w:styleId="Style23" w:customStyle="1">
    <w:name w:val="Указатель"/>
    <w:basedOn w:val="Normal"/>
    <w:qFormat/>
    <w:pPr>
      <w:suppressLineNumbers/>
    </w:pPr>
    <w:rPr/>
  </w:style>
  <w:style w:type="paragraph" w:styleId="Caption">
    <w:name w:val="caption"/>
    <w:basedOn w:val="Normal"/>
    <w:qFormat/>
    <w:pPr>
      <w:suppressLineNumbers/>
      <w:spacing w:before="120" w:after="120"/>
    </w:pPr>
    <w:rPr>
      <w:i/>
      <w:iCs/>
    </w:rPr>
  </w:style>
  <w:style w:type="paragraph" w:styleId="22" w:customStyle="1">
    <w:name w:val="Указатель2"/>
    <w:basedOn w:val="Normal"/>
    <w:qFormat/>
    <w:pPr>
      <w:suppressLineNumbers/>
    </w:pPr>
    <w:rPr/>
  </w:style>
  <w:style w:type="paragraph" w:styleId="13" w:customStyle="1">
    <w:name w:val="Название объекта1"/>
    <w:basedOn w:val="Normal"/>
    <w:qFormat/>
    <w:pPr>
      <w:suppressLineNumbers/>
      <w:spacing w:before="120" w:after="120"/>
    </w:pPr>
    <w:rPr>
      <w:i/>
      <w:iCs/>
    </w:rPr>
  </w:style>
  <w:style w:type="paragraph" w:styleId="14" w:customStyle="1">
    <w:name w:val="Указатель1"/>
    <w:basedOn w:val="Normal"/>
    <w:qFormat/>
    <w:pPr>
      <w:suppressLineNumbers/>
    </w:pPr>
    <w:rPr/>
  </w:style>
  <w:style w:type="paragraph" w:styleId="Style24" w:customStyle="1">
    <w:name w:val="Содержимое таблицы"/>
    <w:basedOn w:val="Normal"/>
    <w:qFormat/>
    <w:pPr>
      <w:suppressLineNumbers/>
    </w:pPr>
    <w:rPr/>
  </w:style>
  <w:style w:type="paragraph" w:styleId="Style25" w:customStyle="1">
    <w:name w:val="Заголовок таблицы"/>
    <w:basedOn w:val="Style24"/>
    <w:qFormat/>
    <w:pPr>
      <w:jc w:val="center"/>
    </w:pPr>
    <w:rPr>
      <w:b/>
      <w:bCs/>
    </w:rPr>
  </w:style>
  <w:style w:type="paragraph" w:styleId="Style26">
    <w:name w:val="Footer"/>
    <w:basedOn w:val="Normal"/>
    <w:pPr>
      <w:suppressLineNumbers/>
      <w:tabs>
        <w:tab w:val="center" w:pos="4819" w:leader="none"/>
        <w:tab w:val="right" w:pos="9638" w:leader="none"/>
      </w:tabs>
    </w:pPr>
    <w:rPr/>
  </w:style>
  <w:style w:type="paragraph" w:styleId="15" w:customStyle="1">
    <w:name w:val="Текст выноски1"/>
    <w:basedOn w:val="Normal"/>
    <w:qFormat/>
    <w:pPr>
      <w:spacing w:lineRule="auto" w:line="240"/>
      <w:jc w:val="left"/>
    </w:pPr>
    <w:rPr>
      <w:rFonts w:ascii="Tahoma" w:hAnsi="Tahoma" w:eastAsia="Tahoma"/>
      <w:sz w:val="16"/>
    </w:rPr>
  </w:style>
  <w:style w:type="paragraph" w:styleId="Style27" w:customStyle="1">
    <w:name w:val="Блочная цитата"/>
    <w:basedOn w:val="Normal"/>
    <w:qFormat/>
    <w:pPr/>
    <w:rPr/>
  </w:style>
  <w:style w:type="paragraph" w:styleId="Style28">
    <w:name w:val="Title"/>
    <w:basedOn w:val="Style19"/>
    <w:qFormat/>
    <w:pPr/>
    <w:rPr/>
  </w:style>
  <w:style w:type="paragraph" w:styleId="Style29">
    <w:name w:val="Subtitle"/>
    <w:basedOn w:val="Style19"/>
    <w:qFormat/>
    <w:pPr/>
    <w:rPr/>
  </w:style>
  <w:style w:type="paragraph" w:styleId="ListParagraph">
    <w:name w:val="List Paragraph"/>
    <w:basedOn w:val="Normal"/>
    <w:qFormat/>
    <w:pPr>
      <w:spacing w:before="0" w:after="0"/>
      <w:ind w:left="720" w:firstLine="567"/>
      <w:contextualSpacing/>
    </w:pPr>
    <w:rPr>
      <w:rFonts w:cs="Mangal"/>
      <w:szCs w:val="21"/>
    </w:rPr>
  </w:style>
  <w:style w:type="paragraph" w:styleId="BalloonText">
    <w:name w:val="Balloon Text"/>
    <w:basedOn w:val="Normal"/>
    <w:qFormat/>
    <w:pPr>
      <w:spacing w:lineRule="auto" w:line="240"/>
    </w:pPr>
    <w:rPr>
      <w:rFonts w:ascii="Tahoma" w:hAnsi="Tahoma" w:cs="Mangal"/>
      <w:sz w:val="16"/>
      <w:szCs w:val="14"/>
    </w:rPr>
  </w:style>
  <w:style w:type="paragraph" w:styleId="Indexheading">
    <w:name w:val="index heading"/>
    <w:basedOn w:val="Normal"/>
    <w:qFormat/>
    <w:pPr>
      <w:ind w:firstLine="567"/>
    </w:pPr>
    <w:rPr>
      <w:rFonts w:eastAsia="FreeSans"/>
      <w:lang w:eastAsia="hi-IN"/>
    </w:rPr>
  </w:style>
  <w:style w:type="paragraph" w:styleId="Annotationtext">
    <w:name w:val="annotation text"/>
    <w:basedOn w:val="Normal"/>
    <w:qFormat/>
    <w:pPr>
      <w:spacing w:lineRule="auto" w:line="240"/>
      <w:ind w:firstLine="567"/>
    </w:pPr>
    <w:rPr>
      <w:rFonts w:eastAsia="FreeSans"/>
      <w:sz w:val="20"/>
      <w:lang w:eastAsia="hi-IN"/>
    </w:rPr>
  </w:style>
  <w:style w:type="paragraph" w:styleId="Annotationsubject">
    <w:name w:val="annotation subject"/>
    <w:qFormat/>
    <w:pPr>
      <w:widowControl/>
      <w:suppressAutoHyphens w:val="true"/>
      <w:overflowPunct w:val="true"/>
      <w:bidi w:val="0"/>
      <w:ind w:firstLine="567"/>
      <w:jc w:val="both"/>
    </w:pPr>
    <w:rPr>
      <w:rFonts w:ascii="Liberation Serif" w:hAnsi="Liberation Serif" w:eastAsia="0" w:cs="Liberation Serif"/>
      <w:b/>
      <w:color w:val="000000"/>
      <w:sz w:val="24"/>
      <w:szCs w:val="24"/>
      <w:lang w:eastAsia="ar-SA" w:val="ru-RU"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alex_root@mail.ru"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oleObject" Target="embeddings/oleObject1.bin"/><Relationship Id="rId24" Type="http://schemas.openxmlformats.org/officeDocument/2006/relationships/image" Target="media/image21.emf"/><Relationship Id="rId25" Type="http://schemas.openxmlformats.org/officeDocument/2006/relationships/image" Target="media/image22.png"/><Relationship Id="rId26" Type="http://schemas.openxmlformats.org/officeDocument/2006/relationships/oleObject" Target="embeddings/oleObject2.bin"/><Relationship Id="rId27" Type="http://schemas.openxmlformats.org/officeDocument/2006/relationships/image" Target="media/image23.emf"/><Relationship Id="rId28" Type="http://schemas.openxmlformats.org/officeDocument/2006/relationships/hyperlink" Target="https://doi.org/10.1002/ejoc.201800887" TargetMode="External"/><Relationship Id="rId29" Type="http://schemas.openxmlformats.org/officeDocument/2006/relationships/hyperlink" Target="http://www.unece.org/trans/danger/danger.html" TargetMode="External"/><Relationship Id="rId30" Type="http://schemas.openxmlformats.org/officeDocument/2006/relationships/hyperlink" Target="https://www.R-project.org/" TargetMode="External"/><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wmf"/><Relationship Id="rId38" Type="http://schemas.openxmlformats.org/officeDocument/2006/relationships/image" Target="media/image31.wmf"/><Relationship Id="rId39" Type="http://schemas.openxmlformats.org/officeDocument/2006/relationships/image" Target="media/image32.wmf"/><Relationship Id="rId40" Type="http://schemas.openxmlformats.org/officeDocument/2006/relationships/image" Target="media/image33.wmf"/><Relationship Id="rId41" Type="http://schemas.openxmlformats.org/officeDocument/2006/relationships/image" Target="media/image34.png"/><Relationship Id="rId42" Type="http://schemas.openxmlformats.org/officeDocument/2006/relationships/image" Target="media/image35.wmf"/><Relationship Id="rId43" Type="http://schemas.openxmlformats.org/officeDocument/2006/relationships/image" Target="media/image36.wmf"/><Relationship Id="rId44" Type="http://schemas.openxmlformats.org/officeDocument/2006/relationships/image" Target="media/image37.wmf"/><Relationship Id="rId45" Type="http://schemas.openxmlformats.org/officeDocument/2006/relationships/image" Target="media/image38.wmf"/><Relationship Id="rId46" Type="http://schemas.openxmlformats.org/officeDocument/2006/relationships/image" Target="media/image39.wmf"/><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wmf"/><Relationship Id="rId50" Type="http://schemas.openxmlformats.org/officeDocument/2006/relationships/image" Target="media/image43.wmf"/><Relationship Id="rId51" Type="http://schemas.openxmlformats.org/officeDocument/2006/relationships/hyperlink" Target="https://www.openms.de/" TargetMode="External"/><Relationship Id="rId52" Type="http://schemas.openxmlformats.org/officeDocument/2006/relationships/footer" Target="footer1.xml"/><Relationship Id="rId53" Type="http://schemas.openxmlformats.org/officeDocument/2006/relationships/comments" Target="comments.xml"/><Relationship Id="rId54" Type="http://schemas.openxmlformats.org/officeDocument/2006/relationships/numbering" Target="numbering.xml"/><Relationship Id="rId55" Type="http://schemas.openxmlformats.org/officeDocument/2006/relationships/fontTable" Target="fontTable.xml"/><Relationship Id="rId56" Type="http://schemas.openxmlformats.org/officeDocument/2006/relationships/settings" Target="settings.xml"/><Relationship Id="rId5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2118</TotalTime>
  <Application>LibreOffice/5.2.7.2$Linux_X86_64 LibreOffice_project/20m0$Build-2</Application>
  <Pages>17</Pages>
  <Words>6255</Words>
  <Characters>41347</Characters>
  <CharactersWithSpaces>47287</CharactersWithSpaces>
  <Paragraphs>521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2017-06-12T04:04:00Z</dcterms:created>
  <dc:creator>Victor</dc:creator>
  <dc:description/>
  <dc:language>ru-RU</dc:language>
  <cp:lastModifiedBy>fvd</cp:lastModifiedBy>
  <cp:lastPrinted>1900-12-31T17:00:00Z</cp:lastPrinted>
  <dcterms:modified xsi:type="dcterms:W3CDTF">2019-01-09T05:51:00Z</dcterms:modified>
  <cp:revision>740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