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29.wmf" ContentType="image/x-wmf"/>
  <Override PartName="/word/media/image28.png" ContentType="image/png"/>
  <Override PartName="/word/media/image27.wmf" ContentType="image/x-wmf"/>
  <Override PartName="/word/media/image26.wmf" ContentType="image/x-wmf"/>
  <Override PartName="/word/media/image25.wmf" ContentType="image/x-wmf"/>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position w:val="0"/>
          <w:sz w:val="24"/>
          <w:vertAlign w:val="baseline"/>
          <w:lang w:val="en-US"/>
        </w:rPr>
        <w:t>,</w:t>
      </w:r>
      <w:r>
        <w:rPr>
          <w:lang w:val="en-US"/>
        </w:rPr>
        <w:t xml:space="preserve">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w:pPr>
        <w:pStyle w:val="Normal"/>
        <w:rPr/>
      </w:pPr>
      <w:r>
        <w:rPr>
          <w:vertAlign w:val="superscript"/>
          <w:lang w:val="en-US"/>
        </w:rPr>
        <w:t>2 </w:t>
      </w:r>
      <w:r>
        <w:rPr>
          <w:lang w:val="en-US"/>
        </w:rPr>
        <w:t>S. Toraighyrov Pavlodar State University, Pavlodar, Kazakhstan</w:t>
      </w:r>
    </w:p>
    <w:p>
      <w:pPr>
        <w:pStyle w:val="Normal"/>
        <w:widowControl/>
        <w:suppressAutoHyphens w:val="true"/>
        <w:overflowPunct w:val="false"/>
        <w:bidi w:val="0"/>
        <w:spacing w:lineRule="auto" w:line="312"/>
        <w:ind w:left="510" w:right="0" w:hanging="113"/>
        <w:jc w:val="both"/>
        <w:rPr/>
      </w:pPr>
      <w:r>
        <w:rPr>
          <w:vertAlign w:val="superscript"/>
          <w:lang w:val="en-US"/>
        </w:rPr>
        <w:t>3 </w:t>
      </w:r>
      <w:r>
        <w:rPr>
          <w:lang w:val="en-US"/>
        </w:rPr>
        <w:t>Department of Biotechnology and Organic Chemistry, National Research Tomsk Polytechnic University, 634050 Tomsk, Russia</w:t>
      </w:r>
    </w:p>
    <w:p>
      <w:pPr>
        <w:pStyle w:val="1"/>
        <w:numPr>
          <w:ilvl w:val="0"/>
          <w:numId w:val="2"/>
        </w:numPr>
        <w:ind w:left="0" w:right="0" w:hanging="0"/>
        <w:rPr/>
      </w:pPr>
      <w:r>
        <w:rPr/>
        <w:t xml:space="preserve">  </w:t>
      </w:r>
      <w:r>
        <w:rPr/>
        <w:t>Abstract</w:t>
      </w:r>
    </w:p>
    <w:p>
      <w:pPr>
        <w:pStyle w:val="Normal"/>
        <w:widowControl/>
        <w:numPr>
          <w:ilvl w:val="2"/>
          <w:numId w:val="3"/>
        </w:numPr>
        <w:suppressAutoHyphens w:val="true"/>
        <w:bidi w:val="0"/>
        <w:spacing w:lineRule="auto" w:line="312"/>
        <w:ind w:left="0" w:right="0" w:firstLine="397"/>
        <w:jc w:val="both"/>
        <w:rPr/>
      </w:pPr>
      <w:r>
        <w:rPr/>
        <w:t xml:space="preserve">Впервые методом </w:t>
      </w:r>
      <w:r>
        <w:rPr>
          <w:highlight w:val="green"/>
        </w:rPr>
        <w:t>изотермической</w:t>
      </w:r>
      <w:r>
        <w:rPr/>
        <w:t xml:space="preserve"> </w:t>
      </w:r>
      <w:r>
        <w:rPr/>
        <w:t>потоковой калориметрии и DSC изучены трифлатные, тозилатные и тетрафторборатные соли диазония. Проведен анализ Аррениуса и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1"/>
        <w:numPr>
          <w:ilvl w:val="0"/>
          <w:numId w:val="4"/>
        </w:numPr>
        <w:rPr/>
      </w:pPr>
      <w:r>
        <w:rPr/>
        <w:t>Introduction</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Ароматические диазониевые соли (</w:t>
      </w:r>
      <w:r>
        <w:rPr>
          <w:rFonts w:eastAsia="Times New Roman" w:cs="Times New Roman"/>
          <w:sz w:val="24"/>
          <w:szCs w:val="24"/>
          <w:lang w:val="en-US"/>
        </w:rPr>
        <w:t>DS</w:t>
      </w:r>
      <w:r>
        <w:rPr>
          <w:rFonts w:eastAsia="Times New Roman" w:cs="Times New Roman"/>
          <w:sz w:val="24"/>
          <w:szCs w:val="24"/>
          <w:lang w:val="ru-RU"/>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Вместе с тем, для многих </w:t>
      </w:r>
      <w:r>
        <w:rPr>
          <w:rFonts w:eastAsia="Times New Roman" w:cs="Times New Roman"/>
          <w:sz w:val="24"/>
          <w:szCs w:val="24"/>
          <w:lang w:val="en-US"/>
        </w:rPr>
        <w:t>DS</w:t>
      </w:r>
      <w:r>
        <w:rPr>
          <w:rFonts w:eastAsia="Times New Roman" w:cs="Times New Roman"/>
          <w:sz w:val="24"/>
          <w:szCs w:val="24"/>
          <w:lang w:val="ru-RU"/>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sz w:val="24"/>
          <w:szCs w:val="24"/>
          <w:lang w:val="en-US"/>
        </w:rPr>
        <w:t>a</w:t>
      </w:r>
      <w:r>
        <w:rPr>
          <w:rFonts w:eastAsia="Times New Roman" w:cs="Times New Roman"/>
          <w:sz w:val="24"/>
          <w:szCs w:val="24"/>
          <w:lang w:val="ru-RU"/>
        </w:rPr>
        <w:t>],</w:t>
      </w:r>
      <w:r>
        <w:rPr>
          <w:rFonts w:eastAsia="Times New Roman" w:cs="Times New Roman"/>
          <w:sz w:val="24"/>
          <w:szCs w:val="24"/>
          <w:vertAlign w:val="superscript"/>
          <w:lang w:val="ru-RU"/>
        </w:rPr>
        <w:t xml:space="preserve"> </w:t>
      </w:r>
      <w:r>
        <w:rPr>
          <w:rFonts w:eastAsia="Times New Roman" w:cs="Times New Roman"/>
          <w:sz w:val="24"/>
          <w:szCs w:val="24"/>
          <w:lang w:val="ru-RU"/>
        </w:rPr>
        <w:t>что затрудняет их получение и использование особенно в промышленном масштабе.</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Недавно нами получены арендиазоний тозилаты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TsO</w:t>
      </w:r>
      <w:r>
        <w:rPr>
          <w:rFonts w:eastAsia="Times New Roman" w:cs="Times New Roman"/>
          <w:sz w:val="24"/>
          <w:szCs w:val="24"/>
          <w:vertAlign w:val="superscript"/>
          <w:lang w:val="ru-RU"/>
        </w:rPr>
        <w:t>-</w:t>
      </w:r>
      <w:r>
        <w:rPr>
          <w:rFonts w:eastAsia="Times New Roman" w:cs="Times New Roman"/>
          <w:sz w:val="24"/>
          <w:szCs w:val="24"/>
          <w:lang w:val="ru-RU"/>
        </w:rPr>
        <w:t xml:space="preserve"> (ADTs) [3a] и трифлаты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TfO</w:t>
      </w:r>
      <w:r>
        <w:rPr>
          <w:rFonts w:eastAsia="Times New Roman" w:cs="Times New Roman"/>
          <w:sz w:val="24"/>
          <w:szCs w:val="24"/>
          <w:vertAlign w:val="superscript"/>
          <w:lang w:val="ru-RU"/>
        </w:rPr>
        <w:t>-</w:t>
      </w:r>
      <w:r>
        <w:rPr>
          <w:rFonts w:eastAsia="Times New Roman" w:cs="Times New Roman"/>
          <w:sz w:val="24"/>
          <w:szCs w:val="24"/>
          <w:lang w:val="ru-RU"/>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sz w:val="24"/>
          <w:szCs w:val="24"/>
          <w:vertAlign w:val="superscript"/>
          <w:lang w:val="ru-RU"/>
        </w:rPr>
        <w:t>19</w:t>
      </w:r>
      <w:r>
        <w:rPr>
          <w:rFonts w:eastAsia="Times New Roman" w:cs="Times New Roman"/>
          <w:sz w:val="24"/>
          <w:szCs w:val="24"/>
          <w:lang w:val="ru-RU"/>
        </w:rPr>
        <w:t xml:space="preserve">F [5a], проведения  azo-coupling с этил </w:t>
      </w:r>
      <w:r>
        <w:rPr>
          <w:rFonts w:eastAsia="Symbol" w:cs="Symbol" w:ascii="Standard Symbols L" w:hAnsi="Standard Symbols L"/>
          <w:sz w:val="24"/>
          <w:szCs w:val="24"/>
          <w:lang w:val="ru-RU"/>
        </w:rPr>
        <w:t>a</w:t>
      </w:r>
      <w:r>
        <w:rPr>
          <w:rFonts w:eastAsia="Times New Roman" w:cs="Times New Roman"/>
          <w:sz w:val="24"/>
          <w:szCs w:val="24"/>
          <w:lang w:val="ru-RU"/>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 работах [3a,b,g] определены энергии термического разложения некоторых ADTs и ADTf методом </w:t>
      </w:r>
      <w:r>
        <w:rPr>
          <w:rFonts w:eastAsia="Times New Roman" w:cs="Times New Roman"/>
          <w:sz w:val="24"/>
          <w:szCs w:val="24"/>
          <w:lang w:val="en-US"/>
        </w:rPr>
        <w:t>DSC</w:t>
      </w:r>
      <w:r>
        <w:rPr>
          <w:rFonts w:eastAsia="Times New Roman" w:cs="Times New Roman"/>
          <w:sz w:val="24"/>
          <w:szCs w:val="24"/>
          <w:lang w:val="ru-RU"/>
        </w:rPr>
        <w:t xml:space="preserve"> и показано, что в большинстве случаев эти энергии лежат ниже 800 </w:t>
      </w:r>
      <w:r>
        <w:rPr>
          <w:rFonts w:eastAsia="Times New Roman" w:cs="Times New Roman"/>
          <w:sz w:val="24"/>
          <w:szCs w:val="24"/>
          <w:lang w:val="en-US"/>
        </w:rPr>
        <w:t>J</w:t>
      </w:r>
      <w:r>
        <w:rPr>
          <w:rFonts w:eastAsia="Times New Roman" w:cs="Times New Roman"/>
          <w:sz w:val="24"/>
          <w:szCs w:val="24"/>
          <w:lang w:val="ru-RU"/>
        </w:rPr>
        <w:t>\</w:t>
      </w:r>
      <w:r>
        <w:rPr>
          <w:rFonts w:eastAsia="Times New Roman" w:cs="Times New Roman"/>
          <w:sz w:val="24"/>
          <w:szCs w:val="24"/>
          <w:lang w:val="en-US"/>
        </w:rPr>
        <w:t>g</w:t>
      </w:r>
      <w:r>
        <w:rPr>
          <w:rFonts w:eastAsia="Times New Roman" w:cs="Times New Roman"/>
          <w:sz w:val="24"/>
          <w:szCs w:val="24"/>
          <w:lang w:val="ru-RU"/>
        </w:rPr>
        <w:t xml:space="preserve">. Thus, according to the safety criteria of the United Nations Economic Commission for Europe (UNECE) [6], these DS belong to the group of compounds that are allowed to be transported safely. 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w:t>
      </w:r>
      <w:r>
        <w:rPr>
          <w:rFonts w:eastAsia="Times New Roman" w:cs="Times New Roman"/>
          <w:sz w:val="24"/>
          <w:szCs w:val="24"/>
          <w:highlight w:val="green"/>
          <w:lang w:val="ru-RU"/>
        </w:rPr>
        <w:t>7a,</w:t>
      </w:r>
      <w:r>
        <w:rPr>
          <w:rFonts w:eastAsia="Times New Roman" w:cs="Times New Roman"/>
          <w:sz w:val="24"/>
          <w:szCs w:val="24"/>
          <w:highlight w:val="green"/>
          <w:lang w:val="ru-RU"/>
        </w:rPr>
        <w:t>c</w:t>
      </w:r>
      <w:r>
        <w:rPr>
          <w:rFonts w:eastAsia="Times New Roman" w:cs="Times New Roman"/>
          <w:sz w:val="24"/>
          <w:szCs w:val="24"/>
          <w:lang w:val="ru-RU"/>
        </w:rPr>
        <w:t xml:space="preserve">] приведен сравнительный анализ устойчивости диазониевых солей </w:t>
      </w:r>
      <w:r>
        <w:rPr>
          <w:rFonts w:eastAsia="Times New Roman" w:cs="Times New Roman"/>
          <w:sz w:val="24"/>
          <w:szCs w:val="24"/>
          <w:lang w:val="ru-RU"/>
        </w:rPr>
        <w:t>(</w:t>
      </w:r>
      <w:r>
        <w:rPr>
          <w:rFonts w:eastAsia="Times New Roman" w:cs="Times New Roman"/>
          <w:sz w:val="24"/>
          <w:szCs w:val="24"/>
          <w:highlight w:val="green"/>
          <w:lang w:val="ru-RU"/>
        </w:rPr>
        <w:t>хлоридов, хлорцинкатов и тетрафторборатов</w:t>
      </w:r>
      <w:r>
        <w:rPr>
          <w:rFonts w:eastAsia="Times New Roman" w:cs="Times New Roman"/>
          <w:sz w:val="24"/>
          <w:szCs w:val="24"/>
          <w:lang w:val="ru-RU"/>
        </w:rPr>
        <w:t>)</w:t>
      </w:r>
      <w:r>
        <w:rPr>
          <w:rFonts w:eastAsia="Times New Roman" w:cs="Times New Roman"/>
          <w:sz w:val="24"/>
          <w:szCs w:val="24"/>
          <w:lang w:val="ru-RU"/>
        </w:rPr>
        <w:t xml:space="preserve"> к детонации и воздействию пламени без определения продуктов разложения. В статье [7</w:t>
      </w:r>
      <w:r>
        <w:rPr>
          <w:rFonts w:eastAsia="Times New Roman" w:cs="Times New Roman"/>
          <w:sz w:val="24"/>
          <w:szCs w:val="24"/>
          <w:lang w:val="en-US"/>
        </w:rPr>
        <w:t>b</w:t>
      </w:r>
      <w:r>
        <w:rPr>
          <w:rFonts w:eastAsia="Times New Roman" w:cs="Times New Roman"/>
          <w:sz w:val="24"/>
          <w:szCs w:val="24"/>
          <w:lang w:val="ru-RU"/>
        </w:rPr>
        <w:t xml:space="preserve">] исследован изотопный эффект </w:t>
      </w:r>
      <w:r>
        <w:rPr>
          <w:rFonts w:eastAsia="Times New Roman" w:cs="Times New Roman"/>
          <w:sz w:val="24"/>
          <w:szCs w:val="24"/>
          <w:vertAlign w:val="superscript"/>
          <w:lang w:val="ru-RU"/>
        </w:rPr>
        <w:t>15</w:t>
      </w:r>
      <w:r>
        <w:rPr>
          <w:rFonts w:eastAsia="Times New Roman" w:cs="Times New Roman"/>
          <w:sz w:val="24"/>
          <w:szCs w:val="24"/>
          <w:lang w:val="ru-RU"/>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sz w:val="24"/>
          <w:szCs w:val="24"/>
          <w:lang w:val="en-US"/>
        </w:rPr>
        <w:t>a</w:t>
      </w:r>
      <w:r>
        <w:rPr>
          <w:rFonts w:eastAsia="Times New Roman" w:cs="Times New Roman"/>
          <w:sz w:val="24"/>
          <w:szCs w:val="24"/>
          <w:lang w:val="ru-RU"/>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w:t>
      </w:r>
      <w:r>
        <w:rPr>
          <w:rFonts w:eastAsia="Times New Roman" w:cs="Times New Roman"/>
          <w:sz w:val="24"/>
          <w:szCs w:val="24"/>
          <w:highlight w:val="green"/>
          <w:lang w:val="ru-RU"/>
        </w:rPr>
        <w:t>7</w:t>
      </w:r>
      <w:r>
        <w:rPr>
          <w:rFonts w:eastAsia="Times New Roman" w:cs="Times New Roman"/>
          <w:sz w:val="24"/>
          <w:szCs w:val="24"/>
          <w:highlight w:val="green"/>
          <w:lang w:val="ru-RU"/>
        </w:rPr>
        <w:t>a</w:t>
      </w:r>
      <w:r>
        <w:rPr>
          <w:rFonts w:eastAsia="Times New Roman" w:cs="Times New Roman"/>
          <w:sz w:val="24"/>
          <w:szCs w:val="24"/>
          <w:lang w:val="ru-RU"/>
        </w:rPr>
        <w:t>].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d</w:t>
      </w:r>
      <w:r>
        <w:rPr>
          <w:rFonts w:eastAsia="Times New Roman" w:cs="Times New Roman"/>
          <w:sz w:val="24"/>
          <w:szCs w:val="24"/>
          <w:lang w:val="ru-RU"/>
        </w:rPr>
        <w:t xml:space="preserve"> в сравнении с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tosylate</w:t>
      </w:r>
      <w:r>
        <w:rPr>
          <w:rFonts w:eastAsia="Times New Roman" w:cs="Times New Roman"/>
          <w:sz w:val="24"/>
          <w:szCs w:val="24"/>
          <w:lang w:val="ru-RU"/>
        </w:rPr>
        <w:t xml:space="preserve"> </w:t>
      </w:r>
      <w:r>
        <w:rPr>
          <w:rFonts w:eastAsia="Times New Roman" w:cs="Times New Roman"/>
          <w:b/>
          <w:bCs/>
          <w:sz w:val="24"/>
          <w:szCs w:val="24"/>
          <w:lang w:val="ru-RU"/>
        </w:rPr>
        <w:t>2</w:t>
      </w:r>
      <w:r>
        <w:rPr>
          <w:rFonts w:eastAsia="Times New Roman" w:cs="Times New Roman"/>
          <w:sz w:val="24"/>
          <w:szCs w:val="24"/>
          <w:lang w:val="ru-RU"/>
        </w:rPr>
        <w:t xml:space="preserve"> и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tetrafluoroborate</w:t>
      </w:r>
      <w:r>
        <w:rPr>
          <w:rFonts w:eastAsia="Times New Roman" w:cs="Times New Roman"/>
          <w:sz w:val="24"/>
          <w:szCs w:val="24"/>
          <w:lang w:val="ru-RU"/>
        </w:rPr>
        <w:t xml:space="preserve"> </w:t>
      </w:r>
      <w:r>
        <w:rPr>
          <w:rFonts w:eastAsia="Times New Roman" w:cs="Times New Roman"/>
          <w:b/>
          <w:bCs/>
          <w:sz w:val="24"/>
          <w:szCs w:val="24"/>
          <w:lang w:val="ru-RU"/>
        </w:rPr>
        <w:t>3</w:t>
      </w:r>
      <w:r>
        <w:rPr>
          <w:rFonts w:eastAsia="Times New Roman" w:cs="Times New Roman"/>
          <w:sz w:val="24"/>
          <w:szCs w:val="24"/>
          <w:lang w:val="ru-RU"/>
        </w:rPr>
        <w:t xml:space="preserve"> методами DSC/TGA,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потоковой калориметрии и выработка критериев оценки стабильности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 xml:space="preserve">d </w:t>
      </w:r>
      <w:r>
        <w:rPr>
          <w:rFonts w:eastAsia="Times New Roman" w:cs="Times New Roman"/>
          <w:sz w:val="24"/>
          <w:szCs w:val="24"/>
          <w:lang w:val="ru-RU"/>
        </w:rPr>
        <w:t xml:space="preserve">выбраны электроноакцепторная нитро-группа и электронодонорная метокси-группа по следующим соображениям. Во-первых, по некоторым данным </w:t>
      </w:r>
      <w:r>
        <w:rPr>
          <w:rFonts w:eastAsia="Times New Roman" w:cs="Times New Roman"/>
          <w:sz w:val="24"/>
          <w:szCs w:val="24"/>
          <w:highlight w:val="green"/>
          <w:lang w:val="ru-RU"/>
        </w:rPr>
        <w:t>[</w:t>
      </w:r>
      <w:r>
        <w:rPr>
          <w:rFonts w:eastAsia="Times New Roman" w:cs="Times New Roman"/>
          <w:b w:val="false"/>
          <w:bCs w:val="false"/>
          <w:sz w:val="24"/>
          <w:szCs w:val="24"/>
          <w:highlight w:val="green"/>
          <w:lang w:val="ru-RU"/>
        </w:rPr>
        <w:t>7a</w:t>
      </w:r>
      <w:r>
        <w:rPr>
          <w:rFonts w:eastAsia="Times New Roman" w:cs="Times New Roman"/>
          <w:sz w:val="24"/>
          <w:szCs w:val="24"/>
          <w:highlight w:val="green"/>
          <w:lang w:val="ru-RU"/>
        </w:rPr>
        <w:t>]</w:t>
      </w:r>
      <w:r>
        <w:rPr>
          <w:rFonts w:eastAsia="Times New Roman" w:cs="Times New Roman"/>
          <w:sz w:val="24"/>
          <w:szCs w:val="24"/>
          <w:lang w:val="ru-RU"/>
        </w:rPr>
        <w:t xml:space="preserve"> </w:t>
      </w:r>
      <w:r>
        <w:rPr>
          <w:rFonts w:eastAsia="Times New Roman" w:cs="Times New Roman"/>
          <w:color w:val="auto"/>
          <w:sz w:val="24"/>
          <w:szCs w:val="24"/>
          <w:highlight w:val="red"/>
          <w:lang w:val="ru-RU"/>
        </w:rPr>
        <w:t>(см., например, [8a ?])</w:t>
      </w:r>
      <w:r>
        <w:rPr>
          <w:rFonts w:eastAsia="Times New Roman" w:cs="Times New Roman"/>
          <w:sz w:val="24"/>
          <w:szCs w:val="24"/>
          <w:lang w:val="ru-RU"/>
        </w:rPr>
        <w:t xml:space="preserve">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и MeO группами в ароматическом ядре наиболее резко различаются по своим свойствам [3</w:t>
      </w:r>
      <w:r>
        <w:rPr>
          <w:rFonts w:eastAsia="Times New Roman" w:cs="Times New Roman"/>
          <w:sz w:val="24"/>
          <w:szCs w:val="24"/>
          <w:lang w:val="en-US"/>
        </w:rPr>
        <w:t>a,b</w:t>
      </w:r>
      <w:r>
        <w:rPr>
          <w:rFonts w:eastAsia="Times New Roman" w:cs="Times New Roman"/>
          <w:sz w:val="24"/>
          <w:szCs w:val="24"/>
          <w:lang w:val="ru-RU"/>
        </w:rPr>
        <w:t>], т.е. должны охватывать наиболее широкий диапазон изучаемых свойств.</w:t>
      </w:r>
    </w:p>
    <w:p>
      <w:pPr>
        <w:pStyle w:val="Normal"/>
        <w:widowControl/>
        <w:numPr>
          <w:ilvl w:val="3"/>
          <w:numId w:val="3"/>
        </w:numPr>
        <w:suppressAutoHyphens w:val="true"/>
        <w:overflowPunct w:val="false"/>
        <w:bidi w:val="0"/>
        <w:spacing w:lineRule="auto" w:line="312"/>
        <w:ind w:left="0" w:right="0" w:firstLine="397"/>
        <w:jc w:val="both"/>
        <w:rPr/>
      </w:pPr>
      <w:r>
        <w:rPr>
          <w:rFonts w:eastAsia="Times New Roman" w:cs="Times New Roman"/>
          <w:sz w:val="24"/>
          <w:szCs w:val="24"/>
          <w:lang w:val="ru-RU"/>
        </w:rPr>
        <w:t xml:space="preserve">Другая задача данной работы состояла в определении возможностей </w:t>
      </w:r>
      <w:r>
        <w:rPr>
          <w:rFonts w:eastAsia="Times New Roman" w:cs="Times New Roman"/>
          <w:sz w:val="24"/>
          <w:szCs w:val="24"/>
          <w:lang w:val="en-US"/>
        </w:rPr>
        <w:t>DFT</w:t>
      </w:r>
      <w:r>
        <w:rPr>
          <w:rFonts w:eastAsia="Times New Roman" w:cs="Times New Roman"/>
          <w:sz w:val="24"/>
          <w:szCs w:val="24"/>
          <w:lang w:val="ru-RU"/>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sz w:val="24"/>
          <w:szCs w:val="24"/>
          <w:lang w:val="en-US"/>
        </w:rPr>
        <w:t>DFT</w:t>
      </w:r>
      <w:r>
        <w:rPr>
          <w:rFonts w:eastAsia="Times New Roman" w:cs="Times New Roman"/>
          <w:sz w:val="24"/>
          <w:szCs w:val="24"/>
          <w:lang w:val="ru-RU"/>
        </w:rPr>
        <w:t xml:space="preserve"> методы для этих целей ранее не использовались. </w:t>
      </w:r>
      <w:r>
        <w:rPr>
          <w:rFonts w:eastAsia="Times New Roman" w:cs="Times New Roman"/>
          <w:sz w:val="24"/>
          <w:szCs w:val="24"/>
          <w:highlight w:val="green"/>
          <w:lang w:val="ru-RU"/>
        </w:rPr>
        <w:t xml:space="preserve">С целью изучения механизма </w:t>
      </w:r>
      <w:r>
        <w:rPr>
          <w:rFonts w:eastAsia="Times New Roman" w:cs="Times New Roman"/>
          <w:sz w:val="24"/>
          <w:szCs w:val="24"/>
          <w:highlight w:val="green"/>
          <w:lang w:val="ru-RU"/>
        </w:rPr>
        <w:t>проведено ГХ-МС и ЛС-МС исследование продуктов разложения ДС.</w:t>
      </w:r>
      <w:r>
        <w:rPr>
          <w:rFonts w:eastAsia="Times New Roman" w:cs="Times New Roman"/>
          <w:sz w:val="24"/>
          <w:szCs w:val="24"/>
          <w:lang w:val="ru-RU"/>
        </w:rPr>
        <w:t xml:space="preserve"> </w:t>
      </w:r>
      <w:r>
        <w:rPr>
          <w:rFonts w:eastAsia="Times New Roman" w:cs="Times New Roman"/>
          <w:sz w:val="24"/>
          <w:szCs w:val="24"/>
          <w:lang w:val="ru-RU"/>
        </w:rPr>
        <w:t xml:space="preserve">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hanging="0"/>
        <w:rPr/>
      </w:pPr>
      <w:r>
        <w:rPr/>
        <w:t xml:space="preserve">  </w:t>
      </w:r>
      <w:r>
        <w:rPr/>
        <w:t>MATERIALS AND METHODS</w:t>
      </w:r>
      <w:r>
        <w:rPr>
          <w:b/>
          <w:bCs/>
          <w:lang w:val="en-US"/>
        </w:rPr>
        <w:t xml:space="preserve"> </w:t>
      </w:r>
    </w:p>
    <w:p>
      <w:pPr>
        <w:pStyle w:val="ListParagraph"/>
        <w:widowControl/>
        <w:numPr>
          <w:ilvl w:val="3"/>
          <w:numId w:val="3"/>
        </w:numPr>
        <w:tabs>
          <w:tab w:val="left" w:pos="450" w:leader="none"/>
        </w:tabs>
        <w:suppressAutoHyphens w:val="true"/>
        <w:bidi w:val="0"/>
        <w:spacing w:lineRule="auto" w:line="312" w:before="0" w:after="0"/>
        <w:ind w:left="0" w:right="0" w:firstLine="397"/>
        <w:contextualSpacing/>
        <w:jc w:val="both"/>
        <w:rPr/>
      </w:pPr>
      <w:r>
        <w:rPr>
          <w:rFonts w:cs="Times New Roman" w:ascii="Times New Roman" w:hAnsi="Times New Roman"/>
          <w:color w:val="00000A"/>
        </w:rPr>
        <w:t xml:space="preserve">Arenediazonium triflates </w:t>
      </w:r>
      <w:r>
        <w:rPr>
          <w:rFonts w:cs="Times New Roman" w:ascii="Times New Roman" w:hAnsi="Times New Roman"/>
          <w:b/>
          <w:bCs/>
          <w:color w:val="00000A"/>
        </w:rPr>
        <w:t>1a-d</w:t>
      </w:r>
      <w:r>
        <w:rPr>
          <w:rFonts w:cs="Times New Roman" w:ascii="Times New Roman" w:hAnsi="Times New Roman"/>
          <w:color w:val="00000A"/>
        </w:rPr>
        <w:t xml:space="preserve"> and 4-nitrobenzenediazonium tosylate </w:t>
      </w:r>
      <w:r>
        <w:rPr>
          <w:rFonts w:cs="Times New Roman" w:ascii="Times New Roman" w:hAnsi="Times New Roman"/>
          <w:b/>
          <w:bCs/>
          <w:color w:val="00000A"/>
        </w:rPr>
        <w:t>2</w:t>
      </w:r>
      <w:r>
        <w:rPr>
          <w:rFonts w:cs="Times New Roman" w:ascii="Times New Roman" w:hAnsi="Times New Roman"/>
          <w:color w:val="00000A"/>
        </w:rPr>
        <w:t xml:space="preserve"> были получены известными методами [3a,b]. 4-Nitrobenzenediazonium tetrafluoroborate </w:t>
      </w:r>
      <w:r>
        <w:rPr>
          <w:rFonts w:cs="Times New Roman" w:ascii="Times New Roman" w:hAnsi="Times New Roman"/>
          <w:b/>
          <w:bCs/>
          <w:color w:val="00000A"/>
        </w:rPr>
        <w:t>3</w:t>
      </w:r>
      <w:r>
        <w:rPr>
          <w:rFonts w:cs="Times New Roman" w:ascii="Times New Roman" w:hAnsi="Times New Roman"/>
          <w:color w:val="00000A"/>
        </w:rPr>
        <w:t xml:space="preserve"> представлял собой коммерческий образец (Aldrich CAS №</w:t>
      </w:r>
      <w:r>
        <w:rPr>
          <w:rFonts w:cs="Times New Roman" w:ascii="Times New Roman" w:hAnsi="Times New Roman"/>
          <w:color w:val="00000A"/>
          <w:highlight w:val="white"/>
        </w:rPr>
        <w:t xml:space="preserve"> </w:t>
      </w:r>
      <w:r>
        <w:rPr>
          <w:rFonts w:cs="Times New Roman" w:ascii="Times New Roman" w:hAnsi="Times New Roman"/>
          <w:color w:val="00000A"/>
          <w:highlight w:val="red"/>
        </w:rPr>
        <w:t>456-27-9 ???</w:t>
      </w:r>
      <w:r>
        <w:rPr>
          <w:rFonts w:cs="Times New Roman" w:ascii="Times New Roman" w:hAnsi="Times New Roman"/>
          <w:color w:val="00000A"/>
          <w:highlight w:val="green"/>
        </w:rPr>
        <w:t xml:space="preserve"> </w:t>
      </w:r>
      <w:r>
        <w:rPr>
          <w:rFonts w:cs="Times New Roman" w:ascii="Times New Roman" w:hAnsi="Times New Roman"/>
          <w:color w:val="00000A"/>
          <w:highlight w:val="green"/>
        </w:rPr>
        <w:t>выбран из каталога, надо проверить</w:t>
      </w:r>
      <w:r>
        <w:rPr>
          <w:rFonts w:cs="Times New Roman" w:ascii="Times New Roman" w:hAnsi="Times New Roman"/>
          <w:color w:val="00000A"/>
        </w:rPr>
        <w:t>).</w:t>
      </w:r>
    </w:p>
    <w:p>
      <w:pPr>
        <w:pStyle w:val="ListParagraph"/>
        <w:widowControl/>
        <w:numPr>
          <w:ilvl w:val="3"/>
          <w:numId w:val="3"/>
        </w:numPr>
        <w:suppressAutoHyphens w:val="true"/>
        <w:bidi w:val="0"/>
        <w:spacing w:lineRule="auto" w:line="312" w:before="0" w:after="0"/>
        <w:ind w:left="0" w:right="0" w:firstLine="567"/>
        <w:contextualSpacing/>
        <w:jc w:val="both"/>
        <w:rPr>
          <w:rFonts w:ascii="Times New Roman" w:hAnsi="Times New Roman" w:cs="Times New Roman"/>
          <w:color w:val="00000A"/>
          <w:sz w:val="12"/>
          <w:szCs w:val="12"/>
          <w:highlight w:val="yellow"/>
        </w:rPr>
      </w:pPr>
      <w:r>
        <w:rPr>
          <w:rFonts w:cs="Times New Roman" w:ascii="Times New Roman" w:hAnsi="Times New Roman"/>
          <w:color w:val="00000A"/>
          <w:sz w:val="12"/>
          <w:szCs w:val="12"/>
          <w:highlight w:val="yellow"/>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1a</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1d</w:t>
            </w:r>
          </w:p>
        </w:tc>
      </w:tr>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1b</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2</w:t>
            </w:r>
          </w:p>
        </w:tc>
      </w:tr>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1c</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widowControl/>
        <w:suppressAutoHyphens w:val="true"/>
        <w:bidi w:val="0"/>
        <w:spacing w:lineRule="auto" w:line="312"/>
        <w:ind w:left="0" w:right="0" w:firstLine="397"/>
        <w:jc w:val="both"/>
        <w:rPr/>
      </w:pPr>
      <w:r>
        <w:rP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w:t>
      </w:r>
      <w:r>
        <w:rPr>
          <w:highlight w:val="green"/>
        </w:rPr>
        <w:t>Полученные экспериментальные данные были обработаны с помощью программного обеспечения TAM Assistant Software v1.3.0.153.</w:t>
      </w:r>
      <w:r>
        <w:rPr/>
        <w:t xml:space="preserve"> Для математической обработки, </w:t>
      </w:r>
      <w:r>
        <w:rPr/>
        <w:t>статистического анализа</w:t>
      </w:r>
      <w:r>
        <w:rPr/>
        <w:t xml:space="preserve"> и построения зависимостей был использован пакет Gnuplot 4.5 [9</w:t>
      </w:r>
      <w:r>
        <w:rPr/>
        <w:t>a</w:t>
      </w:r>
      <w:r>
        <w:rPr/>
        <w:t xml:space="preserve">] </w:t>
      </w:r>
      <w:r>
        <w:rPr>
          <w:highlight w:val="green"/>
        </w:rPr>
        <w:t>и R Statistics v3.3.3 [9b]</w:t>
      </w:r>
      <w:r>
        <w:rPr/>
        <w:t>.</w:t>
      </w:r>
    </w:p>
    <w:p>
      <w:pPr>
        <w:pStyle w:val="Normal"/>
        <w:widowControl/>
        <w:suppressAutoHyphens w:val="true"/>
        <w:bidi w:val="0"/>
        <w:spacing w:lineRule="auto" w:line="312"/>
        <w:ind w:left="0" w:right="0" w:firstLine="397"/>
        <w:jc w:val="both"/>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 xml:space="preserve">С в течение 14 дней </w:t>
      </w:r>
      <w:r>
        <w:rPr>
          <w:highlight w:val="green"/>
        </w:rPr>
        <w:t>для практически полного разложения ДС</w:t>
      </w:r>
      <w:r>
        <w:rPr/>
        <w:t>. К полученным продуктам добавляли водный раствор KI для перевода  неразложившихся диазониевых солей в соответствующие арилиодиды [3a,b], продукты были экстрагированы этилацетатом и профильтрованы через слой силикагеля.</w:t>
      </w:r>
    </w:p>
    <w:p>
      <w:pPr>
        <w:pStyle w:val="Normal"/>
        <w:widowControl/>
        <w:suppressAutoHyphens w:val="true"/>
        <w:bidi w:val="0"/>
        <w:spacing w:lineRule="auto" w:line="312"/>
        <w:ind w:left="0" w:right="0" w:firstLine="397"/>
        <w:jc w:val="both"/>
        <w:rPr/>
      </w:pPr>
      <w:r>
        <w:rPr>
          <w:color w:val="00000A"/>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ascii="Calibri" w:hAnsi="Calibri"/>
          <w:sz w:val="24"/>
          <w:szCs w:val="24"/>
          <w:lang w:val="ru-RU"/>
        </w:rPr>
        <w:t>1мг/мл</w:t>
      </w:r>
      <w:r>
        <w:rPr>
          <w:color w:val="00000A"/>
        </w:rPr>
        <w:t xml:space="preserve">. Объем вводимой пробы 5 мкл. Для обработки и интегрирования </w:t>
      </w:r>
      <w:r>
        <w:rPr>
          <w:color w:val="00000A"/>
          <w:u w:val="none"/>
        </w:rPr>
        <w:t>масс-спектров и</w:t>
      </w:r>
      <w:r>
        <w:rPr>
          <w:color w:val="00000A"/>
        </w:rPr>
        <w:t>спользован программный комплекс OpenMS 2.0 [10a,b].</w:t>
      </w:r>
    </w:p>
    <w:p>
      <w:pPr>
        <w:pStyle w:val="Normal"/>
        <w:widowControl/>
        <w:suppressAutoHyphens w:val="true"/>
        <w:bidi w:val="0"/>
        <w:spacing w:lineRule="auto" w:line="312"/>
        <w:ind w:left="0" w:right="0" w:firstLine="397"/>
        <w:jc w:val="both"/>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sz w:val="24"/>
          <w:szCs w:val="24"/>
          <w:lang w:val="en-US"/>
        </w:rPr>
        <w:t xml:space="preserve"> [11]</w:t>
      </w:r>
      <w:r>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right="0" w:hanging="0"/>
        <w:rPr/>
      </w:pPr>
      <w:r>
        <w:rPr/>
        <w:t xml:space="preserve">  </w:t>
      </w:r>
      <w:r>
        <w:rPr/>
        <w:t>RESULTS AND DISCUSSION</w:t>
      </w:r>
    </w:p>
    <w:p>
      <w:pPr>
        <w:pStyle w:val="2"/>
        <w:numPr>
          <w:ilvl w:val="1"/>
          <w:numId w:val="2"/>
        </w:numPr>
        <w:ind w:left="0" w:right="0" w:firstLine="397"/>
        <w:rPr/>
      </w:pPr>
      <w:r>
        <w:rPr>
          <w:b/>
          <w:bCs/>
          <w:lang w:val="en-US"/>
        </w:rPr>
        <w:t>DSC</w:t>
      </w:r>
      <w:r>
        <w:rPr>
          <w:b/>
          <w:bCs/>
        </w:rPr>
        <w:t>/</w:t>
      </w:r>
      <w:r>
        <w:rPr>
          <w:b/>
          <w:bCs/>
          <w:lang w:val="en-US"/>
        </w:rPr>
        <w:t>TGA</w:t>
      </w:r>
      <w:r>
        <w:rPr>
          <w:b/>
          <w:bCs/>
        </w:rPr>
        <w:t xml:space="preserve"> </w:t>
      </w:r>
      <w:r>
        <w:rPr>
          <w:b/>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w:t>
      </w:r>
      <w:r>
        <w:rPr>
          <w:highlight w:val="green"/>
        </w:rPr>
        <w:t xml:space="preserve">В случае солей </w:t>
      </w:r>
      <w:r>
        <w:rPr>
          <w:b/>
          <w:bCs/>
          <w:highlight w:val="green"/>
        </w:rPr>
        <w:t>1a</w:t>
      </w:r>
      <w:r>
        <w:rPr>
          <w:highlight w:val="green"/>
        </w:rPr>
        <w:t xml:space="preserve">, </w:t>
      </w:r>
      <w:r>
        <w:rPr>
          <w:b/>
          <w:bCs/>
          <w:highlight w:val="green"/>
        </w:rPr>
        <w:t>1b</w:t>
      </w:r>
      <w:r>
        <w:rPr>
          <w:highlight w:val="green"/>
        </w:rPr>
        <w:t xml:space="preserve">, </w:t>
      </w:r>
      <w:r>
        <w:rPr>
          <w:b/>
          <w:bCs/>
          <w:highlight w:val="green"/>
        </w:rPr>
        <w:t>1d</w:t>
      </w:r>
      <w:r>
        <w:rPr>
          <w:highlight w:val="green"/>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74"/>
        <w:gridCol w:w="1026"/>
        <w:gridCol w:w="2488"/>
        <w:gridCol w:w="912"/>
        <w:gridCol w:w="2438"/>
      </w:tblGrid>
      <w:tr>
        <w:trPr/>
        <w:tc>
          <w:tcPr>
            <w:tcW w:w="277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b/>
                <w:bCs/>
                <w:color w:val="000000"/>
                <w:sz w:val="24"/>
                <w:szCs w:val="24"/>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highlight w:val="green"/>
              </w:rPr>
            </w:pPr>
            <w:r>
              <w:rPr>
                <w:highlight w:val="green"/>
              </w:rPr>
              <w:t>Endotherm process</w:t>
            </w:r>
          </w:p>
        </w:tc>
        <w:tc>
          <w:tcPr>
            <w:tcW w:w="33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highlight w:val="green"/>
              </w:rPr>
            </w:pPr>
            <w:r>
              <w:rPr>
                <w:highlight w:val="green"/>
              </w:rPr>
              <w:t>Exotherm process</w:t>
            </w:r>
          </w:p>
        </w:tc>
      </w:tr>
      <w:tr>
        <w:trPr/>
        <w:tc>
          <w:tcPr>
            <w:tcW w:w="277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rPr/>
            </w:pPr>
            <w:r>
              <w:rPr/>
            </w:r>
          </w:p>
        </w:tc>
        <w:tc>
          <w:tcPr>
            <w:tcW w:w="1026"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b/>
                <w:bCs/>
                <w:color w:val="FF0000"/>
                <w:sz w:val="24"/>
                <w:szCs w:val="24"/>
              </w:rPr>
              <w:t>Т</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488"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000000"/>
                <w:sz w:val="24"/>
                <w:szCs w:val="24"/>
              </w:rPr>
              <w:t>,</w:t>
            </w:r>
            <w:r>
              <w:rPr>
                <w:b/>
                <w:bCs/>
                <w:color w:val="000000"/>
                <w:sz w:val="22"/>
                <w:szCs w:val="22"/>
              </w:rPr>
              <w:t xml:space="preserve">  Дж/г (кДж/моль)</w:t>
            </w:r>
          </w:p>
        </w:tc>
        <w:tc>
          <w:tcPr>
            <w:tcW w:w="912"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b/>
                <w:bCs/>
                <w:color w:val="FF0000"/>
                <w:sz w:val="24"/>
                <w:szCs w:val="24"/>
              </w:rPr>
              <w:t>Т</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438"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000000"/>
                <w:sz w:val="22"/>
                <w:szCs w:val="22"/>
              </w:rPr>
              <w:t>, Дж/г (кДж/моль)</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143.3</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111.2</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-840.4</w:t>
            </w:r>
            <w:r>
              <w:rPr>
                <w:color w:val="000000"/>
                <w:szCs w:val="28"/>
              </w:rPr>
              <w:t xml:space="preserve"> (-251.3)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116.4</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-219.9</w:t>
            </w:r>
            <w:r>
              <w:rPr>
                <w:color w:val="000000"/>
                <w:szCs w:val="28"/>
              </w:rPr>
              <w:t xml:space="preserve"> (-65.7)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rPr>
            </w:pPr>
            <w:r>
              <w:rPr>
                <w:color w:val="000000"/>
                <w:szCs w:val="28"/>
              </w:rPr>
              <w:t>136.6</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rPr>
              <w:t>-328.9 (-</w:t>
            </w:r>
            <w:r>
              <w:rPr>
                <w:color w:val="000000"/>
                <w:szCs w:val="28"/>
                <w:lang w:val="en-US"/>
              </w:rPr>
              <w:t>93.5)</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69.37</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146.6</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-24.47 (-7.8)</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-323.0 (-103.7)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146.5</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b w:val="false"/>
          <w:bCs w:val="false"/>
          <w:color w:val="000000"/>
          <w:szCs w:val="28"/>
          <w:lang w:val="en-US"/>
        </w:rPr>
        <w:t>2-NO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b w:val="false"/>
          <w:bCs w:val="false"/>
          <w:color w:val="000000"/>
          <w:szCs w:val="28"/>
          <w:lang w:val="en-US"/>
        </w:rPr>
        <w:t>3-NO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1b</w:t>
      </w:r>
      <w:r>
        <w:rPr>
          <w:b w:val="false"/>
          <w:bCs w:val="false"/>
        </w:rPr>
        <w:t xml:space="preserve"> </w:t>
      </w:r>
      <w:r>
        <w:rPr/>
        <w:t xml:space="preserve">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 xml:space="preserve">Рисунок 3. Термическое разложение соли </w:t>
      </w:r>
      <w:r>
        <w:rPr>
          <w:b w:val="false"/>
          <w:bCs w:val="false"/>
        </w:rPr>
        <w:t>4</w:t>
      </w:r>
      <w:r>
        <w:rPr>
          <w:b w:val="false"/>
          <w:bCs w:val="false"/>
          <w:color w:val="000000"/>
          <w:szCs w:val="28"/>
          <w:lang w:val="en-US"/>
        </w:rPr>
        <w:t>-NO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b w:val="false"/>
          <w:bCs w:val="false"/>
          <w:color w:val="000000"/>
          <w:szCs w:val="28"/>
          <w:lang w:val="en-US"/>
        </w:rPr>
        <w:t>4-MeOС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1d</w:t>
      </w:r>
      <w:r>
        <w:rPr/>
        <w:t xml:space="preserve"> методом </w:t>
      </w:r>
      <w:r>
        <w:rPr>
          <w:lang w:val="en-US"/>
        </w:rPr>
        <w:t>DSC</w:t>
      </w:r>
      <w:r>
        <w:rPr/>
        <w:t>/</w:t>
      </w:r>
      <w:r>
        <w:rPr>
          <w:lang w:val="en-US"/>
        </w:rPr>
        <w:t>TGA</w:t>
      </w:r>
    </w:p>
    <w:p>
      <w:pPr>
        <w:pStyle w:val="Normal"/>
        <w:ind w:left="0" w:right="0" w:hanging="0"/>
        <w:jc w:val="center"/>
        <w:rPr>
          <w:lang w:val="en-US"/>
        </w:rPr>
      </w:pPr>
      <w:r>
        <w:rPr>
          <w:lang w:val="en-US"/>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TsO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bidi w:val="0"/>
        <w:spacing w:before="0" w:after="113"/>
        <w:ind w:left="0" w:right="0" w:hanging="0"/>
        <w:jc w:val="center"/>
        <w:rPr/>
      </w:pPr>
      <w:r>
        <w:rPr/>
        <w:t xml:space="preserve">Рисунок 6.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BF</w:t>
      </w:r>
      <w:r>
        <w:rPr>
          <w:b w:val="false"/>
          <w:bCs w:val="false"/>
          <w:color w:val="000000"/>
          <w:szCs w:val="28"/>
          <w:vertAlign w:val="subscript"/>
          <w:lang w:val="en-US"/>
        </w:rPr>
        <w:t>4</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3</w:t>
      </w:r>
      <w:r>
        <w:rPr/>
        <w:t xml:space="preserve"> методом </w:t>
      </w:r>
      <w:r>
        <w:rPr>
          <w:lang w:val="en-US"/>
        </w:rPr>
        <w:t>DSC</w:t>
      </w:r>
      <w:r>
        <w:rPr/>
        <w:t>/</w:t>
      </w:r>
      <w:r>
        <w:rPr>
          <w:lang w:val="en-US"/>
        </w:rPr>
        <w:t>TGA</w:t>
      </w:r>
    </w:p>
    <w:p>
      <w:pPr>
        <w:pStyle w:val="Normal"/>
        <w:widowControl/>
        <w:suppressAutoHyphens w:val="true"/>
        <w:bidi w:val="0"/>
        <w:spacing w:lineRule="auto" w:line="312"/>
        <w:ind w:left="0" w:right="0" w:firstLine="567"/>
        <w:jc w:val="both"/>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b w:val="false"/>
          <w:bCs w:val="false"/>
        </w:rPr>
        <w:t>D</w:t>
      </w:r>
      <w:r>
        <w:rPr>
          <w:b w:val="false"/>
          <w:bCs w:val="false"/>
        </w:rPr>
        <w:t xml:space="preserve">H </w:t>
      </w:r>
      <w:r>
        <w:rPr>
          <w:b w:val="false"/>
          <w:bCs w:val="false"/>
          <w:vertAlign w:val="subscript"/>
        </w:rPr>
        <w:t>exoterm</w:t>
      </w:r>
      <w:r>
        <w:rPr>
          <w:b/>
          <w:bCs/>
        </w:rPr>
        <w:t xml:space="preserve"> </w:t>
      </w:r>
      <w:r>
        <w:rPr/>
        <w:t xml:space="preserve">.  Как можно видеть из таблицы 2,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highlight w:val="green"/>
        </w:rPr>
        <w:t>Изотермическая</w:t>
      </w:r>
      <w:r>
        <w:rPr/>
        <w:t xml:space="preserve"> п</w:t>
      </w:r>
      <w:r>
        <w:rPr/>
        <w:t>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w:t>
      </w:r>
      <w:r>
        <w:rPr>
          <w:highlight w:val="green"/>
        </w:rPr>
        <w:t>7a</w:t>
      </w:r>
      <w:r>
        <w:rPr/>
        <w:t xml:space="preserve">].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w:t>
      </w:r>
      <w:r>
        <w:rPr/>
        <w:t>т</w:t>
      </w:r>
      <w:r>
        <w:rPr/>
        <w:t>рех синтетических партий, полученных в идентичных условиях (samples 1-</w:t>
      </w:r>
      <w:r>
        <w:rPr/>
        <w:t>3</w:t>
      </w:r>
      <w:r>
        <w:rPr/>
        <w:t>), а также образцов, очищенных однократным и двукратным (</w:t>
      </w:r>
      <w:r>
        <w:rPr>
          <w:lang w:val="en-US"/>
        </w:rPr>
        <w:t>repricipitation</w:t>
      </w:r>
      <w:r>
        <w:rPr/>
        <w:t xml:space="preserve"> 1 </w:t>
      </w:r>
      <w:r>
        <w:rPr>
          <w:lang w:val="en-US"/>
        </w:rPr>
        <w:t>and</w:t>
      </w:r>
      <w:r>
        <w:rPr/>
        <w:t xml:space="preserve"> 2) повторным осаждением образца </w:t>
      </w:r>
      <w:r>
        <w:rPr/>
        <w:t>3</w:t>
      </w:r>
      <w:r>
        <w:rPr/>
        <w:t xml:space="preserve"> из растворов в уксусной кислоте эфиром. </w:t>
      </w:r>
      <w:r>
        <w:rPr>
          <w:highlight w:val="green"/>
        </w:rPr>
        <w:t>Отдельно изучено разложение образцов при заполнении атмосферы в ампуле азотом, аргоном и воздухом.</w:t>
      </w:r>
      <w:r>
        <w:rPr/>
        <w:t xml:space="preserve">  </w:t>
      </w:r>
      <w:r>
        <w:rPr/>
        <w:t xml:space="preserve">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w:t>
      </w:r>
      <w:r>
        <w:rPr>
          <w:highlight w:val="green"/>
        </w:rPr>
        <w:t>различия между первым и вторым переосаждением минимальны</w:t>
      </w:r>
      <w:r>
        <w:rPr/>
        <w:t>.</w:t>
      </w:r>
      <w:r>
        <w:rPr/>
        <w:t xml:space="preserve"> </w:t>
      </w:r>
      <w:r>
        <w:rPr/>
        <w:t>Н</w:t>
      </w:r>
      <w:r>
        <w:rPr>
          <w:color w:val="00000A"/>
        </w:rPr>
        <w:t xml:space="preserve">е замечено </w:t>
      </w:r>
      <w:r>
        <w:rPr>
          <w:color w:val="auto"/>
          <w:highlight w:val="green"/>
        </w:rPr>
        <w:t xml:space="preserve">качественных и </w:t>
      </w:r>
      <w:r>
        <w:rPr>
          <w:color w:val="auto"/>
          <w:highlight w:val="green"/>
        </w:rPr>
        <w:t xml:space="preserve">статистически </w:t>
      </w:r>
      <w:r>
        <w:rPr>
          <w:color w:val="auto"/>
          <w:highlight w:val="green"/>
        </w:rPr>
        <w:t>значимых</w:t>
      </w:r>
      <w:r>
        <w:rPr>
          <w:color w:val="00000A"/>
        </w:rPr>
        <w:t xml:space="preserve"> различий для проведения разложения в атмосфере азота, воздуха и аргона. Дальнейшие исследования </w:t>
      </w:r>
      <w:r>
        <w:rPr>
          <w:rFonts w:eastAsia="Times New Roman" w:cs="Times New Roman"/>
          <w:color w:val="00000A"/>
          <w:sz w:val="24"/>
          <w:szCs w:val="24"/>
          <w:highlight w:val="green"/>
          <w:lang w:val="ru-RU"/>
        </w:rPr>
        <w:t>изотермической</w:t>
      </w:r>
      <w:r>
        <w:rPr>
          <w:rFonts w:eastAsia="Times New Roman" w:cs="Times New Roman"/>
          <w:color w:val="00000A"/>
          <w:sz w:val="24"/>
          <w:szCs w:val="24"/>
          <w:lang w:val="ru-RU"/>
        </w:rPr>
        <w:t xml:space="preserve"> </w:t>
      </w:r>
      <w:r>
        <w:rPr>
          <w:color w:val="00000A"/>
        </w:rPr>
        <w:t xml:space="preserve">потоковой калориметрии проводились в атмосфере азота </w:t>
      </w:r>
      <w:r>
        <w:rPr>
          <w:color w:val="00000A"/>
        </w:rPr>
        <w:t>и после однократного переосаждения (r</w:t>
      </w:r>
      <w:r>
        <w:rPr>
          <w:color w:val="00000A"/>
          <w:lang w:val="en-US"/>
        </w:rPr>
        <w:t>epricipitation</w:t>
      </w:r>
      <w:r>
        <w:rPr>
          <w:color w:val="00000A"/>
        </w:rPr>
        <w:t>) исходных ДС</w:t>
      </w:r>
      <w:r>
        <w:rPr>
          <w:color w:val="00000A"/>
        </w:rPr>
        <w:t>.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widowControl/>
        <w:suppressAutoHyphens w:val="true"/>
        <w:bidi w:val="0"/>
        <w:spacing w:lineRule="auto" w:line="312"/>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bidi w:val="0"/>
        <w:ind w:left="0" w:right="0" w:hanging="0"/>
        <w:jc w:val="center"/>
        <w:rPr/>
      </w:pPr>
      <w:r>
        <w:rPr/>
        <w:t xml:space="preserve">зависимости от полученной партии и числа переосаждений </w:t>
      </w:r>
      <w:r>
        <w:rPr/>
        <w:t xml:space="preserve">при температуре </w:t>
      </w:r>
      <w:r>
        <w:rPr>
          <w:highlight w:val="green"/>
        </w:rPr>
        <w:t>85 </w:t>
      </w:r>
      <w:r>
        <w:rPr>
          <w:rFonts w:cs="Times New Roman" w:ascii="Times New Roman" w:hAnsi="Times New Roman"/>
          <w:highlight w:val="green"/>
          <w:vertAlign w:val="superscript"/>
        </w:rPr>
        <w:t>o</w:t>
      </w:r>
      <w:r>
        <w:rPr>
          <w:highlight w:val="green"/>
        </w:rPr>
        <w:t>С</w:t>
      </w:r>
    </w:p>
    <w:p>
      <w:pPr>
        <w:pStyle w:val="Normal"/>
        <w:bidi w:val="0"/>
        <w:ind w:left="0" w:right="0" w:hanging="0"/>
        <w:jc w:val="center"/>
        <w:rPr/>
      </w:pPr>
      <w:r>
        <w:rPr>
          <w:i w:val="false"/>
          <w:iCs w:val="false"/>
        </w:rPr>
        <w:t>(где k - константа скорости, С</w:t>
      </w:r>
      <w:r>
        <w:rPr>
          <w:i w:val="false"/>
          <w:iCs w:val="false"/>
          <w:vertAlign w:val="subscript"/>
        </w:rPr>
        <w:t>0</w:t>
      </w:r>
      <w:r>
        <w:rPr>
          <w:i w:val="false"/>
          <w:iCs w:val="false"/>
        </w:rPr>
        <w:t xml:space="preserve"> — начальная концентрация продукта по уравнению 2, </w:t>
      </w:r>
    </w:p>
    <w:p>
      <w:pPr>
        <w:pStyle w:val="Normal"/>
        <w:bidi w:val="0"/>
        <w:ind w:left="0" w:right="0" w:hanging="0"/>
        <w:jc w:val="center"/>
        <w:rPr/>
      </w:pPr>
      <w:r>
        <w:rPr>
          <w:rFonts w:ascii="Standard Symbols L" w:hAnsi="Standard Symbols L"/>
          <w:i w:val="false"/>
          <w:iCs w:val="false"/>
          <w:sz w:val="16"/>
          <w:szCs w:val="16"/>
        </w:rPr>
        <w:t>D</w:t>
      </w:r>
      <w:r>
        <w:rPr>
          <w:i w:val="false"/>
          <w:iCs w:val="false"/>
        </w:rPr>
        <w:t>H - интегральная энтальпия, P</w:t>
      </w:r>
      <w:r>
        <w:rPr>
          <w:i w:val="false"/>
          <w:iCs w:val="false"/>
          <w:vertAlign w:val="subscript"/>
        </w:rPr>
        <w:t>0</w:t>
      </w:r>
      <w:r>
        <w:rPr>
          <w:i w:val="false"/>
          <w:iCs w:val="false"/>
        </w:rPr>
        <w:t xml:space="preserve"> — величина начального теплового потока)</w:t>
      </w:r>
      <w:r>
        <w:rPr/>
        <w:t xml:space="preserve"> </w:t>
      </w:r>
    </w:p>
    <w:tbl>
      <w:tblPr>
        <w:tblW w:w="4750" w:type="pct"/>
        <w:jc w:val="center"/>
        <w:tblInd w:w="0" w:type="dxa"/>
        <w:tblBorders>
          <w:top w:val="single" w:sz="2" w:space="0" w:color="000000"/>
          <w:left w:val="single" w:sz="2" w:space="0" w:color="000000"/>
          <w:bottom w:val="single" w:sz="2" w:space="0" w:color="000000"/>
          <w:insideH w:val="single" w:sz="2" w:space="0" w:color="000000"/>
        </w:tblBorders>
        <w:tblCellMar>
          <w:top w:w="55" w:type="dxa"/>
          <w:left w:w="59" w:type="dxa"/>
          <w:bottom w:w="55" w:type="dxa"/>
          <w:right w:w="55" w:type="dxa"/>
        </w:tblCellMar>
      </w:tblPr>
      <w:tblGrid>
        <w:gridCol w:w="4363"/>
        <w:gridCol w:w="1925"/>
        <w:gridCol w:w="1475"/>
        <w:gridCol w:w="1393"/>
      </w:tblGrid>
      <w:tr>
        <w:trPr/>
        <w:tc>
          <w:tcPr>
            <w:tcW w:w="4363"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Sample</w:t>
            </w:r>
          </w:p>
        </w:tc>
        <w:tc>
          <w:tcPr>
            <w:tcW w:w="1925"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highlight w:val="green"/>
              </w:rPr>
            </w:pPr>
            <w:r>
              <w:rPr>
                <w:rFonts w:cs="Arial" w:ascii="Free Times" w:hAnsi="Free Times"/>
                <w:b/>
                <w:sz w:val="22"/>
                <w:szCs w:val="22"/>
                <w:highlight w:val="green"/>
              </w:rPr>
              <w:t>k, g·mol</w:t>
            </w:r>
            <w:r>
              <w:rPr>
                <w:rFonts w:cs="Arial" w:ascii="Free Times" w:hAnsi="Free Times"/>
                <w:b/>
                <w:sz w:val="22"/>
                <w:szCs w:val="22"/>
                <w:highlight w:val="green"/>
                <w:vertAlign w:val="superscript"/>
              </w:rPr>
              <w:t>-1</w:t>
            </w:r>
            <w:r>
              <w:rPr>
                <w:rFonts w:cs="Arial" w:ascii="Free Times" w:hAnsi="Free Times"/>
                <w:b/>
                <w:sz w:val="22"/>
                <w:szCs w:val="22"/>
                <w:highlight w:val="green"/>
              </w:rPr>
              <w:t>·с</w:t>
            </w:r>
            <w:r>
              <w:rPr>
                <w:rFonts w:cs="Arial" w:ascii="Free Times" w:hAnsi="Free Times"/>
                <w:b/>
                <w:sz w:val="22"/>
                <w:szCs w:val="22"/>
                <w:highlight w:val="green"/>
                <w:vertAlign w:val="superscript"/>
              </w:rPr>
              <w:t>-1</w:t>
            </w:r>
          </w:p>
        </w:tc>
        <w:tc>
          <w:tcPr>
            <w:tcW w:w="1475"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highlight w:val="green"/>
              </w:rPr>
            </w:pPr>
            <w:r>
              <w:rPr>
                <w:rFonts w:cs="Arial" w:ascii="Standard Symbols L" w:hAnsi="Standard Symbols L"/>
                <w:b/>
                <w:sz w:val="16"/>
                <w:szCs w:val="16"/>
                <w:highlight w:val="green"/>
              </w:rPr>
              <w:t>D</w:t>
            </w:r>
            <w:r>
              <w:rPr>
                <w:rFonts w:cs="Arial" w:ascii="Free Times" w:hAnsi="Free Times"/>
                <w:b/>
                <w:sz w:val="22"/>
                <w:szCs w:val="22"/>
                <w:highlight w:val="green"/>
              </w:rPr>
              <w:t>H, kJ·mol</w:t>
            </w:r>
            <w:r>
              <w:rPr>
                <w:rFonts w:cs="Arial" w:ascii="Free Times" w:hAnsi="Free Times"/>
                <w:b/>
                <w:sz w:val="22"/>
                <w:szCs w:val="22"/>
                <w:highlight w:val="green"/>
                <w:vertAlign w:val="superscript"/>
              </w:rPr>
              <w:t>-1</w:t>
            </w:r>
            <w:r>
              <w:rPr>
                <w:rFonts w:cs="Arial" w:ascii="Free Times" w:hAnsi="Free Times"/>
                <w:b/>
                <w:sz w:val="22"/>
                <w:szCs w:val="22"/>
                <w:highlight w:val="green"/>
              </w:rPr>
              <w:t xml:space="preserve"> </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Mar>
              <w:left w:w="59" w:type="dxa"/>
            </w:tcMar>
            <w:vAlign w:val="center"/>
          </w:tcPr>
          <w:p>
            <w:pPr>
              <w:pStyle w:val="Style24"/>
              <w:bidi w:val="0"/>
              <w:ind w:left="0" w:right="0" w:hanging="0"/>
              <w:jc w:val="center"/>
              <w:rPr>
                <w:highlight w:val="green"/>
              </w:rPr>
            </w:pPr>
            <w:r>
              <w:rPr>
                <w:rFonts w:cs="Arial" w:ascii="Free Times" w:hAnsi="Free Times"/>
                <w:b/>
                <w:sz w:val="22"/>
                <w:szCs w:val="22"/>
                <w:highlight w:val="green"/>
              </w:rPr>
              <w:t>P</w:t>
            </w:r>
            <w:r>
              <w:rPr>
                <w:rFonts w:cs="Arial" w:ascii="Free Times" w:hAnsi="Free Times"/>
                <w:b/>
                <w:sz w:val="22"/>
                <w:szCs w:val="22"/>
                <w:highlight w:val="green"/>
                <w:vertAlign w:val="subscript"/>
              </w:rPr>
              <w:t>0</w:t>
            </w:r>
            <w:r>
              <w:rPr>
                <w:rFonts w:cs="Arial" w:ascii="Free Times" w:hAnsi="Free Times"/>
                <w:b/>
                <w:position w:val="0"/>
                <w:sz w:val="22"/>
                <w:sz w:val="22"/>
                <w:szCs w:val="22"/>
                <w:highlight w:val="green"/>
                <w:vertAlign w:val="baseline"/>
              </w:rPr>
              <w:t>,</w:t>
            </w:r>
            <w:r>
              <w:rPr>
                <w:rFonts w:cs="Arial" w:ascii="Free Times" w:hAnsi="Free Times"/>
                <w:b/>
                <w:sz w:val="22"/>
                <w:szCs w:val="22"/>
                <w:highlight w:val="green"/>
                <w:vertAlign w:val="subscript"/>
              </w:rPr>
              <w:t xml:space="preserve"> </w:t>
            </w:r>
            <w:r>
              <w:rPr>
                <w:rFonts w:cs="Times New Roman" w:ascii="Free Times" w:hAnsi="Free Times"/>
                <w:b/>
                <w:position w:val="0"/>
                <w:sz w:val="22"/>
                <w:sz w:val="22"/>
                <w:szCs w:val="22"/>
                <w:highlight w:val="green"/>
                <w:vertAlign w:val="baseline"/>
              </w:rPr>
              <w:t>mW/g</w:t>
            </w:r>
          </w:p>
        </w:tc>
      </w:tr>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1 Nitrogen </w:t>
            </w:r>
            <w:r>
              <w:rPr>
                <w:rFonts w:cs="Arial" w:ascii="Free Times" w:hAnsi="Free Times"/>
                <w:sz w:val="22"/>
                <w:szCs w:val="22"/>
                <w:highlight w:val="green"/>
              </w:rPr>
              <w:t>(</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75</w:t>
            </w:r>
            <w:r>
              <w:rPr>
                <w:rFonts w:cs="Arial" w:ascii="Free Times" w:hAnsi="Free Times"/>
                <w:sz w:val="22"/>
                <w:szCs w:val="22"/>
                <w:highlight w:val="green"/>
              </w:rPr>
              <w:t xml:space="preserve"> ± 0.0</w:t>
            </w:r>
            <w:r>
              <w:rPr>
                <w:rFonts w:cs="Arial" w:ascii="Free Times" w:hAnsi="Free Times"/>
                <w:sz w:val="22"/>
                <w:szCs w:val="22"/>
                <w:highlight w:val="green"/>
              </w:rPr>
              <w:t>117</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4</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3</w:t>
            </w:r>
            <w:r>
              <w:rPr>
                <w:rFonts w:cs="Arial" w:ascii="Free Times" w:hAnsi="Free Times"/>
                <w:sz w:val="22"/>
                <w:szCs w:val="22"/>
                <w:highlight w:val="green"/>
              </w:rPr>
              <w:t>.</w:t>
            </w:r>
            <w:r>
              <w:rPr>
                <w:rFonts w:cs="Arial" w:ascii="Free Times" w:hAnsi="Free Times"/>
                <w:sz w:val="22"/>
                <w:szCs w:val="22"/>
                <w:highlight w:val="green"/>
              </w:rPr>
              <w:t>0</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  </w:t>
            </w:r>
            <w:r>
              <w:rPr>
                <w:rFonts w:cs="Arial" w:ascii="Free Times" w:hAnsi="Free Times"/>
                <w:sz w:val="22"/>
                <w:szCs w:val="22"/>
                <w:highlight w:val="green"/>
              </w:rPr>
              <w:t>31</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8</w:t>
            </w:r>
            <w:r>
              <w:rPr>
                <w:rFonts w:cs="Arial" w:ascii="Free Times" w:hAnsi="Free Times"/>
                <w:sz w:val="22"/>
                <w:szCs w:val="22"/>
                <w:highlight w:val="green"/>
              </w:rPr>
              <w:t>.</w:t>
            </w:r>
            <w:r>
              <w:rPr>
                <w:rFonts w:cs="Arial" w:ascii="Free Times" w:hAnsi="Free Times"/>
                <w:sz w:val="22"/>
                <w:szCs w:val="22"/>
                <w:highlight w:val="green"/>
              </w:rPr>
              <w:t>1</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2 Nitrogen, </w:t>
            </w: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0.0825 ± 0.01</w:t>
            </w:r>
            <w:r>
              <w:rPr>
                <w:rFonts w:cs="Arial" w:ascii="Free Times" w:hAnsi="Free Times"/>
                <w:sz w:val="22"/>
                <w:szCs w:val="22"/>
                <w:highlight w:val="green"/>
              </w:rPr>
              <w:t>19</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243.6 ± 20.7</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12.7 ± 3.5</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Nitrogen, </w:t>
            </w: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w:t>
            </w:r>
            <w:r>
              <w:rPr>
                <w:rFonts w:cs="Arial" w:ascii="Free Times" w:hAnsi="Free Times"/>
                <w:sz w:val="22"/>
                <w:szCs w:val="22"/>
                <w:highlight w:val="green"/>
              </w:rPr>
              <w:t>848</w:t>
            </w:r>
            <w:r>
              <w:rPr>
                <w:rFonts w:cs="Arial" w:ascii="Free Times" w:hAnsi="Free Times"/>
                <w:sz w:val="22"/>
                <w:szCs w:val="22"/>
                <w:highlight w:val="green"/>
              </w:rPr>
              <w:t xml:space="preserve"> ± 0.00</w:t>
            </w:r>
            <w:r>
              <w:rPr>
                <w:rFonts w:cs="Arial" w:ascii="Free Times" w:hAnsi="Free Times"/>
                <w:sz w:val="22"/>
                <w:szCs w:val="22"/>
                <w:highlight w:val="green"/>
              </w:rPr>
              <w:t>91</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35</w:t>
            </w:r>
            <w:r>
              <w:rPr>
                <w:rFonts w:cs="Arial" w:ascii="Free Times" w:hAnsi="Free Times"/>
                <w:sz w:val="22"/>
                <w:szCs w:val="22"/>
                <w:highlight w:val="green"/>
              </w:rPr>
              <w:t>.</w:t>
            </w:r>
            <w:r>
              <w:rPr>
                <w:rFonts w:cs="Arial" w:ascii="Free Times" w:hAnsi="Free Times"/>
                <w:sz w:val="22"/>
                <w:szCs w:val="22"/>
                <w:highlight w:val="green"/>
              </w:rPr>
              <w:t>5</w:t>
            </w:r>
            <w:r>
              <w:rPr>
                <w:rFonts w:cs="Arial" w:ascii="Free Times" w:hAnsi="Free Times"/>
                <w:sz w:val="22"/>
                <w:szCs w:val="22"/>
                <w:highlight w:val="green"/>
              </w:rPr>
              <w:t xml:space="preserve"> ± </w:t>
            </w:r>
            <w:r>
              <w:rPr>
                <w:rFonts w:cs="Arial" w:ascii="Free Times" w:hAnsi="Free Times"/>
                <w:sz w:val="22"/>
                <w:szCs w:val="22"/>
                <w:highlight w:val="green"/>
              </w:rPr>
              <w:t>7</w:t>
            </w:r>
            <w:r>
              <w:rPr>
                <w:rFonts w:cs="Arial" w:ascii="Free Times" w:hAnsi="Free Times"/>
                <w:sz w:val="22"/>
                <w:szCs w:val="22"/>
                <w:highlight w:val="green"/>
              </w:rPr>
              <w:t>.</w:t>
            </w:r>
            <w:r>
              <w:rPr>
                <w:rFonts w:cs="Arial" w:ascii="Free Times" w:hAnsi="Free Times"/>
                <w:sz w:val="22"/>
                <w:szCs w:val="22"/>
                <w:highlight w:val="green"/>
              </w:rPr>
              <w:t>0</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0</w:t>
            </w:r>
            <w:r>
              <w:rPr>
                <w:rFonts w:cs="Arial" w:ascii="Free Times" w:hAnsi="Free Times"/>
                <w:sz w:val="22"/>
                <w:szCs w:val="22"/>
                <w:highlight w:val="green"/>
              </w:rPr>
              <w:t>.</w:t>
            </w:r>
            <w:r>
              <w:rPr>
                <w:rFonts w:cs="Arial" w:ascii="Free Times" w:hAnsi="Free Times"/>
                <w:sz w:val="22"/>
                <w:szCs w:val="22"/>
                <w:highlight w:val="green"/>
              </w:rPr>
              <w:t>1</w:t>
            </w:r>
            <w:r>
              <w:rPr>
                <w:rFonts w:cs="Arial" w:ascii="Free Times" w:hAnsi="Free Times"/>
                <w:sz w:val="22"/>
                <w:szCs w:val="22"/>
                <w:highlight w:val="green"/>
              </w:rPr>
              <w:t xml:space="preserve"> ± </w:t>
            </w:r>
            <w:r>
              <w:rPr>
                <w:rFonts w:cs="Arial" w:ascii="Free Times" w:hAnsi="Free Times"/>
                <w:sz w:val="22"/>
                <w:szCs w:val="22"/>
                <w:highlight w:val="green"/>
              </w:rPr>
              <w:t>3</w:t>
            </w:r>
            <w:r>
              <w:rPr>
                <w:rFonts w:cs="Arial" w:ascii="Free Times" w:hAnsi="Free Times"/>
                <w:sz w:val="22"/>
                <w:szCs w:val="22"/>
                <w:highlight w:val="green"/>
              </w:rPr>
              <w:t>.</w:t>
            </w:r>
            <w:r>
              <w:rPr>
                <w:rFonts w:cs="Arial" w:ascii="Free Times" w:hAnsi="Free Times"/>
                <w:sz w:val="22"/>
                <w:szCs w:val="22"/>
                <w:highlight w:val="green"/>
              </w:rPr>
              <w:t>5</w:t>
            </w:r>
          </w:p>
        </w:tc>
      </w:tr>
      <w:tr>
        <w:trPr/>
        <w:tc>
          <w:tcPr>
            <w:tcW w:w="4363"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Air,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62</w:t>
            </w:r>
            <w:r>
              <w:rPr>
                <w:rFonts w:cs="Arial" w:ascii="Free Times" w:hAnsi="Free Times"/>
                <w:sz w:val="22"/>
                <w:szCs w:val="22"/>
                <w:highlight w:val="green"/>
              </w:rPr>
              <w:t xml:space="preserve"> ± 0.0</w:t>
            </w:r>
            <w:r>
              <w:rPr>
                <w:rFonts w:cs="Arial" w:ascii="Free Times" w:hAnsi="Free Times"/>
                <w:sz w:val="22"/>
                <w:szCs w:val="22"/>
                <w:highlight w:val="green"/>
              </w:rPr>
              <w:t>107</w:t>
            </w:r>
          </w:p>
        </w:tc>
        <w:tc>
          <w:tcPr>
            <w:tcW w:w="147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29</w:t>
            </w:r>
            <w:r>
              <w:rPr>
                <w:rFonts w:cs="Arial" w:ascii="Free Times" w:hAnsi="Free Times"/>
                <w:sz w:val="22"/>
                <w:szCs w:val="22"/>
                <w:highlight w:val="green"/>
              </w:rPr>
              <w:t>.</w:t>
            </w:r>
            <w:r>
              <w:rPr>
                <w:rFonts w:cs="Arial" w:ascii="Free Times" w:hAnsi="Free Times"/>
                <w:sz w:val="22"/>
                <w:szCs w:val="22"/>
                <w:highlight w:val="green"/>
              </w:rPr>
              <w:t>0</w:t>
            </w:r>
            <w:r>
              <w:rPr>
                <w:rFonts w:cs="Arial" w:ascii="Free Times" w:hAnsi="Free Times"/>
                <w:sz w:val="22"/>
                <w:szCs w:val="22"/>
                <w:highlight w:val="green"/>
              </w:rPr>
              <w:t xml:space="preserve"> ± </w:t>
            </w:r>
            <w:r>
              <w:rPr>
                <w:rFonts w:cs="Arial" w:ascii="Free Times" w:hAnsi="Free Times"/>
                <w:sz w:val="22"/>
                <w:szCs w:val="22"/>
                <w:highlight w:val="green"/>
              </w:rPr>
              <w:t>28</w:t>
            </w:r>
            <w:r>
              <w:rPr>
                <w:rFonts w:cs="Arial" w:ascii="Free Times" w:hAnsi="Free Times"/>
                <w:sz w:val="22"/>
                <w:szCs w:val="22"/>
                <w:highlight w:val="green"/>
              </w:rPr>
              <w:t>.</w:t>
            </w:r>
            <w:r>
              <w:rPr>
                <w:rFonts w:cs="Arial" w:ascii="Free Times" w:hAnsi="Free Times"/>
                <w:sz w:val="22"/>
                <w:szCs w:val="22"/>
                <w:highlight w:val="green"/>
              </w:rPr>
              <w:t>9</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8</w:t>
            </w:r>
            <w:r>
              <w:rPr>
                <w:rFonts w:cs="Arial" w:ascii="Free Times" w:hAnsi="Free Times"/>
                <w:sz w:val="22"/>
                <w:szCs w:val="22"/>
                <w:highlight w:val="green"/>
              </w:rPr>
              <w:t xml:space="preserve">.7 ± </w:t>
            </w:r>
            <w:r>
              <w:rPr>
                <w:rFonts w:cs="Arial" w:ascii="Free Times" w:hAnsi="Free Times"/>
                <w:sz w:val="22"/>
                <w:szCs w:val="22"/>
                <w:highlight w:val="green"/>
              </w:rPr>
              <w:t>8</w:t>
            </w:r>
            <w:r>
              <w:rPr>
                <w:rFonts w:cs="Arial" w:ascii="Free Times" w:hAnsi="Free Times"/>
                <w:sz w:val="22"/>
                <w:szCs w:val="22"/>
                <w:highlight w:val="green"/>
              </w:rPr>
              <w:t>.</w:t>
            </w:r>
            <w:r>
              <w:rPr>
                <w:rFonts w:cs="Arial" w:ascii="Free Times" w:hAnsi="Free Times"/>
                <w:sz w:val="22"/>
                <w:szCs w:val="22"/>
                <w:highlight w:val="green"/>
              </w:rPr>
              <w:t>5</w:t>
            </w:r>
          </w:p>
        </w:tc>
      </w:tr>
      <w:tr>
        <w:trPr/>
        <w:tc>
          <w:tcPr>
            <w:tcW w:w="4363"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Argon,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0.1002 ± 0.0113</w:t>
            </w:r>
          </w:p>
        </w:tc>
        <w:tc>
          <w:tcPr>
            <w:tcW w:w="147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242.3 ± 8.0</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12.8 ± 2.4 </w:t>
            </w:r>
          </w:p>
        </w:tc>
      </w:tr>
      <w:tr>
        <w:trPr/>
        <w:tc>
          <w:tcPr>
            <w:tcW w:w="4363"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spacing w:lineRule="auto" w:line="24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w:t>
            </w:r>
            <w:r>
              <w:rPr>
                <w:rFonts w:cs="Arial" w:ascii="Free Times" w:hAnsi="Free Times"/>
                <w:sz w:val="22"/>
                <w:szCs w:val="22"/>
                <w:highlight w:val="green"/>
              </w:rPr>
              <w:t>2, 3</w:t>
            </w:r>
            <w:r>
              <w:rPr>
                <w:rFonts w:cs="Arial" w:ascii="Free Times" w:hAnsi="Free Times"/>
                <w:sz w:val="22"/>
                <w:szCs w:val="22"/>
                <w:highlight w:val="green"/>
              </w:rPr>
              <w:t xml:space="preserve"> Nitrogen, </w:t>
            </w:r>
          </w:p>
          <w:p>
            <w:pPr>
              <w:pStyle w:val="Style24"/>
              <w:bidi w:val="0"/>
              <w:spacing w:lineRule="auto" w:line="24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w:t>
            </w:r>
            <w:r>
              <w:rPr>
                <w:rFonts w:cs="Arial" w:ascii="Free Times" w:hAnsi="Free Times"/>
                <w:sz w:val="22"/>
                <w:szCs w:val="22"/>
                <w:highlight w:val="green"/>
              </w:rPr>
              <w:t xml:space="preserve">1, </w:t>
            </w:r>
            <w:r>
              <w:rPr>
                <w:rFonts w:cs="Arial" w:ascii="Free Times" w:hAnsi="Free Times"/>
                <w:sz w:val="22"/>
                <w:szCs w:val="22"/>
                <w:highlight w:val="green"/>
              </w:rPr>
              <w:t>2</w:t>
            </w:r>
            <w:r>
              <w:rPr>
                <w:rFonts w:cs="Arial" w:ascii="Free Times" w:hAnsi="Free Times"/>
                <w:sz w:val="22"/>
                <w:szCs w:val="22"/>
                <w:highlight w:val="green"/>
              </w:rPr>
              <w:t>)</w:t>
            </w:r>
          </w:p>
        </w:tc>
        <w:tc>
          <w:tcPr>
            <w:tcW w:w="1925"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38</w:t>
            </w:r>
            <w:r>
              <w:rPr>
                <w:rFonts w:cs="Arial" w:ascii="Free Times" w:hAnsi="Free Times"/>
                <w:sz w:val="22"/>
                <w:szCs w:val="22"/>
                <w:highlight w:val="green"/>
              </w:rPr>
              <w:t xml:space="preserve"> ± 0.00</w:t>
            </w:r>
            <w:r>
              <w:rPr>
                <w:rFonts w:cs="Arial" w:ascii="Free Times" w:hAnsi="Free Times"/>
                <w:sz w:val="22"/>
                <w:szCs w:val="22"/>
                <w:highlight w:val="green"/>
              </w:rPr>
              <w:t>59</w:t>
            </w:r>
          </w:p>
        </w:tc>
        <w:tc>
          <w:tcPr>
            <w:tcW w:w="1475" w:type="dxa"/>
            <w:tcBorders>
              <w:top w:val="single" w:sz="2" w:space="0" w:color="000000"/>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8</w:t>
            </w:r>
            <w:r>
              <w:rPr>
                <w:rFonts w:cs="Arial" w:ascii="Free Times" w:hAnsi="Free Times"/>
                <w:sz w:val="22"/>
                <w:szCs w:val="22"/>
                <w:highlight w:val="green"/>
              </w:rPr>
              <w:t xml:space="preserve">.9 ± </w:t>
            </w:r>
            <w:r>
              <w:rPr>
                <w:rFonts w:cs="Arial" w:ascii="Free Times" w:hAnsi="Free Times"/>
                <w:sz w:val="22"/>
                <w:szCs w:val="22"/>
                <w:highlight w:val="green"/>
              </w:rPr>
              <w:t>7</w:t>
            </w:r>
            <w:r>
              <w:rPr>
                <w:rFonts w:cs="Arial" w:ascii="Free Times" w:hAnsi="Free Times"/>
                <w:sz w:val="22"/>
                <w:szCs w:val="22"/>
                <w:highlight w:val="green"/>
              </w:rPr>
              <w:t>.</w:t>
            </w:r>
            <w:r>
              <w:rPr>
                <w:rFonts w:cs="Arial" w:ascii="Free Times" w:hAnsi="Free Times"/>
                <w:sz w:val="22"/>
                <w:szCs w:val="22"/>
                <w:highlight w:val="green"/>
              </w:rPr>
              <w:t>8</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1</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3</w:t>
            </w:r>
          </w:p>
        </w:tc>
      </w:tr>
      <w:tr>
        <w:trPr/>
        <w:tc>
          <w:tcPr>
            <w:tcW w:w="4363"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w:t>
            </w:r>
            <w:r>
              <w:rPr>
                <w:rFonts w:cs="Arial" w:ascii="Free Times" w:hAnsi="Free Times"/>
                <w:sz w:val="22"/>
                <w:szCs w:val="22"/>
                <w:highlight w:val="green"/>
              </w:rPr>
              <w:t>4</w:t>
            </w:r>
            <w:r>
              <w:rPr>
                <w:rFonts w:cs="Arial" w:ascii="Free Times" w:hAnsi="Free Times"/>
                <w:sz w:val="22"/>
                <w:szCs w:val="22"/>
                <w:highlight w:val="green"/>
              </w:rPr>
              <w:t xml:space="preserve"> Nitrogen, </w:t>
            </w:r>
            <w:r>
              <w:rPr>
                <w:rFonts w:cs="Arial" w:ascii="Free Times" w:hAnsi="Free Times"/>
                <w:sz w:val="22"/>
                <w:szCs w:val="22"/>
                <w:highlight w:val="green"/>
                <w:lang w:val="en-US"/>
              </w:rPr>
              <w:t>source</w:t>
            </w:r>
          </w:p>
        </w:tc>
        <w:tc>
          <w:tcPr>
            <w:tcW w:w="192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32</w:t>
            </w:r>
            <w:r>
              <w:rPr>
                <w:rFonts w:cs="Arial" w:ascii="Free Times" w:hAnsi="Free Times"/>
                <w:sz w:val="22"/>
                <w:szCs w:val="22"/>
                <w:highlight w:val="green"/>
              </w:rPr>
              <w:t xml:space="preserve"> ± 0.0</w:t>
            </w:r>
            <w:r>
              <w:rPr>
                <w:rFonts w:cs="Arial" w:ascii="Free Times" w:hAnsi="Free Times"/>
                <w:sz w:val="22"/>
                <w:szCs w:val="22"/>
                <w:highlight w:val="green"/>
              </w:rPr>
              <w:t>109</w:t>
            </w:r>
          </w:p>
        </w:tc>
        <w:tc>
          <w:tcPr>
            <w:tcW w:w="147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41</w:t>
            </w:r>
            <w:r>
              <w:rPr>
                <w:rFonts w:cs="Arial" w:ascii="Free Times" w:hAnsi="Free Times"/>
                <w:sz w:val="22"/>
                <w:szCs w:val="22"/>
                <w:highlight w:val="green"/>
              </w:rPr>
              <w:t>.</w:t>
            </w:r>
            <w:r>
              <w:rPr>
                <w:rFonts w:cs="Arial" w:ascii="Free Times" w:hAnsi="Free Times"/>
                <w:sz w:val="22"/>
                <w:szCs w:val="22"/>
                <w:highlight w:val="green"/>
              </w:rPr>
              <w:t>7</w:t>
            </w:r>
            <w:r>
              <w:rPr>
                <w:rFonts w:cs="Arial" w:ascii="Free Times" w:hAnsi="Free Times"/>
                <w:sz w:val="22"/>
                <w:szCs w:val="22"/>
                <w:highlight w:val="green"/>
              </w:rPr>
              <w:t xml:space="preserve"> ± </w:t>
            </w:r>
            <w:r>
              <w:rPr>
                <w:rFonts w:cs="Arial" w:ascii="Free Times" w:hAnsi="Free Times"/>
                <w:sz w:val="22"/>
                <w:szCs w:val="22"/>
                <w:highlight w:val="green"/>
              </w:rPr>
              <w:t>16</w:t>
            </w:r>
            <w:r>
              <w:rPr>
                <w:rFonts w:cs="Arial" w:ascii="Free Times" w:hAnsi="Free Times"/>
                <w:sz w:val="22"/>
                <w:szCs w:val="22"/>
                <w:highlight w:val="green"/>
              </w:rPr>
              <w:t>.</w:t>
            </w:r>
            <w:r>
              <w:rPr>
                <w:rFonts w:cs="Arial" w:ascii="Free Times" w:hAnsi="Free Times"/>
                <w:sz w:val="22"/>
                <w:szCs w:val="22"/>
                <w:highlight w:val="green"/>
              </w:rPr>
              <w:t>2</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0</w:t>
            </w:r>
            <w:r>
              <w:rPr>
                <w:rFonts w:cs="Arial" w:ascii="Free Times" w:hAnsi="Free Times"/>
                <w:sz w:val="22"/>
                <w:szCs w:val="22"/>
                <w:highlight w:val="green"/>
              </w:rPr>
              <w:t xml:space="preserve"> ± </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0</w:t>
            </w:r>
          </w:p>
        </w:tc>
      </w:tr>
      <w:tr>
        <w:trPr/>
        <w:tc>
          <w:tcPr>
            <w:tcW w:w="4363"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4 Nitrogen,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p>
        </w:tc>
        <w:tc>
          <w:tcPr>
            <w:tcW w:w="192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38</w:t>
            </w:r>
            <w:r>
              <w:rPr>
                <w:rFonts w:cs="Arial" w:ascii="Free Times" w:hAnsi="Free Times"/>
                <w:sz w:val="22"/>
                <w:szCs w:val="22"/>
                <w:highlight w:val="green"/>
              </w:rPr>
              <w:t xml:space="preserve"> ± 0.0</w:t>
            </w:r>
            <w:r>
              <w:rPr>
                <w:rFonts w:cs="Arial" w:ascii="Free Times" w:hAnsi="Free Times"/>
                <w:sz w:val="22"/>
                <w:szCs w:val="22"/>
                <w:highlight w:val="green"/>
              </w:rPr>
              <w:t>158</w:t>
            </w:r>
          </w:p>
        </w:tc>
        <w:tc>
          <w:tcPr>
            <w:tcW w:w="147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5</w:t>
            </w:r>
            <w:r>
              <w:rPr>
                <w:rFonts w:cs="Arial" w:ascii="Free Times" w:hAnsi="Free Times"/>
                <w:sz w:val="22"/>
                <w:szCs w:val="22"/>
                <w:highlight w:val="green"/>
              </w:rPr>
              <w:t>.</w:t>
            </w:r>
            <w:r>
              <w:rPr>
                <w:rFonts w:cs="Arial" w:ascii="Free Times" w:hAnsi="Free Times"/>
                <w:sz w:val="22"/>
                <w:szCs w:val="22"/>
                <w:highlight w:val="green"/>
              </w:rPr>
              <w:t>1</w:t>
            </w:r>
            <w:r>
              <w:rPr>
                <w:rFonts w:cs="Arial" w:ascii="Free Times" w:hAnsi="Free Times"/>
                <w:sz w:val="22"/>
                <w:szCs w:val="22"/>
                <w:highlight w:val="green"/>
              </w:rPr>
              <w:t xml:space="preserve"> ± </w:t>
            </w:r>
            <w:r>
              <w:rPr>
                <w:rFonts w:cs="Arial" w:ascii="Free Times" w:hAnsi="Free Times"/>
                <w:sz w:val="22"/>
                <w:szCs w:val="22"/>
                <w:highlight w:val="green"/>
              </w:rPr>
              <w:t>17</w:t>
            </w:r>
            <w:r>
              <w:rPr>
                <w:rFonts w:cs="Arial" w:ascii="Free Times" w:hAnsi="Free Times"/>
                <w:sz w:val="22"/>
                <w:szCs w:val="22"/>
                <w:highlight w:val="green"/>
              </w:rPr>
              <w:t>.</w:t>
            </w:r>
            <w:r>
              <w:rPr>
                <w:rFonts w:cs="Arial" w:ascii="Free Times" w:hAnsi="Free Times"/>
                <w:sz w:val="22"/>
                <w:szCs w:val="22"/>
                <w:highlight w:val="green"/>
              </w:rPr>
              <w:t>9</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0</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6</w:t>
            </w:r>
            <w:r>
              <w:rPr>
                <w:rFonts w:cs="Arial" w:ascii="Free Times" w:hAnsi="Free Times"/>
                <w:sz w:val="22"/>
                <w:szCs w:val="22"/>
                <w:highlight w:val="green"/>
              </w:rPr>
              <w:t>.</w:t>
            </w:r>
            <w:r>
              <w:rPr>
                <w:rFonts w:cs="Arial" w:ascii="Free Times" w:hAnsi="Free Times"/>
                <w:sz w:val="22"/>
                <w:szCs w:val="22"/>
                <w:highlight w:val="green"/>
              </w:rPr>
              <w:t>3</w:t>
            </w:r>
          </w:p>
        </w:tc>
      </w:tr>
      <w:tr>
        <w:trPr/>
        <w:tc>
          <w:tcPr>
            <w:tcW w:w="4363"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4 Nitrogen,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0.093</w:t>
            </w:r>
            <w:r>
              <w:rPr>
                <w:rFonts w:cs="Arial" w:ascii="Free Times" w:hAnsi="Free Times"/>
                <w:sz w:val="22"/>
                <w:szCs w:val="22"/>
                <w:highlight w:val="green"/>
              </w:rPr>
              <w:t>1</w:t>
            </w:r>
            <w:r>
              <w:rPr>
                <w:rFonts w:cs="Arial" w:ascii="Free Times" w:hAnsi="Free Times"/>
                <w:sz w:val="22"/>
                <w:szCs w:val="22"/>
                <w:highlight w:val="green"/>
              </w:rPr>
              <w:t xml:space="preserve"> ± 0.00</w:t>
            </w:r>
            <w:r>
              <w:rPr>
                <w:rFonts w:cs="Arial" w:ascii="Free Times" w:hAnsi="Free Times"/>
                <w:sz w:val="22"/>
                <w:szCs w:val="22"/>
                <w:highlight w:val="green"/>
              </w:rPr>
              <w:t>71</w:t>
            </w:r>
          </w:p>
        </w:tc>
        <w:tc>
          <w:tcPr>
            <w:tcW w:w="1475" w:type="dxa"/>
            <w:tcBorders>
              <w:left w:val="single" w:sz="2" w:space="0" w:color="000000"/>
              <w:bottom w:val="single" w:sz="2" w:space="0" w:color="000000"/>
              <w:insideH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38</w:t>
            </w:r>
            <w:r>
              <w:rPr>
                <w:rFonts w:cs="Arial" w:ascii="Free Times" w:hAnsi="Free Times"/>
                <w:sz w:val="22"/>
                <w:szCs w:val="22"/>
                <w:highlight w:val="green"/>
              </w:rPr>
              <w:t xml:space="preserve">.1 ± </w:t>
            </w:r>
            <w:r>
              <w:rPr>
                <w:rFonts w:cs="Arial" w:ascii="Free Times" w:hAnsi="Free Times"/>
                <w:sz w:val="22"/>
                <w:szCs w:val="22"/>
                <w:highlight w:val="green"/>
              </w:rPr>
              <w:t>6</w:t>
            </w:r>
            <w:r>
              <w:rPr>
                <w:rFonts w:cs="Arial" w:ascii="Free Times" w:hAnsi="Free Times"/>
                <w:sz w:val="22"/>
                <w:szCs w:val="22"/>
                <w:highlight w:val="green"/>
              </w:rPr>
              <w:t>.</w:t>
            </w:r>
            <w:r>
              <w:rPr>
                <w:rFonts w:cs="Arial" w:ascii="Free Times" w:hAnsi="Free Times"/>
                <w:sz w:val="22"/>
                <w:szCs w:val="22"/>
                <w:highlight w:val="green"/>
              </w:rPr>
              <w:t>8</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11.</w:t>
            </w:r>
            <w:r>
              <w:rPr>
                <w:rFonts w:cs="Arial" w:ascii="Free Times" w:hAnsi="Free Times"/>
                <w:sz w:val="22"/>
                <w:szCs w:val="22"/>
                <w:highlight w:val="green"/>
              </w:rPr>
              <w:t>3</w:t>
            </w:r>
            <w:r>
              <w:rPr>
                <w:rFonts w:cs="Arial" w:ascii="Free Times" w:hAnsi="Free Times"/>
                <w:sz w:val="22"/>
                <w:szCs w:val="22"/>
                <w:highlight w:val="green"/>
              </w:rPr>
              <w:t xml:space="preserve"> ± 2.</w:t>
            </w:r>
            <w:r>
              <w:rPr>
                <w:rFonts w:cs="Arial" w:ascii="Free Times" w:hAnsi="Free Times"/>
                <w:sz w:val="22"/>
                <w:szCs w:val="22"/>
                <w:highlight w:val="green"/>
              </w:rPr>
              <w:t>3</w:t>
            </w:r>
          </w:p>
        </w:tc>
      </w:tr>
      <w:tr>
        <w:trPr/>
        <w:tc>
          <w:tcPr>
            <w:tcW w:w="4363"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General statistics</w:t>
            </w:r>
          </w:p>
        </w:tc>
        <w:tc>
          <w:tcPr>
            <w:tcW w:w="192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0.0882 ± 0.0045</w:t>
            </w:r>
          </w:p>
        </w:tc>
        <w:tc>
          <w:tcPr>
            <w:tcW w:w="1475" w:type="dxa"/>
            <w:tcBorders>
              <w:left w:val="single" w:sz="2" w:space="0" w:color="000000"/>
              <w:bottom w:val="single" w:sz="2" w:space="0" w:color="000000"/>
              <w:insideH w:val="single" w:sz="2" w:space="0" w:color="000000"/>
            </w:tcBorders>
            <w:shd w:fill="EEEEEE"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237.7 ± 4.6</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EEEEEE"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13.8 ± 3.3</w:t>
            </w:r>
          </w:p>
        </w:tc>
      </w:tr>
    </w:tbl>
    <w:p>
      <w:pPr>
        <w:pStyle w:val="Normal"/>
        <w:jc w:val="center"/>
        <w:rPr>
          <w:rFonts w:ascii="Liberation Serif" w:hAnsi="Liberation Serif"/>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r>
        <w:rPr>
          <w:b/>
          <w:bCs/>
        </w:rPr>
        <w:t>1</w:t>
      </w:r>
      <w:r>
        <w:rPr>
          <w:b/>
          <w:bCs/>
          <w:lang w:val="en-US"/>
        </w:rPr>
        <w:t>c</w:t>
      </w:r>
      <w:r>
        <w:rPr>
          <w:b/>
          <w:bCs/>
        </w:rPr>
        <w:t>, 2, 3</w:t>
      </w:r>
      <w:r>
        <w:rPr/>
        <w:t xml:space="preserve">  практически не зависят от аниона.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 </w:t>
      </w:r>
      <w:r>
        <w:rPr>
          <w:vertAlign w:val="subscript"/>
        </w:rPr>
        <w:t>max</w:t>
      </w:r>
      <w:r>
        <w:rPr/>
        <w:t xml:space="preserve"> в сравнении с 4-nitroderivative </w:t>
      </w:r>
      <w:r>
        <w:rPr>
          <w:b/>
          <w:bCs/>
        </w:rPr>
        <w:t>1c</w:t>
      </w:r>
      <w:r>
        <w:rPr/>
        <w:t xml:space="preserve"> and other disazonium salts.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highlight w:val="green"/>
          <w:u w:val="none"/>
        </w:rPr>
        <w:t xml:space="preserve">Величины максимальных тепловых потоков важны </w:t>
      </w:r>
      <w:r>
        <w:rPr>
          <w:color w:val="000000"/>
          <w:highlight w:val="green"/>
          <w:u w:val="none"/>
        </w:rPr>
        <w:t xml:space="preserve">не только </w:t>
      </w:r>
      <w:r>
        <w:rPr>
          <w:color w:val="000000"/>
          <w:highlight w:val="green"/>
          <w:u w:val="none"/>
        </w:rPr>
        <w:t xml:space="preserve">для </w:t>
      </w:r>
      <w:r>
        <w:rPr>
          <w:color w:val="000000"/>
          <w:highlight w:val="green"/>
          <w:u w:val="none"/>
        </w:rPr>
        <w:t xml:space="preserve">математического моделирования кинетики реакций, но и </w:t>
      </w:r>
      <w:r>
        <w:rPr>
          <w:color w:val="000000"/>
          <w:highlight w:val="green"/>
          <w:u w:val="none"/>
        </w:rPr>
        <w:t xml:space="preserve">с практической точки зрения, </w:t>
      </w:r>
      <w:r>
        <w:rPr>
          <w:color w:val="000000"/>
          <w:highlight w:val="green"/>
          <w:u w:val="none"/>
        </w:rPr>
        <w:t>как важная характеристика количественно описывающая один из аспектов безопасности этих веществ</w:t>
      </w:r>
      <w:r>
        <w:rPr>
          <w:color w:val="000000"/>
          <w:highlight w:val="green"/>
          <w:u w:val="none"/>
        </w:rPr>
        <w:t>.</w:t>
      </w:r>
      <w:r>
        <w:rPr>
          <w:color w:val="FF0000"/>
        </w:rPr>
        <w:t xml:space="preserve"> (Не могу понять, нужна ли эта фраза? Особенно для “подбора условий хранения”. Может быть написать “данные P </w:t>
      </w:r>
      <w:r>
        <w:rPr>
          <w:color w:val="FF0000"/>
          <w:vertAlign w:val="subscript"/>
        </w:rPr>
        <w:t xml:space="preserve">max </w:t>
      </w:r>
      <w:r>
        <w:rPr>
          <w:color w:val="FF0000"/>
        </w:rPr>
        <w:t>нужны как исходные для расчета кинетики разложения” ? Или что-то в этом роде, тебе виднее).</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bidi w:val="0"/>
        <w:ind w:left="0" w:right="0" w:hanging="0"/>
        <w:jc w:val="center"/>
        <w:rPr/>
      </w:pPr>
      <w:r>
        <w:rPr>
          <w:rFonts w:ascii="Standard Symbols L" w:hAnsi="Standard Symbols L"/>
          <w:b w:val="false"/>
          <w:bCs w:val="false"/>
          <w:i w:val="false"/>
          <w:iCs w:val="false"/>
          <w:sz w:val="16"/>
          <w:szCs w:val="16"/>
        </w:rPr>
        <w:t>(D</w:t>
      </w:r>
      <w:r>
        <w:rPr>
          <w:b w:val="false"/>
          <w:bCs w:val="false"/>
          <w:i w:val="false"/>
          <w:iCs w:val="false"/>
        </w:rPr>
        <w:t>H - интегральная энтальпия, P</w:t>
      </w:r>
      <w:r>
        <w:rPr>
          <w:b w:val="false"/>
          <w:bCs w:val="false"/>
          <w:i w:val="false"/>
          <w:iCs w:val="false"/>
          <w:vertAlign w:val="subscript"/>
        </w:rPr>
        <w:t>max</w:t>
      </w:r>
      <w:r>
        <w:rPr>
          <w:b w:val="false"/>
          <w:bCs w:val="false"/>
          <w:i w:val="false"/>
          <w:iCs w:val="false"/>
        </w:rPr>
        <w:t xml:space="preserve"> — величина максимального теплового потока)</w:t>
      </w:r>
    </w:p>
    <w:tbl>
      <w:tblPr>
        <w:tblW w:w="964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812"/>
        <w:gridCol w:w="1083"/>
        <w:gridCol w:w="1083"/>
        <w:gridCol w:w="1109"/>
        <w:gridCol w:w="1164"/>
        <w:gridCol w:w="1152"/>
        <w:gridCol w:w="1237"/>
      </w:tblGrid>
      <w:tr>
        <w:trPr>
          <w:tblHeader w:val="true"/>
          <w:cantSplit w:val="true"/>
        </w:trPr>
        <w:tc>
          <w:tcPr>
            <w:tcW w:w="2812"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3"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2"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highlight w:val="green"/>
        </w:rPr>
        <w:t xml:space="preserve">Был проведен кинетический анализ кривых изотермического разложения (рис. 7-10), </w:t>
      </w:r>
      <w:r>
        <w:rPr>
          <w:highlight w:val="green"/>
        </w:rPr>
        <w:t xml:space="preserve">экспериментальные зависимости теплового потока были аппроксимированы кинетическим уравнением для автокаталитических реакций </w:t>
      </w:r>
      <w:r>
        <w:rPr>
          <w:highlight w:val="green"/>
        </w:rPr>
        <w:t>(2)</w:t>
      </w:r>
      <w:r>
        <w:rPr>
          <w:highlight w:val="green"/>
        </w:rPr>
        <w:t>, которое качественно соответствует зависимости теплового потока от времени.</w:t>
      </w:r>
      <w:r>
        <w:rPr>
          <w:highlight w:val="green"/>
        </w:rPr>
        <w:t xml:space="preserve"> </w:t>
      </w:r>
      <w:r>
        <w:rPr>
          <w:highlight w:val="green"/>
        </w:rPr>
        <w:t>О</w:t>
      </w:r>
      <w:r>
        <w:rPr>
          <w:highlight w:val="green"/>
        </w:rPr>
        <w:t>пределены основные параметры (</w:t>
      </w:r>
      <w:r>
        <w:rPr>
          <w:highlight w:val="green"/>
        </w:rPr>
        <w:t xml:space="preserve">k - константа скорости, </w:t>
      </w:r>
      <w:r>
        <w:rPr/>
        <w:t>P</w:t>
      </w:r>
      <w:r>
        <w:rPr>
          <w:vertAlign w:val="subscript"/>
        </w:rPr>
        <w:t>0</w:t>
      </w:r>
      <w:r>
        <w:rPr/>
        <w:t>, P</w:t>
      </w:r>
      <w:r>
        <w:rPr>
          <w:vertAlign w:val="subscript"/>
        </w:rPr>
        <w:t>max</w:t>
      </w:r>
      <w:r>
        <w:rPr/>
        <w:t xml:space="preserve"> - величины начального и максимального тепловых потоков </w:t>
      </w:r>
      <w:r>
        <w:rPr>
          <w:color w:val="auto"/>
          <w:highlight w:val="green"/>
          <w:u w:val="none"/>
        </w:rPr>
        <w:t>в уравнении автокаталитической реакции 2</w:t>
      </w:r>
      <w:r>
        <w:rPr/>
        <w:t xml:space="preserve">. </w:t>
      </w:r>
      <w:r>
        <w:rPr>
          <w:color w:val="FF0000"/>
          <w:u w:val="none"/>
        </w:rPr>
        <w:t>(чего-то меня начало смущать слово “продукты”. Какие продукты ? Или я чего-то не понимаю, извини)</w:t>
      </w:r>
      <w:r>
        <w:rPr/>
        <w:t xml:space="preserve"> </w:t>
      </w:r>
      <w:r>
        <w:rPr>
          <w:highlight w:val="green"/>
        </w:rPr>
        <w:t xml:space="preserve">Кинетические параметры </w:t>
      </w:r>
      <w:r>
        <w:rPr>
          <w:highlight w:val="green"/>
        </w:rPr>
        <w:t xml:space="preserve">уравнения 2 </w:t>
      </w:r>
      <w:r>
        <w:rPr>
          <w:highlight w:val="green"/>
        </w:rPr>
        <w:t xml:space="preserve">аппроксимирующие экспериментальные зависимости тепловых потоков </w:t>
      </w:r>
      <w:r>
        <w:rPr/>
        <w:t xml:space="preserve"> (</w:t>
      </w:r>
      <w:r>
        <w:rPr>
          <w:color w:val="FF0000"/>
        </w:rPr>
        <w:t>вычисленные по ?</w:t>
      </w:r>
      <w:r>
        <w:rPr/>
        <w:t xml:space="preserve">) </w:t>
      </w:r>
      <w:r>
        <w:rPr>
          <w:highlight w:val="green"/>
        </w:rPr>
        <w:t xml:space="preserve">для солей </w:t>
      </w:r>
      <w:r>
        <w:rPr>
          <w:b/>
          <w:bCs/>
          <w:highlight w:val="green"/>
        </w:rPr>
        <w:t>1a-1d, 2, 3</w:t>
      </w:r>
      <w:r>
        <w:rPr>
          <w:highlight w:val="green"/>
        </w:rPr>
        <w:t xml:space="preserve"> представлены в таблице 4. </w:t>
      </w:r>
      <w:r>
        <w:rPr>
          <w:highlight w:val="green"/>
        </w:rPr>
        <w:t>К</w:t>
      </w:r>
      <w:r>
        <w:rPr>
          <w:highlight w:val="green"/>
        </w:rPr>
        <w:t>инетическо</w:t>
      </w:r>
      <w:r>
        <w:rPr>
          <w:highlight w:val="green"/>
        </w:rPr>
        <w:t>е</w:t>
      </w:r>
      <w:r>
        <w:rPr>
          <w:highlight w:val="green"/>
        </w:rPr>
        <w:t xml:space="preserve"> уравнения для автокаталитических реакций: </w:t>
      </w:r>
      <w:r>
        <w:rPr>
          <w:b/>
          <w:bCs/>
          <w:highlight w:val="green"/>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left="0" w:right="0"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widowControl/>
        <w:suppressAutoHyphens w:val="true"/>
        <w:bidi w:val="0"/>
        <w:spacing w:lineRule="auto" w:line="312" w:before="0" w:after="0"/>
        <w:ind w:left="0" w:right="0" w:hanging="0"/>
        <w:jc w:val="center"/>
        <w:rPr/>
      </w:pPr>
      <w:r>
        <w:rPr>
          <w:highlight w:val="white"/>
        </w:rPr>
        <w:t xml:space="preserve">(где </w:t>
      </w:r>
      <w:r>
        <w:rPr>
          <w:i/>
          <w:iCs/>
          <w:highlight w:val="white"/>
        </w:rPr>
        <w:t>A</w:t>
      </w:r>
      <w:r>
        <w:rPr>
          <w:highlight w:val="white"/>
          <w:vertAlign w:val="subscript"/>
        </w:rPr>
        <w:t>0</w:t>
      </w:r>
      <w:r>
        <w:rPr>
          <w:highlight w:val="white"/>
        </w:rPr>
        <w:t xml:space="preserve"> - начальная концентрация исходной ДС;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w:t>
      </w:r>
      <w:r>
        <w:rPr>
          <w:highlight w:val="white"/>
          <w:u w:val="none"/>
        </w:rPr>
        <w:t>продукт</w:t>
      </w:r>
      <w:r>
        <w:rPr>
          <w:highlight w:val="white"/>
          <w:u w:val="none"/>
        </w:rPr>
        <w:t>ов</w:t>
      </w:r>
      <w:r>
        <w:rPr>
          <w:highlight w:val="white"/>
          <w:u w:val="none"/>
        </w:rPr>
        <w:t>, для твердофазных реакций выражаются в моль/г</w:t>
      </w:r>
      <w:r>
        <w:rPr>
          <w:highlight w:val="white"/>
        </w:rPr>
        <w:t xml:space="preserve"> </w:t>
      </w:r>
      <w:r>
        <w:rPr>
          <w:i/>
          <w:iCs/>
          <w:color w:val="009900"/>
          <w:highlight w:val="white"/>
        </w:rPr>
        <w:t>(для кинетического анализа природа продукта не важна, важно что он влияет на скорость реакции)</w:t>
      </w:r>
      <w:r>
        <w:rPr>
          <w:highlight w:val="white"/>
        </w:rPr>
        <w:t xml:space="preserve"> </w:t>
      </w:r>
      <w:r>
        <w:rPr>
          <w:highlight w:val="white"/>
        </w:rPr>
        <w:t>(</w:t>
      </w:r>
      <w:r>
        <w:rPr>
          <w:color w:val="FF0000"/>
          <w:highlight w:val="white"/>
        </w:rPr>
        <w:t>какого ?</w:t>
      </w:r>
      <w:r>
        <w:rPr>
          <w:highlight w:val="white"/>
        </w:rPr>
        <w:t xml:space="preserve">);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w:t>
      </w:r>
      <w:r>
        <w:rPr>
          <w:highlight w:val="white"/>
        </w:rPr>
        <w:t xml:space="preserve">(для исследуемых реакций </w:t>
      </w:r>
      <w:r>
        <w:rPr>
          <w:i/>
          <w:iCs/>
          <w:highlight w:val="white"/>
        </w:rPr>
        <w:t>a</w:t>
      </w:r>
      <w:r>
        <w:rPr>
          <w:highlight w:val="white"/>
        </w:rPr>
        <w:t>/</w:t>
      </w:r>
      <w:r>
        <w:rPr>
          <w:i/>
          <w:iCs/>
          <w:highlight w:val="white"/>
        </w:rPr>
        <w:t>c</w:t>
      </w:r>
      <w:r>
        <w:rPr>
          <w:highlight w:val="white"/>
        </w:rPr>
        <w:t>=</w:t>
      </w:r>
      <w:r>
        <w:rPr>
          <w:highlight w:val="white"/>
        </w:rPr>
        <w:t>1)</w:t>
      </w:r>
      <w:r>
        <w:rPr>
          <w:highlight w:val="white"/>
        </w:rPr>
        <w:t xml:space="preserve">;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w:t>
      </w:r>
      <w:r>
        <w:rPr>
          <w:highlight w:val="white"/>
        </w:rPr>
        <w:t>-</w:t>
      </w:r>
      <w:r>
        <w:rPr>
          <w:highlight w:val="white"/>
        </w:rPr>
        <w:t xml:space="preserve"> </w:t>
      </w:r>
      <w:r>
        <w:rPr>
          <w:highlight w:val="white"/>
        </w:rPr>
        <w:t xml:space="preserve">текущий и </w:t>
      </w:r>
      <w:r>
        <w:rPr>
          <w:highlight w:val="white"/>
        </w:rPr>
        <w:t>начальный теплов</w:t>
      </w:r>
      <w:r>
        <w:rPr>
          <w:highlight w:val="white"/>
        </w:rPr>
        <w:t>ые</w:t>
      </w:r>
      <w:r>
        <w:rPr>
          <w:highlight w:val="white"/>
        </w:rPr>
        <w:t xml:space="preserve"> поток</w:t>
      </w:r>
      <w:r>
        <w:rPr>
          <w:highlight w:val="white"/>
        </w:rPr>
        <w:t>и</w:t>
      </w:r>
      <w:r>
        <w:rPr>
          <w:highlight w:val="white"/>
        </w:rPr>
        <w:t>)</w:t>
      </w:r>
    </w:p>
    <w:p>
      <w:pPr>
        <w:pStyle w:val="Normal"/>
        <w:widowControl/>
        <w:suppressAutoHyphens w:val="true"/>
        <w:bidi w:val="0"/>
        <w:spacing w:lineRule="auto" w:line="312" w:before="0" w:after="0"/>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highlight w:val="green"/>
        </w:rPr>
      </w:pPr>
      <w:r>
        <w:rPr>
          <w:highlight w:val="green"/>
        </w:rPr>
        <w:t xml:space="preserve">Экспериментальные кривые теплового потока в изотермическом эксперименте для солей </w:t>
      </w:r>
      <w:r>
        <w:rPr>
          <w:b/>
          <w:bCs/>
          <w:highlight w:val="green"/>
        </w:rPr>
        <w:t>1a</w:t>
      </w:r>
      <w:r>
        <w:rPr>
          <w:highlight w:val="green"/>
        </w:rPr>
        <w:t xml:space="preserve">, </w:t>
      </w:r>
      <w:r>
        <w:rPr>
          <w:b/>
          <w:bCs/>
          <w:highlight w:val="green"/>
        </w:rPr>
        <w:t>1d</w:t>
      </w:r>
      <w:r>
        <w:rPr>
          <w:highlight w:val="green"/>
        </w:rPr>
        <w:t xml:space="preserve"> имеют </w:t>
      </w:r>
      <w:r>
        <w:rPr>
          <w:highlight w:val="green"/>
        </w:rPr>
        <w:t xml:space="preserve">имеют более сложный характер, наличие эндотермических процессов  согласуется с данными ДСК.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солей </w:t>
      </w:r>
      <w:r>
        <w:rPr>
          <w:b/>
          <w:bCs/>
          <w:highlight w:val="green"/>
        </w:rPr>
        <w:t>1a</w:t>
      </w:r>
      <w:r>
        <w:rPr>
          <w:highlight w:val="green"/>
        </w:rPr>
        <w:t xml:space="preserve">, </w:t>
      </w:r>
      <w:r>
        <w:rPr>
          <w:b/>
          <w:bCs/>
          <w:highlight w:val="green"/>
        </w:rPr>
        <w:t>1d</w:t>
      </w:r>
      <w:r>
        <w:rPr>
          <w:highlight w:val="green"/>
        </w:rPr>
        <w:t xml:space="preserve"> приведены параметры аппроксимации кинетики тепловыделения одним автокаталитическим процессом, соотвествующим основной экзотермической стадии, которая  определяет характеристики безопасности и устойчивости ДС.</w:t>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4.06</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8.8</w:t>
            </w:r>
            <w:r>
              <w:rPr>
                <w:highlight w:val="green"/>
              </w:rPr>
              <w:t>2</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14.7</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0.0002</w:t>
            </w:r>
            <w:r>
              <w:rPr>
                <w:highlight w:val="green"/>
              </w:rPr>
              <w:t>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0.0005</w:t>
            </w:r>
            <w:r>
              <w:rPr>
                <w:highlight w:val="green"/>
              </w:rPr>
              <w:t>5</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0.0007</w:t>
            </w:r>
            <w:r>
              <w:rPr>
                <w:highlight w:val="green"/>
              </w:rPr>
              <w:t>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0.009</w:t>
            </w:r>
            <w:r>
              <w:rPr>
                <w:highlight w:val="green"/>
              </w:rPr>
              <w:t>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4.4</w:t>
            </w:r>
            <w:r>
              <w:rPr>
                <w:highlight w:val="green"/>
              </w:rPr>
              <w:t>6</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4.84</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0.1</w:t>
            </w:r>
            <w:r>
              <w:rPr>
                <w:highlight w:val="green"/>
              </w:rPr>
              <w:t>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11.3</w:t>
            </w:r>
            <w:r>
              <w:rPr/>
              <w:t>8</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0.002</w:t>
            </w:r>
            <w:r>
              <w:rPr/>
              <w:t>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b w:val="false"/>
          <w:bCs w:val="false"/>
          <w:color w:val="000000"/>
          <w:lang w:val="en-US"/>
        </w:rPr>
        <w:t xml:space="preserve"> – 4 ч.</w:t>
      </w:r>
      <w:r>
        <w:rPr>
          <w:color w:val="000000"/>
        </w:rPr>
        <w:t xml:space="preserve">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b w:val="false"/>
          <w:bCs w:val="false"/>
          <w:color w:val="000000"/>
          <w:lang w:val="en-US"/>
        </w:rPr>
        <w:t xml:space="preserve"> -</w:t>
      </w:r>
      <w:r>
        <w:rPr>
          <w:color w:val="000000"/>
        </w:rPr>
        <w:t xml:space="preserve"> 101.5 mW/g существенно выше чем для трифлата 4</w:t>
        <w:noBreakHyphen/>
        <w:t xml:space="preserve">метоксифенилдиазония </w:t>
      </w:r>
      <w:r>
        <w:rPr>
          <w:b/>
          <w:color w:val="000000"/>
        </w:rPr>
        <w:t>1d</w:t>
      </w:r>
      <w:r>
        <w:rPr>
          <w:color w:val="000000"/>
        </w:rPr>
        <w:t xml:space="preserve"> - 5.37 mW/g (рисунок </w:t>
      </w:r>
      <w:r>
        <w:rPr>
          <w:color w:val="000000"/>
        </w:rPr>
        <w:t>8</w:t>
      </w:r>
      <w:r>
        <w:rPr>
          <w:color w:val="000000"/>
        </w:rPr>
        <w:t xml:space="preserve">).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w:t>
      </w:r>
      <w:r>
        <w:rPr/>
        <w:t>8</w:t>
      </w:r>
      <w:r>
        <w:rPr/>
        <w:t xml:space="preserve">.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b w:val="false"/>
          <w:bCs w:val="false"/>
          <w:lang w:val="en-US"/>
        </w:rPr>
        <w:t xml:space="preserve"> – 45 ч.</w:t>
      </w:r>
      <w:r>
        <w:rPr/>
        <w:t xml:space="preserve">, значительно менее стабильны мета- </w:t>
      </w:r>
      <w:r>
        <w:rPr>
          <w:b/>
          <w:bCs/>
        </w:rPr>
        <w:t>1</w:t>
      </w:r>
      <w:r>
        <w:rPr>
          <w:b/>
          <w:bCs/>
          <w:lang w:val="en-US"/>
        </w:rPr>
        <w:t>b</w:t>
      </w:r>
      <w:r>
        <w:rPr>
          <w:b w:val="false"/>
          <w:bCs w:val="false"/>
          <w:lang w:val="en-US"/>
        </w:rPr>
        <w:t xml:space="preserve"> – 11 ч.</w:t>
      </w:r>
      <w:r>
        <w:rPr/>
        <w:t xml:space="preserve">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xml:space="preserve">. Результаты представлены в таблицах 3, 4 и рисунке </w:t>
      </w:r>
      <w:r>
        <w:rPr/>
        <w:t>9</w:t>
      </w:r>
      <w:r>
        <w:rPr/>
        <w:t>.</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w:t>
      </w:r>
      <w:r>
        <w:rPr/>
        <w:t>9</w:t>
      </w:r>
      <w:r>
        <w:rPr/>
        <w:t xml:space="preserve">.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Результаты вычислений представлены в таблице 5 и графически на рисунке 1</w:t>
      </w:r>
      <w:r>
        <w:rPr>
          <w:color w:val="000000"/>
        </w:rPr>
        <w:t>0</w:t>
      </w:r>
      <w:r>
        <w:rPr>
          <w:color w:val="000000"/>
        </w:rPr>
        <w:t xml:space="preserve">.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501"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5"/>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w:t>
      </w:r>
      <w:r>
        <w:rPr>
          <w:color w:val="000000"/>
        </w:rPr>
        <w:t>1</w:t>
      </w:r>
      <w:r>
        <w:rPr>
          <w:color w:val="000000"/>
        </w:rPr>
        <w:t>0</w:t>
      </w:r>
      <w:r>
        <w:rPr>
          <w:color w:val="000000"/>
        </w:rPr>
        <w:t xml:space="preserve">.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 xml:space="preserve">На основе анализа Аррениуса </w:t>
      </w:r>
      <w:r>
        <w:rPr>
          <w:color w:val="000000"/>
        </w:rPr>
        <w:t xml:space="preserve">и кинетического уравнения 2 </w:t>
      </w:r>
      <w:r>
        <w:rPr>
          <w:color w:val="000000"/>
        </w:rPr>
        <w:t xml:space="preserve">были рассчитаны </w:t>
      </w:r>
      <w:r>
        <w:rPr>
          <w:color w:val="000000"/>
          <w:u w:val="none"/>
        </w:rPr>
        <w:t xml:space="preserve">зависимости </w:t>
      </w:r>
      <w:r>
        <w:rPr>
          <w:color w:val="000000"/>
          <w:highlight w:val="green"/>
          <w:u w:val="none"/>
        </w:rPr>
        <w:t xml:space="preserve">теплового потока от времени </w:t>
      </w:r>
      <w:r>
        <w:rPr>
          <w:color w:val="000000"/>
          <w:highlight w:val="green"/>
        </w:rPr>
        <w:t xml:space="preserve">для процессов </w:t>
      </w:r>
      <w:r>
        <w:rPr>
          <w:color w:val="000000"/>
          <w:highlight w:val="green"/>
        </w:rPr>
        <w:t xml:space="preserve">разложения </w:t>
      </w:r>
      <w:r>
        <w:rPr>
          <w:color w:val="000000"/>
          <w:highlight w:val="green"/>
        </w:rPr>
        <w:t xml:space="preserve">исследуемых солей </w:t>
      </w:r>
      <w:r>
        <w:rPr>
          <w:color w:val="000000"/>
          <w:highlight w:val="green"/>
        </w:rPr>
        <w:t xml:space="preserve">при нормальных условиях </w:t>
      </w:r>
      <w:r>
        <w:rPr>
          <w:color w:val="000000"/>
          <w:highlight w:val="green"/>
        </w:rPr>
        <w:t>(рис. 1</w:t>
      </w:r>
      <w:r>
        <w:rPr>
          <w:color w:val="000000"/>
          <w:highlight w:val="green"/>
        </w:rPr>
        <w:t>1</w:t>
      </w:r>
      <w:r>
        <w:rPr>
          <w:color w:val="000000"/>
          <w:highlight w:val="green"/>
        </w:rPr>
        <w:t>-1</w:t>
      </w:r>
      <w:r>
        <w:rPr>
          <w:color w:val="000000"/>
          <w:highlight w:val="green"/>
        </w:rPr>
        <w:t>2</w:t>
      </w:r>
      <w:r>
        <w:rPr>
          <w:color w:val="000000"/>
          <w:highlight w:val="green"/>
        </w:rPr>
        <w:t>)</w:t>
      </w:r>
      <w:r>
        <w:rPr>
          <w:color w:val="000000"/>
        </w:rPr>
        <w:t>.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C обладает трифлат 3-нитрофенилдиазония - 90 лет, наименьшим трифлат 2-нитрофенилдиазония - 25 лет (рисунок 1</w:t>
      </w:r>
      <w:r>
        <w:rPr>
          <w:color w:val="000000"/>
        </w:rPr>
        <w:t>1</w:t>
      </w:r>
      <w:r>
        <w:rPr>
          <w:color w:val="000000"/>
        </w:rPr>
        <w:t>). Наибольшее влияние на стабильность оказывает природа противоиона (рисунок 1</w:t>
      </w:r>
      <w:r>
        <w:rPr>
          <w:color w:val="000000"/>
        </w:rPr>
        <w:t>2</w:t>
      </w:r>
      <w:r>
        <w:rPr>
          <w:color w:val="000000"/>
        </w:rPr>
        <w:t xml:space="preserve">), близкие значения периодов полураспада при нормальных условиях имеют тозилатная - 5 лет и тетрафторборатная - 4.5 года соли 4-нитрофенилдиазония. Существенно более стабильной является трифлатная соль 4-нитрофенилдиазония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w:t>
      </w:r>
      <w:r>
        <w:rPr>
          <w:color w:val="000000"/>
        </w:rPr>
        <w:t>(25 </w:t>
      </w:r>
      <w:r>
        <w:rPr>
          <w:color w:val="000000"/>
          <w:vertAlign w:val="superscript"/>
        </w:rPr>
        <w:t>o</w:t>
      </w:r>
      <w:r>
        <w:rPr>
          <w:color w:val="000000"/>
        </w:rPr>
        <w:t>C)</w:t>
      </w:r>
      <w:r>
        <w:rPr>
          <w:color w:val="000000"/>
        </w:rPr>
        <w:t xml:space="preserve">, при </w:t>
      </w:r>
      <w:r>
        <w:rPr>
          <w:color w:val="000000"/>
        </w:rPr>
        <w:t>повышенной</w:t>
      </w:r>
      <w:r>
        <w:rPr>
          <w:color w:val="000000"/>
        </w:rPr>
        <w:t xml:space="preserve"> температуре (в услових ДСК и </w:t>
      </w:r>
      <w:r>
        <w:rPr>
          <w:rFonts w:eastAsia="Times New Roman" w:cs="Times New Roman"/>
          <w:color w:val="000000"/>
          <w:sz w:val="24"/>
          <w:szCs w:val="24"/>
          <w:highlight w:val="green"/>
          <w:lang w:val="ru-RU"/>
        </w:rPr>
        <w:t>изотермической</w:t>
      </w:r>
      <w:r>
        <w:rPr>
          <w:rFonts w:eastAsia="Times New Roman" w:cs="Times New Roman"/>
          <w:color w:val="000000"/>
          <w:sz w:val="24"/>
          <w:szCs w:val="24"/>
          <w:lang w:val="ru-RU"/>
        </w:rPr>
        <w:t xml:space="preserve"> </w:t>
      </w:r>
      <w:r>
        <w:rPr>
          <w:color w:val="000000"/>
        </w:rPr>
        <w:t xml:space="preserve">потоковой калориметрии </w:t>
      </w:r>
      <w:r>
        <w:rPr>
          <w:color w:val="000000"/>
        </w:rPr>
        <w:t xml:space="preserve">при </w:t>
      </w:r>
      <w:r>
        <w:rPr>
          <w:color w:val="000000"/>
        </w:rPr>
        <w:t>75-85 </w:t>
      </w:r>
      <w:r>
        <w:rPr>
          <w:color w:val="000000"/>
          <w:vertAlign w:val="superscript"/>
        </w:rPr>
        <w:t>o</w:t>
      </w:r>
      <w:r>
        <w:rPr>
          <w:color w:val="000000"/>
        </w:rPr>
        <w:t>C</w:t>
      </w:r>
      <w:r>
        <w:rPr>
          <w:color w:val="000000"/>
        </w:rPr>
        <w:t>)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position w:val="0"/>
          <w:sz w:val="24"/>
          <w:sz w:val="24"/>
          <w:szCs w:val="24"/>
          <w:vertAlign w:val="baseline"/>
        </w:rPr>
        <w:t>, так и наличие и природа нуклеофилов в ближайшем окружении</w:t>
      </w:r>
      <w:r>
        <w:rPr>
          <w:color w:val="000000"/>
        </w:rPr>
        <w:t>.</w:t>
      </w:r>
    </w:p>
    <w:p>
      <w:pPr>
        <w:pStyle w:val="Normal"/>
        <w:rPr/>
      </w:pPr>
      <w:r>
        <w:rPr/>
        <w:t xml:space="preserve"> </w:t>
      </w:r>
      <w:r>
        <w:rPr>
          <w:lang w:val="en-US"/>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lang w:val="en-US"/>
        </w:rPr>
        <w:t>Р</w:t>
      </w:r>
      <w:r>
        <w:rPr/>
        <w:t>исунок 1</w:t>
      </w:r>
      <w:r>
        <w:rPr/>
        <w:t>1</w:t>
      </w:r>
      <w:r>
        <w:rPr/>
        <w:t xml:space="preserve">. </w:t>
      </w:r>
      <w:r>
        <w:rPr>
          <w:highlight w:val="green"/>
        </w:rPr>
        <w:t>Т</w:t>
      </w:r>
      <w:r>
        <w:rPr>
          <w:highlight w:val="green"/>
        </w:rPr>
        <w:t xml:space="preserve">епловые потоки (P) </w:t>
      </w:r>
      <w:r>
        <w:rPr>
          <w:color w:val="000000"/>
          <w:highlight w:val="green"/>
        </w:rPr>
        <w:t>рассчитанные</w:t>
      </w:r>
      <w:r>
        <w:rPr>
          <w:color w:val="000000"/>
          <w:highlight w:val="green"/>
        </w:rPr>
        <w:t xml:space="preserve"> на основе моделирования </w:t>
      </w:r>
      <w:r>
        <w:rPr>
          <w:color w:val="000000"/>
          <w:highlight w:val="green"/>
        </w:rPr>
        <w:t xml:space="preserve"> кинетических кривых</w:t>
      </w:r>
      <w:r>
        <w:rPr>
          <w:highlight w:val="green"/>
        </w:rPr>
        <w:t xml:space="preserve"> разложения трифлатов 2-, 3- и 4-нитробензолдиазония </w:t>
      </w:r>
      <w:r>
        <w:rPr>
          <w:b/>
          <w:bCs/>
          <w:highlight w:val="green"/>
        </w:rPr>
        <w:t>1</w:t>
      </w:r>
      <w:r>
        <w:rPr>
          <w:b/>
          <w:bCs/>
          <w:highlight w:val="green"/>
          <w:lang w:val="en-US"/>
        </w:rPr>
        <w:t>a</w:t>
      </w:r>
      <w:r>
        <w:rPr>
          <w:b/>
          <w:bCs/>
          <w:highlight w:val="green"/>
        </w:rPr>
        <w:t>-</w:t>
      </w:r>
      <w:r>
        <w:rPr>
          <w:b/>
          <w:bCs/>
          <w:highlight w:val="green"/>
          <w:lang w:val="en-US"/>
        </w:rPr>
        <w:t>c</w:t>
      </w:r>
      <w:r>
        <w:rPr>
          <w:highlight w:val="green"/>
        </w:rPr>
        <w:t xml:space="preserve"> при 25 </w:t>
      </w:r>
      <w:r>
        <w:rPr>
          <w:highlight w:val="green"/>
          <w:vertAlign w:val="superscript"/>
        </w:rPr>
        <w:t>о</w:t>
      </w:r>
      <w:r>
        <w:rPr>
          <w:highlight w:val="green"/>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Рисунок 1</w:t>
      </w:r>
      <w:r>
        <w:rPr/>
        <w:t>2</w:t>
      </w:r>
      <w:r>
        <w:rPr/>
        <w:t xml:space="preserve">. </w:t>
      </w:r>
      <w:r>
        <w:rPr>
          <w:highlight w:val="green"/>
        </w:rPr>
        <w:t>Т</w:t>
      </w:r>
      <w:r>
        <w:rPr>
          <w:highlight w:val="green"/>
        </w:rPr>
        <w:t xml:space="preserve">епловые потоки (P) </w:t>
      </w:r>
      <w:r>
        <w:rPr>
          <w:highlight w:val="green"/>
        </w:rPr>
        <w:t xml:space="preserve">рассчитанные на основе моделирования </w:t>
      </w:r>
      <w:r>
        <w:rPr>
          <w:highlight w:val="green"/>
        </w:rPr>
        <w:t xml:space="preserve"> кинетических кривых разложения тозилата </w:t>
      </w:r>
      <w:r>
        <w:rPr>
          <w:b/>
          <w:highlight w:val="green"/>
        </w:rPr>
        <w:t>2</w:t>
      </w:r>
      <w:r>
        <w:rPr>
          <w:highlight w:val="green"/>
        </w:rPr>
        <w:t xml:space="preserve">, трифлата </w:t>
      </w:r>
      <w:r>
        <w:rPr>
          <w:b/>
          <w:highlight w:val="green"/>
        </w:rPr>
        <w:t>1</w:t>
      </w:r>
      <w:r>
        <w:rPr>
          <w:b/>
          <w:highlight w:val="green"/>
          <w:lang w:val="en-US"/>
        </w:rPr>
        <w:t>c</w:t>
      </w:r>
      <w:r>
        <w:rPr>
          <w:highlight w:val="green"/>
        </w:rPr>
        <w:t xml:space="preserve"> и тетрафторбората </w:t>
      </w:r>
      <w:r>
        <w:rPr>
          <w:b/>
          <w:highlight w:val="green"/>
        </w:rPr>
        <w:t>3</w:t>
      </w:r>
      <w:r>
        <w:rPr>
          <w:highlight w:val="green"/>
        </w:rPr>
        <w:t xml:space="preserve"> </w:t>
      </w:r>
    </w:p>
    <w:p>
      <w:pPr>
        <w:pStyle w:val="Normal"/>
        <w:tabs>
          <w:tab w:val="left" w:pos="0" w:leader="none"/>
        </w:tabs>
        <w:ind w:left="0" w:right="0" w:hanging="0"/>
        <w:jc w:val="center"/>
        <w:rPr>
          <w:highlight w:val="green"/>
        </w:rPr>
      </w:pPr>
      <w:r>
        <w:rPr>
          <w:highlight w:val="green"/>
        </w:rPr>
        <w:t>4-нитробензолдиазония при 25 </w:t>
      </w:r>
      <w:r>
        <w:rPr>
          <w:highlight w:val="green"/>
          <w:vertAlign w:val="superscript"/>
        </w:rPr>
        <w:t>о</w:t>
      </w:r>
      <w:r>
        <w:rPr>
          <w:highlight w:val="green"/>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2"/>
        <w:numPr>
          <w:ilvl w:val="1"/>
          <w:numId w:val="2"/>
        </w:numPr>
        <w:ind w:left="0" w:right="0" w:firstLine="397"/>
        <w:rPr/>
      </w:pPr>
      <w:r>
        <w:rPr>
          <w:b/>
          <w:bCs/>
          <w:lang w:val="en-US"/>
        </w:rPr>
        <w:t>GC</w:t>
      </w:r>
      <w:r>
        <w:rPr>
          <w:b/>
          <w:bCs/>
        </w:rPr>
        <w:t>-</w:t>
      </w:r>
      <w:r>
        <w:rPr>
          <w:b/>
          <w:bCs/>
          <w:lang w:val="en-US"/>
        </w:rPr>
        <w:t>MS</w:t>
      </w:r>
      <w:r>
        <w:rPr>
          <w:b/>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t xml:space="preserve">, </w:t>
      </w:r>
      <w:r>
        <w:rPr>
          <w:b/>
        </w:rPr>
        <w:t>1c</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b w:val="false"/>
          <w:bCs w:val="false"/>
          <w:color w:val="000000"/>
        </w:rPr>
        <w:t>основными продуктами являются нитробензол и 1-йод-4-нитробензол,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w:t>
      </w:r>
      <w:r>
        <w:rPr>
          <w:color w:val="000000"/>
        </w:rPr>
        <w:t>2</w:t>
      </w:r>
      <w:r>
        <w:rPr>
          <w:color w:val="000000"/>
        </w:rPr>
        <w:t xml:space="preserve">s на рисунках 15-20. </w:t>
      </w:r>
      <w:r>
        <w:rPr/>
        <w:t xml:space="preserve">В общем для солей </w:t>
      </w:r>
      <w:r>
        <w:rPr>
          <w:b/>
          <w:bCs/>
        </w:rPr>
        <w:t>1b</w:t>
      </w:r>
      <w:r>
        <w:rPr/>
        <w:t xml:space="preserve">, </w:t>
      </w:r>
      <w:r>
        <w:rPr>
          <w:b/>
          <w:bCs/>
        </w:rPr>
        <w:t>1c</w:t>
      </w:r>
      <w:r>
        <w:rPr/>
        <w:t xml:space="preserve">, </w:t>
      </w:r>
      <w:r>
        <w:rPr>
          <w:b/>
          <w:bCs/>
        </w:rPr>
        <w:t>2</w:t>
      </w:r>
      <w:r>
        <w:rPr/>
        <w:t xml:space="preserve">, </w:t>
      </w:r>
      <w:r>
        <w:rPr>
          <w:b/>
          <w:bCs/>
        </w:rPr>
        <w:t>3</w:t>
      </w:r>
      <w:r>
        <w:rPr/>
        <w:t xml:space="preserve"> </w:t>
      </w:r>
      <w:r>
        <w:rPr>
          <w:color w:val="000000"/>
        </w:rPr>
        <w:t xml:space="preserve">В общем по результатам GC-MS и LC-MS можно предположить основную схему </w:t>
      </w:r>
      <w:r>
        <w:rPr>
          <w:color w:val="000000"/>
        </w:rPr>
        <w:t xml:space="preserve">3 для </w:t>
      </w:r>
      <w:r>
        <w:rPr>
          <w:color w:val="000000"/>
        </w:rPr>
        <w:t xml:space="preserve">процессов протекающих при термическом разложении этих ДС. </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4378325" cy="533400"/>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378325" cy="533400"/>
                    </a:xfrm>
                    <a:prstGeom prst="rect">
                      <a:avLst/>
                    </a:prstGeom>
                  </pic:spPr>
                </pic:pic>
              </a:graphicData>
            </a:graphic>
          </wp:inline>
        </w:drawing>
      </w:r>
    </w:p>
    <w:p>
      <w:pPr>
        <w:pStyle w:val="Normal"/>
        <w:rPr/>
      </w:pPr>
      <w:r>
        <w:rPr/>
        <w:t xml:space="preserve">Однако, для соли </w:t>
      </w:r>
      <w:r>
        <w:rPr>
          <w:b/>
        </w:rPr>
        <w:t>1</w:t>
      </w:r>
      <w:r>
        <w:rPr>
          <w:b/>
          <w:lang w:val="en-US"/>
        </w:rPr>
        <w:t>a</w:t>
      </w:r>
      <w:r>
        <w:rPr/>
        <w:t xml:space="preserve"> с нитро-группой в </w:t>
      </w:r>
      <w:r>
        <w:rPr>
          <w:i/>
        </w:rPr>
        <w:t>орто</w:t>
      </w:r>
      <w:r>
        <w:rPr/>
        <w:t xml:space="preserve">-положении продукта замещения диазониевой группы на трифлат-анион не обнаружено, поэтому продукты разложения этой соли были исследованы методом </w:t>
      </w:r>
      <w:r>
        <w:rPr>
          <w:color w:val="000000"/>
        </w:rPr>
        <w:t>LC-MS, результаты</w:t>
      </w:r>
      <w:r>
        <w:rPr>
          <w:b w:val="false"/>
          <w:bCs w:val="false"/>
          <w:color w:val="000000"/>
        </w:rPr>
        <w:t xml:space="preserve"> представлены</w:t>
      </w:r>
      <w:r>
        <w:rPr>
          <w:color w:val="000000"/>
        </w:rPr>
        <w:t xml:space="preserve"> представлены в таблице 6. Спектры приведены в приложении </w:t>
      </w:r>
      <w:r>
        <w:rPr>
          <w:color w:val="000000"/>
        </w:rPr>
        <w:t>3</w:t>
      </w:r>
      <w:r>
        <w:rPr>
          <w:color w:val="000000"/>
        </w:rPr>
        <w:t>s.</w:t>
      </w:r>
      <w:r>
        <w:rPr/>
        <w:t xml:space="preserve"> </w:t>
      </w:r>
      <w:r>
        <w:rPr>
          <w:color w:val="000000"/>
        </w:rPr>
        <w:t xml:space="preserve">Полимерные цепочки для соединения </w:t>
      </w:r>
      <w:r>
        <w:rPr>
          <w:b/>
          <w:bCs/>
          <w:color w:val="000000"/>
        </w:rPr>
        <w:t>1a</w:t>
      </w:r>
      <w:r>
        <w:rPr>
          <w:color w:val="000000"/>
        </w:rPr>
        <w:t xml:space="preserve"> имеют шаг 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tandard Symbols L" w:hAnsi="Standard Symbols L"/>
          <w:color w:val="000000"/>
          <w:sz w:val="20"/>
          <w:szCs w:val="20"/>
        </w:rPr>
        <w:t>D</w:t>
      </w:r>
      <w:r>
        <w:rPr>
          <w:color w:val="000000"/>
        </w:rPr>
        <w:t xml:space="preserve">M/Z=223, вероятно имеющую брутто формулу </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4</w:t>
      </w:r>
      <w:r>
        <w:rPr>
          <w:color w:val="000000"/>
          <w:position w:val="0"/>
          <w:sz w:val="24"/>
          <w:sz w:val="24"/>
          <w:vertAlign w:val="baseline"/>
          <w:lang w:val="en-US" w:eastAsia="zh-CN" w:bidi="hi-IN"/>
        </w:rPr>
        <w:t>SCF</w:t>
      </w:r>
      <w:r>
        <w:rPr>
          <w:color w:val="000000"/>
          <w:vertAlign w:val="subscript"/>
          <w:lang w:val="en-US" w:eastAsia="zh-CN" w:bidi="hi-IN"/>
        </w:rPr>
        <w:t>3</w:t>
      </w:r>
      <w:r>
        <w:rPr>
          <w:color w:val="000000"/>
          <w:position w:val="0"/>
          <w:sz w:val="24"/>
          <w:sz w:val="24"/>
          <w:vertAlign w:val="baseline"/>
          <w:lang w:val="en-US" w:eastAsia="zh-CN" w:bidi="hi-IN"/>
        </w:rPr>
        <w:t>]</w:t>
      </w:r>
      <w:r>
        <w:rPr>
          <w:color w:val="000000"/>
        </w:rPr>
        <w:t xml:space="preserve">. </w:t>
      </w:r>
    </w:p>
    <w:p>
      <w:pPr>
        <w:pStyle w:val="Normal"/>
        <w:bidi w:val="0"/>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lang w:val="en-US"/>
        </w:rPr>
        <w:t>2-NO</w:t>
      </w:r>
      <w:r>
        <w:rPr>
          <w:rFonts w:ascii="Times New Roman" w:hAnsi="Times New Roman"/>
          <w:color w:val="000000"/>
          <w:szCs w:val="28"/>
          <w:vertAlign w:val="subscript"/>
          <w:lang w:val="en-US"/>
        </w:rPr>
        <w:t>2</w:t>
      </w:r>
      <w:r>
        <w:rPr>
          <w:rFonts w:ascii="Times New Roman" w:hAnsi="Times New Roman"/>
          <w:color w:val="000000"/>
          <w:szCs w:val="28"/>
        </w:rPr>
        <w:t>С</w:t>
      </w:r>
      <w:r>
        <w:rPr>
          <w:rFonts w:ascii="Times New Roman" w:hAnsi="Times New Roman"/>
          <w:color w:val="000000"/>
          <w:szCs w:val="28"/>
          <w:vertAlign w:val="subscript"/>
          <w:lang w:val="en-US"/>
        </w:rPr>
        <w:t>6</w:t>
      </w:r>
      <w:r>
        <w:rPr>
          <w:rFonts w:ascii="Times New Roman" w:hAnsi="Times New Roman"/>
          <w:color w:val="000000"/>
          <w:szCs w:val="28"/>
          <w:lang w:val="en-US"/>
        </w:rPr>
        <w:t>H</w:t>
      </w:r>
      <w:r>
        <w:rPr>
          <w:rFonts w:ascii="Times New Roman" w:hAnsi="Times New Roman"/>
          <w:color w:val="000000"/>
          <w:szCs w:val="28"/>
          <w:vertAlign w:val="subscript"/>
          <w:lang w:val="en-US"/>
        </w:rPr>
        <w:t>4</w:t>
      </w:r>
      <w:r>
        <w:rPr>
          <w:rFonts w:ascii="Times New Roman" w:hAnsi="Times New Roman"/>
          <w:color w:val="000000"/>
          <w:szCs w:val="28"/>
          <w:lang w:val="en-US"/>
        </w:rPr>
        <w:t>N</w:t>
      </w:r>
      <w:r>
        <w:rPr>
          <w:rFonts w:ascii="Times New Roman" w:hAnsi="Times New Roman"/>
          <w:color w:val="000000"/>
          <w:szCs w:val="28"/>
          <w:vertAlign w:val="subscript"/>
          <w:lang w:val="en-US"/>
        </w:rPr>
        <w:t>2</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TfO</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w:t>
      </w:r>
      <w:r>
        <w:rPr>
          <w:rFonts w:ascii="Times New Roman" w:hAnsi="Times New Roman"/>
          <w:b/>
          <w:color w:val="000000"/>
          <w:szCs w:val="28"/>
          <w:lang w:val="en-US"/>
        </w:rPr>
        <w:t>1a</w:t>
      </w:r>
      <w:r>
        <w:rPr>
          <w:rFonts w:ascii="Times New Roman" w:hAnsi="Times New Roman"/>
          <w:color w:val="000000"/>
          <w:szCs w:val="28"/>
          <w:lang w:val="en-US"/>
        </w:rPr>
        <w:t>)</w:t>
      </w:r>
    </w:p>
    <w:tbl>
      <w:tblPr>
        <w:tblW w:w="9645"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pPr>
            <w:r>
              <w:rPr>
                <w:b/>
                <w:bCs/>
                <w:lang w:val="en-US" w:eastAsia="zh-CN" w:bidi="hi-IN"/>
              </w:rPr>
              <w:t>Ionization</w:t>
            </w:r>
            <w:r>
              <w:rPr>
                <w:b/>
                <w:bCs/>
              </w:rPr>
              <w:t xml:space="preserve"> </w:t>
            </w:r>
            <w:r>
              <w:rPr>
                <w:b/>
                <w:bCs/>
                <w:lang w:val="en-US" w:eastAsia="zh-CN" w:bidi="hi-IN"/>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b/>
                <w:b/>
                <w:bCs/>
                <w:lang w:val="en-US" w:eastAsia="zh-CN" w:bidi="hi-IN"/>
              </w:rPr>
            </w:pPr>
            <w:r>
              <w:rPr>
                <w:b/>
                <w:bCs/>
                <w:lang w:val="en-US" w:eastAsia="zh-CN" w:bidi="hi-IN"/>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74.1; 297.1; 520.2; 743.2</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 xml:space="preserve">432.1; 553.1; 674.1; 795.1; 916.1; 1037.1; 1158.1 </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525.1; 646.1; 767.1; 888.1; 1009.1; 1130.1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588.2; 710.1; 831.2; 952.2;</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lang w:val="en-US" w:eastAsia="zh-CN" w:bidi="hi-IN"/>
              </w:rPr>
              <w:t>Цепочка P1 с шагом 223 вероятно [NO</w:t>
            </w:r>
            <w:r>
              <w:rPr>
                <w:vertAlign w:val="subscript"/>
                <w:lang w:val="en-US" w:eastAsia="zh-CN" w:bidi="hi-IN"/>
              </w:rPr>
              <w:t>2</w:t>
            </w:r>
            <w:r>
              <w:rPr>
                <w:lang w:val="en-US" w:eastAsia="zh-CN" w:bidi="hi-IN"/>
              </w:rPr>
              <w:t>C</w:t>
            </w:r>
            <w:r>
              <w:rPr>
                <w:vertAlign w:val="subscript"/>
                <w:lang w:val="en-US" w:eastAsia="zh-CN" w:bidi="hi-IN"/>
              </w:rPr>
              <w:t>6</w:t>
            </w:r>
            <w:r>
              <w:rPr>
                <w:lang w:val="en-US" w:eastAsia="zh-CN" w:bidi="hi-IN"/>
              </w:rPr>
              <w:t>H</w:t>
            </w:r>
            <w:r>
              <w:rPr>
                <w:vertAlign w:val="subscript"/>
                <w:lang w:val="en-US" w:eastAsia="zh-CN" w:bidi="hi-IN"/>
              </w:rPr>
              <w:t>4</w:t>
            </w:r>
            <w:r>
              <w:rPr>
                <w:lang w:val="en-US" w:eastAsia="zh-CN" w:bidi="hi-IN"/>
              </w:rPr>
              <w:t>SCF</w:t>
            </w:r>
            <w:r>
              <w:rPr>
                <w:vertAlign w:val="subscript"/>
                <w:lang w:val="en-US" w:eastAsia="zh-CN" w:bidi="hi-IN"/>
              </w:rPr>
              <w:t>3</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P2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P3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b w:val="false"/>
                <w:b w:val="false"/>
                <w:bCs w:val="false"/>
                <w:i/>
                <w:i/>
                <w:iCs/>
                <w:color w:val="000000"/>
                <w:position w:val="0"/>
                <w:sz w:val="24"/>
                <w:sz w:val="24"/>
                <w:vertAlign w:val="baseline"/>
                <w:lang w:val="en-US" w:eastAsia="zh-CN" w:bidi="hi-IN"/>
              </w:rPr>
            </w:pPr>
            <w:r>
              <w:rPr>
                <w:b w:val="false"/>
                <w:bCs w:val="false"/>
                <w:i/>
                <w:iCs/>
                <w:color w:val="000000"/>
                <w:position w:val="0"/>
                <w:sz w:val="24"/>
                <w:sz w:val="24"/>
                <w:vertAlign w:val="baseline"/>
                <w:lang w:val="en-US" w:eastAsia="zh-CN" w:bidi="hi-IN"/>
              </w:rPr>
              <w:t>Различие между P2 и P3 - 28 соответствует потере азота</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P4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 xml:space="preserve">394.0; 515.0; 635.9; </w:t>
            </w:r>
          </w:p>
          <w:p>
            <w:pPr>
              <w:pStyle w:val="Style24"/>
              <w:bidi w:val="0"/>
              <w:ind w:left="0" w:right="0" w:hanging="0"/>
              <w:jc w:val="center"/>
              <w:rPr>
                <w:lang w:val="en-US" w:eastAsia="zh-CN" w:bidi="hi-IN"/>
              </w:rPr>
            </w:pPr>
            <w:r>
              <w:rPr>
                <w:lang w:val="en-US" w:eastAsia="zh-CN" w:bidi="hi-IN"/>
              </w:rPr>
              <w:t>756.9; 877.8; 998.8; 1119.7</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color w:val="000000"/>
                <w:position w:val="0"/>
                <w:sz w:val="24"/>
                <w:sz w:val="24"/>
                <w:vertAlign w:val="baseline"/>
                <w:lang w:val="en-US" w:eastAsia="zh-CN" w:bidi="hi-IN"/>
              </w:rPr>
              <w:t>Полимерная цепочка P5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 xml:space="preserve">380.1; 501.1; 622.1; </w:t>
            </w:r>
          </w:p>
          <w:p>
            <w:pPr>
              <w:pStyle w:val="Style24"/>
              <w:bidi w:val="0"/>
              <w:ind w:left="0" w:right="0" w:hanging="0"/>
              <w:jc w:val="center"/>
              <w:rPr>
                <w:lang w:val="en-US" w:eastAsia="zh-CN" w:bidi="hi-IN"/>
              </w:rPr>
            </w:pPr>
            <w:r>
              <w:rPr>
                <w:lang w:val="en-US" w:eastAsia="zh-CN" w:bidi="hi-IN"/>
              </w:rPr>
              <w:t>743.1; 864.1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528.0; 649.1; 770.1; 891.1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149.0</w:t>
            </w:r>
          </w:p>
          <w:p>
            <w:pPr>
              <w:pStyle w:val="Style24"/>
              <w:bidi w:val="0"/>
              <w:ind w:left="0" w:right="0" w:hanging="0"/>
              <w:jc w:val="center"/>
              <w:rPr>
                <w:lang w:val="en-US" w:eastAsia="zh-CN" w:bidi="hi-IN"/>
              </w:rPr>
            </w:pPr>
            <w:r>
              <w:rPr>
                <w:lang w:val="en-US" w:eastAsia="zh-CN" w:bidi="hi-IN"/>
              </w:rPr>
              <w:t xml:space="preserve">276.8; 320.9; 436.7; </w:t>
            </w:r>
          </w:p>
          <w:p>
            <w:pPr>
              <w:pStyle w:val="Style24"/>
              <w:bidi w:val="0"/>
              <w:ind w:left="0" w:right="0" w:hanging="0"/>
              <w:jc w:val="center"/>
              <w:rPr>
                <w:lang w:val="en-US" w:eastAsia="zh-CN" w:bidi="hi-IN"/>
              </w:rPr>
            </w:pPr>
            <w:r>
              <w:rPr>
                <w:lang w:val="en-US" w:eastAsia="zh-CN" w:bidi="hi-IN"/>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color w:val="000000"/>
                <w:position w:val="0"/>
                <w:sz w:val="24"/>
                <w:sz w:val="24"/>
                <w:vertAlign w:val="baseline"/>
                <w:lang w:val="en-US" w:eastAsia="zh-CN" w:bidi="hi-IN"/>
              </w:rPr>
              <w:t>Полимерная цепочка P6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P7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pPr>
            <w:r>
              <w:rPr>
                <w:color w:val="000000"/>
                <w:position w:val="0"/>
                <w:sz w:val="24"/>
                <w:sz w:val="24"/>
                <w:vertAlign w:val="baseline"/>
                <w:lang w:val="en-US" w:eastAsia="zh-CN" w:bidi="hi-IN"/>
              </w:rPr>
              <w:t>TfO</w:t>
            </w:r>
            <w:r>
              <w:rPr>
                <w:color w:val="000000"/>
                <w:vertAlign w:val="superscript"/>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tc>
      </w:tr>
    </w:tbl>
    <w:p>
      <w:pPr>
        <w:pStyle w:val="Normal"/>
        <w:jc w:val="center"/>
        <w:rPr>
          <w:color w:val="000000"/>
        </w:rPr>
      </w:pPr>
      <w:r>
        <w:rPr>
          <w:color w:val="000000"/>
        </w:rPr>
      </w:r>
    </w:p>
    <w:p>
      <w:pPr>
        <w:pStyle w:val="Normal"/>
        <w:rPr/>
      </w:pPr>
      <w:r>
        <w:rPr>
          <w:color w:val="000000"/>
        </w:rPr>
        <w:t xml:space="preserve">Наличие смолообразных продуктов вероятно связано с процессами полимеризации и образования высоко молекулярных продуктов, протекающих через </w:t>
      </w:r>
      <w:r>
        <w:rPr>
          <w:color w:val="000000"/>
          <w:highlight w:val="green"/>
        </w:rPr>
        <w:t>стадию</w:t>
      </w:r>
      <w:r>
        <w:rPr>
          <w:color w:val="000000"/>
          <w:highlight w:val="green"/>
        </w:rPr>
        <w:t xml:space="preserve"> образовани</w:t>
      </w:r>
      <w:r>
        <w:rPr>
          <w:color w:val="000000"/>
          <w:highlight w:val="green"/>
        </w:rPr>
        <w:t>я</w:t>
      </w:r>
      <w:r>
        <w:rPr>
          <w:color w:val="000000"/>
        </w:rPr>
        <w:t xml:space="preserve"> бензи</w:t>
      </w:r>
      <w:r>
        <w:rPr>
          <w:color w:val="000000"/>
        </w:rPr>
        <w:t xml:space="preserve">н </w:t>
      </w:r>
      <w:r>
        <w:rPr>
          <w:color w:val="000000"/>
        </w:rPr>
        <w:t xml:space="preserve">производного по схеме </w:t>
      </w:r>
      <w:r>
        <w:rPr>
          <w:color w:val="000000"/>
        </w:rPr>
        <w:t>4</w:t>
      </w:r>
      <w:r>
        <w:rPr>
          <w:color w:val="000000"/>
        </w:rPr>
        <w:t xml:space="preserve">, с последующей его полимеризацией по уравнению </w:t>
      </w:r>
      <w:r>
        <w:rPr>
          <w:color w:val="000000"/>
        </w:rPr>
        <w:t>5</w:t>
      </w:r>
      <w:r>
        <w:rPr>
          <w:color w:val="000000"/>
        </w:rPr>
        <w:t xml:space="preserve">. Эти полимерные продукты которые обнаружены в спектрах ДС </w:t>
      </w:r>
      <w:r>
        <w:rPr>
          <w:b/>
          <w:bCs/>
          <w:i w:val="false"/>
          <w:iCs w:val="false"/>
          <w:color w:val="000000"/>
        </w:rPr>
        <w:t>1a</w:t>
      </w:r>
      <w:r>
        <w:rPr>
          <w:color w:val="000000"/>
        </w:rPr>
        <w:t>.</w:t>
      </w:r>
    </w:p>
    <w:p>
      <w:pPr>
        <w:pStyle w:val="Normal"/>
        <w:rPr>
          <w:color w:val="000000"/>
          <w:sz w:val="12"/>
          <w:szCs w:val="12"/>
          <w:highlight w:val="yellow"/>
        </w:rPr>
      </w:pPr>
      <w:r>
        <w:rPr>
          <w:color w:val="000000"/>
          <w:sz w:val="12"/>
          <w:szCs w:val="12"/>
          <w:highlight w:val="yellow"/>
        </w:rPr>
      </w:r>
    </w:p>
    <w:p>
      <w:pPr>
        <w:pStyle w:val="Normal"/>
        <w:tabs>
          <w:tab w:val="left" w:pos="0" w:leader="none"/>
        </w:tabs>
        <w:ind w:left="0" w:right="0" w:hanging="0"/>
        <w:jc w:val="center"/>
        <w:rPr/>
      </w:pPr>
      <w:r>
        <w:rPr/>
        <w:drawing>
          <wp:inline distT="0" distB="0" distL="0" distR="0">
            <wp:extent cx="4087495" cy="2055495"/>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87495" cy="2055495"/>
                    </a:xfrm>
                    <a:prstGeom prst="rect">
                      <a:avLst/>
                    </a:prstGeom>
                  </pic:spPr>
                </pic:pic>
              </a:graphicData>
            </a:graphic>
          </wp:inline>
        </w:drawing>
      </w:r>
    </w:p>
    <w:p>
      <w:pPr>
        <w:pStyle w:val="2"/>
        <w:numPr>
          <w:ilvl w:val="1"/>
          <w:numId w:val="2"/>
        </w:numPr>
        <w:ind w:left="0" w:right="0" w:firstLine="397"/>
        <w:rPr/>
      </w:pPr>
      <w:r>
        <w:rPr/>
        <w:t>Квантовохимические исследования</w:t>
      </w:r>
    </w:p>
    <w:p>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t>4</w:t>
      </w:r>
      <w:r>
        <w:rPr>
          <w:color w:val="00000A"/>
        </w:rPr>
        <w:t>s</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rPr>
            </w:pPr>
            <w:r>
              <w:rPr>
                <w:b w:val="false"/>
                <w:bCs w:val="false"/>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rPr>
            </w:pPr>
            <w:r>
              <w:rPr>
                <w:b w:val="false"/>
                <w:bCs w:val="false"/>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4"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4474"/>
        <w:gridCol w:w="1539"/>
        <w:gridCol w:w="790"/>
        <w:gridCol w:w="851"/>
        <w:gridCol w:w="850"/>
        <w:gridCol w:w="1271"/>
      </w:tblGrid>
      <w:tr>
        <w:trPr/>
        <w:tc>
          <w:tcPr>
            <w:tcW w:w="4474"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Реакция</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Теоретическое</w:t>
            </w:r>
          </w:p>
        </w:tc>
        <w:tc>
          <w:tcPr>
            <w:tcW w:w="2491"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Потоковая калориметрия</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ТГ/ДСК</w:t>
            </w:r>
          </w:p>
        </w:tc>
      </w:tr>
      <w:tr>
        <w:trPr/>
        <w:tc>
          <w:tcPr>
            <w:tcW w:w="4474"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rPr/>
            </w:pPr>
            <w:r>
              <w:rPr/>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position w:val="0"/>
                <w:sz w:val="22"/>
                <w:sz w:val="22"/>
                <w:szCs w:val="22"/>
                <w:vertAlign w:val="baseline"/>
                <w:lang w:val="en-US"/>
              </w:rPr>
              <w:t></w:t>
            </w:r>
            <w:r>
              <w:rPr>
                <w:rFonts w:ascii="Free Times" w:hAnsi="Free Times"/>
                <w:position w:val="0"/>
                <w:sz w:val="22"/>
                <w:sz w:val="22"/>
                <w:szCs w:val="22"/>
                <w:vertAlign w:val="baseline"/>
              </w:rPr>
              <w:t>H</w:t>
            </w:r>
            <w:r>
              <w:rPr>
                <w:rFonts w:ascii="Free Times" w:hAnsi="Free Times"/>
                <w:sz w:val="22"/>
                <w:szCs w:val="22"/>
                <w:vertAlign w:val="subscript"/>
              </w:rPr>
              <w:t>298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-230</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-243</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-238.5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-248</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-65.8</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-201</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-64.5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-284</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-117.3</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 xml:space="preserve">-188 </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ГХ-МС и LC-MS, которые показывают, что при разложении соли </w:t>
      </w:r>
      <w:r>
        <w:rPr>
          <w:b/>
        </w:rPr>
        <w:t>1a</w:t>
      </w:r>
      <w:r>
        <w:rPr/>
        <w:t xml:space="preserve"> не образуются продукты замещения диазониевой группы на группу OTf. Следовательно, разложение соли </w:t>
      </w:r>
      <w:r>
        <w:rPr>
          <w:b/>
        </w:rPr>
        <w:t>1a</w:t>
      </w:r>
      <w:r>
        <w:rPr/>
        <w:t xml:space="preserve"> проходит по иному маршруту и, возможно, иному механизму </w:t>
      </w:r>
      <w:r>
        <w:rPr/>
        <w:t>(схемы 4 и 5)</w:t>
      </w:r>
      <w:r>
        <w:rPr/>
        <w:t>, что согласуется с данными полученными при LC-MS исследовании продуктов разложения этой соли содержащих продукты полимеризации.</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hanging="0"/>
        <w:rPr/>
      </w:pPr>
      <w:r>
        <w:rPr/>
        <w:t xml:space="preserve">  </w:t>
      </w:r>
      <w:r>
        <w:rPr/>
        <w:t>CONCLUSIONS</w:t>
      </w:r>
    </w:p>
    <w:p>
      <w:pPr>
        <w:pStyle w:val="Normal"/>
        <w:tabs>
          <w:tab w:val="center" w:pos="218" w:leader="none"/>
        </w:tabs>
        <w:rPr/>
      </w:pPr>
      <w:r>
        <w:rPr/>
        <w:t xml:space="preserve">Проведение только ТГ/ДСК исследования не может служить надежным критерием </w:t>
      </w:r>
      <w:r>
        <w:rPr/>
        <w:t xml:space="preserve">для оценки </w:t>
      </w:r>
      <w:r>
        <w:rPr/>
        <w:t xml:space="preserve">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с определением величин максимальных тепловых потоков и аппроксимацией кинетики на нормальные условия. </w:t>
      </w:r>
    </w:p>
    <w:p>
      <w:pPr>
        <w:pStyle w:val="Normal"/>
        <w:tabs>
          <w:tab w:val="center" w:pos="218" w:leader="none"/>
        </w:tabs>
        <w:rPr/>
      </w:pPr>
      <w:r>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xml:space="preserve">. В случае трифлата 4-нитрофенилдиазония </w:t>
      </w:r>
      <w:r>
        <w:rPr/>
        <w:t xml:space="preserve">по сравнению с его тозилатной и тетрафторборатной солью </w:t>
      </w:r>
      <w:r>
        <w:rPr/>
        <w:t xml:space="preserve">наблюдается значительное увеличение времени полураспада и уменьшение величины максимального теплового потока при нормальных условиях. </w:t>
      </w:r>
      <w:bookmarkStart w:id="0" w:name="_GoBack"/>
      <w:bookmarkEnd w:id="0"/>
      <w:r>
        <w:rPr/>
        <w:t>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pPr>
      <w:r>
        <w:rPr/>
        <w:t xml:space="preserve">По результатам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p>
    <w:p>
      <w:pPr>
        <w:pStyle w:val="Normal"/>
        <w:tabs>
          <w:tab w:val="center" w:pos="218" w:leader="none"/>
        </w:tabs>
        <w:rPr/>
      </w:pPr>
      <w:r>
        <w:rPr/>
        <w:t xml:space="preserve">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 и мета-производного. </w:t>
      </w:r>
    </w:p>
    <w:p>
      <w:pPr>
        <w:pStyle w:val="Normal"/>
        <w:tabs>
          <w:tab w:val="center" w:pos="218" w:leader="none"/>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по механизму </w:t>
      </w:r>
      <w:r>
        <w:rPr>
          <w:b w:val="false"/>
          <w:bCs w:val="false"/>
        </w:rPr>
        <w:t>3</w:t>
      </w:r>
      <w:r>
        <w:rPr/>
        <w:t xml:space="preserve">, что связано с преобладанием механизма </w:t>
      </w:r>
      <w:r>
        <w:rPr/>
        <w:t>4,</w:t>
      </w:r>
      <w:r>
        <w:rPr>
          <w:b w:val="false"/>
          <w:bCs w:val="false"/>
        </w:rPr>
        <w:t xml:space="preserve"> 5 </w:t>
      </w:r>
      <w:r>
        <w:rPr/>
        <w:t xml:space="preserve"> разложения и образования полимерных продуктов. Очевидно, что для прогнозирования стабильности солей диазония необходимо более подробное </w:t>
      </w:r>
      <w:r>
        <w:rPr/>
        <w:t xml:space="preserve">экспериментальное и теоретическое </w:t>
      </w:r>
      <w:r>
        <w:rPr/>
        <w:t xml:space="preserve">изучение механизмов реакций протекающих при разложении. </w:t>
      </w:r>
    </w:p>
    <w:p>
      <w:pPr>
        <w:pStyle w:val="1"/>
        <w:numPr>
          <w:ilvl w:val="0"/>
          <w:numId w:val="2"/>
        </w:numPr>
        <w:ind w:left="0" w:right="0" w:hanging="0"/>
        <w:rPr/>
      </w:pPr>
      <w:r>
        <w:rPr/>
        <w:t xml:space="preserve">  </w:t>
      </w:r>
      <w:r>
        <w:rPr/>
        <w:t>ASSOCIATED CONTENT</w:t>
      </w:r>
    </w:p>
    <w:p>
      <w:pPr>
        <w:pStyle w:val="1"/>
        <w:numPr>
          <w:ilvl w:val="0"/>
          <w:numId w:val="2"/>
        </w:numPr>
        <w:ind w:left="0" w:right="0" w:hanging="0"/>
        <w:rPr/>
      </w:pPr>
      <w:r>
        <w:rPr/>
        <w:t xml:space="preserve">  </w:t>
      </w:r>
      <w:r>
        <w:rPr/>
        <w:t>AUTHOR INFORMATION</w:t>
      </w:r>
    </w:p>
    <w:p>
      <w:pPr>
        <w:pStyle w:val="1"/>
        <w:numPr>
          <w:ilvl w:val="0"/>
          <w:numId w:val="2"/>
        </w:numPr>
        <w:ind w:left="0" w:right="0" w:hanging="0"/>
        <w:rPr/>
      </w:pPr>
      <w:r>
        <w:rPr/>
        <w:t xml:space="preserve">  </w:t>
      </w:r>
      <w:r>
        <w:rPr/>
        <w:t>ACKNOWLEDGMENTS</w:t>
      </w:r>
    </w:p>
    <w:p>
      <w:pPr>
        <w:pStyle w:val="1"/>
        <w:numPr>
          <w:ilvl w:val="0"/>
          <w:numId w:val="2"/>
        </w:numPr>
        <w:ind w:left="0" w:right="0" w:hanging="0"/>
        <w:rPr/>
      </w:pPr>
      <w:r>
        <w:rPr/>
        <w:t xml:space="preserve">  </w:t>
      </w:r>
      <w:r>
        <w:rPr/>
        <w:t>REFERENCES (fINAL)</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(a) Zollinger, H. </w:t>
      </w:r>
      <w:r>
        <w:rPr>
          <w:rFonts w:cs="Times New Roman" w:ascii="FreeSerif" w:hAnsi="FreeSerif"/>
          <w:i/>
          <w:iCs/>
          <w:sz w:val="24"/>
          <w:szCs w:val="24"/>
          <w:lang w:val="en-US"/>
        </w:rPr>
        <w:t>Diazo Chemistry I: Aromatic and Heteroaromatic Compounds</w:t>
      </w:r>
      <w:r>
        <w:rPr>
          <w:rFonts w:cs="Times New Roman" w:ascii="FreeSerif" w:hAnsi="FreeSerif"/>
          <w:sz w:val="24"/>
          <w:szCs w:val="24"/>
          <w:lang w:val="en-US"/>
        </w:rPr>
        <w:t xml:space="preserve">; VCH, Weinheim, </w:t>
      </w:r>
      <w:r>
        <w:rPr>
          <w:rFonts w:cs="Times New Roman" w:ascii="FreeSerif" w:hAnsi="FreeSerif"/>
          <w:b/>
          <w:bCs/>
          <w:sz w:val="24"/>
          <w:szCs w:val="24"/>
          <w:lang w:val="en-US"/>
        </w:rPr>
        <w:t>1994</w:t>
      </w:r>
      <w:r>
        <w:rPr>
          <w:rFonts w:cs="Times New Roman" w:ascii="FreeSerif" w:hAnsi="FreeSerif"/>
          <w:sz w:val="24"/>
          <w:szCs w:val="24"/>
          <w:lang w:val="en-US"/>
        </w:rPr>
        <w:t xml:space="preserve">. (b) Roglands, A.; Pla-Quintana, A.; Moreno-Manas M. </w:t>
      </w:r>
      <w:r>
        <w:rPr>
          <w:rFonts w:cs="Times New Roman" w:ascii="FreeSerif" w:hAnsi="FreeSerif"/>
          <w:i/>
          <w:iCs/>
          <w:sz w:val="24"/>
          <w:szCs w:val="24"/>
          <w:lang w:val="en-US"/>
        </w:rPr>
        <w:t>Chem. Rev</w:t>
      </w:r>
      <w:r>
        <w:rPr>
          <w:rFonts w:cs="Times New Roman" w:ascii="FreeSerif" w:hAnsi="FreeSerif"/>
          <w:sz w:val="24"/>
          <w:szCs w:val="24"/>
          <w:lang w:val="en-US"/>
        </w:rPr>
        <w:t xml:space="preserve">. </w:t>
      </w:r>
      <w:r>
        <w:rPr>
          <w:rFonts w:cs="Times New Roman" w:ascii="FreeSerif" w:hAnsi="FreeSerif"/>
          <w:b/>
          <w:bCs/>
          <w:sz w:val="24"/>
          <w:szCs w:val="24"/>
          <w:lang w:val="en-US"/>
        </w:rPr>
        <w:t>2006</w:t>
      </w:r>
      <w:r>
        <w:rPr>
          <w:rFonts w:cs="Times New Roman" w:ascii="FreeSerif" w:hAnsi="FreeSerif"/>
          <w:sz w:val="24"/>
          <w:szCs w:val="24"/>
          <w:lang w:val="en-US"/>
        </w:rPr>
        <w:t xml:space="preserve">, </w:t>
      </w:r>
      <w:r>
        <w:rPr>
          <w:rFonts w:cs="Times New Roman" w:ascii="FreeSerif" w:hAnsi="FreeSerif"/>
          <w:i/>
          <w:iCs/>
          <w:sz w:val="24"/>
          <w:szCs w:val="24"/>
          <w:lang w:val="en-US"/>
        </w:rPr>
        <w:t>106</w:t>
      </w:r>
      <w:r>
        <w:rPr>
          <w:rFonts w:cs="Times New Roman" w:ascii="FreeSerif" w:hAnsi="FreeSerif"/>
          <w:sz w:val="24"/>
          <w:szCs w:val="24"/>
          <w:lang w:val="en-US"/>
        </w:rPr>
        <w:t xml:space="preserve">, 4622. (c) Bonin H.; Fouquet, E.; Felpin, F.-X. </w:t>
      </w:r>
      <w:r>
        <w:rPr>
          <w:rFonts w:cs="Times New Roman" w:ascii="FreeSerif" w:hAnsi="FreeSerif"/>
          <w:i/>
          <w:iCs/>
          <w:sz w:val="24"/>
          <w:szCs w:val="24"/>
          <w:lang w:val="en-US"/>
        </w:rPr>
        <w:t>Adv. Synth. Catal</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353</w:t>
      </w:r>
      <w:r>
        <w:rPr>
          <w:rFonts w:cs="Times New Roman" w:ascii="FreeSerif" w:hAnsi="FreeSerif"/>
          <w:sz w:val="24"/>
          <w:szCs w:val="24"/>
          <w:lang w:val="en-US"/>
        </w:rPr>
        <w:t xml:space="preserve">, 3063. (d) Mo, F.; Dong, G.; Zhang, Y.; Wang, </w:t>
      </w:r>
      <w:r>
        <w:rPr>
          <w:rFonts w:cs="Times New Roman" w:ascii="FreeSerif" w:hAnsi="FreeSerif"/>
          <w:i/>
          <w:iCs/>
          <w:sz w:val="24"/>
          <w:szCs w:val="24"/>
          <w:lang w:val="en-US"/>
        </w:rPr>
        <w:t>J. Org. Biomol. Chem</w:t>
      </w:r>
      <w:r>
        <w:rPr>
          <w:rFonts w:cs="Times New Roman" w:ascii="FreeSerif" w:hAnsi="FreeSerif"/>
          <w:sz w:val="24"/>
          <w:szCs w:val="24"/>
          <w:lang w:val="en-US"/>
        </w:rPr>
        <w:t xml:space="preserve">. </w:t>
      </w:r>
      <w:r>
        <w:rPr>
          <w:rFonts w:cs="Times New Roman" w:ascii="FreeSerif" w:hAnsi="FreeSerif"/>
          <w:b/>
          <w:bCs/>
          <w:sz w:val="24"/>
          <w:szCs w:val="24"/>
          <w:lang w:val="en-US"/>
        </w:rPr>
        <w:t>2013</w:t>
      </w:r>
      <w:r>
        <w:rPr>
          <w:rFonts w:cs="Times New Roman" w:ascii="FreeSerif" w:hAnsi="FreeSerif"/>
          <w:sz w:val="24"/>
          <w:szCs w:val="24"/>
          <w:lang w:val="en-US"/>
        </w:rPr>
        <w:t xml:space="preserve">, </w:t>
      </w:r>
      <w:r>
        <w:rPr>
          <w:rFonts w:cs="Times New Roman" w:ascii="FreeSerif" w:hAnsi="FreeSerif"/>
          <w:i/>
          <w:iCs/>
          <w:sz w:val="24"/>
          <w:szCs w:val="24"/>
          <w:lang w:val="en-US"/>
        </w:rPr>
        <w:t>11</w:t>
      </w:r>
      <w:r>
        <w:rPr>
          <w:rFonts w:cs="Times New Roman" w:ascii="FreeSerif" w:hAnsi="FreeSerif"/>
          <w:sz w:val="24"/>
          <w:szCs w:val="24"/>
          <w:lang w:val="en-US"/>
        </w:rPr>
        <w:t xml:space="preserve">, 1582. (e) Kölmel, D. K.; Jung, N.; Bräse, S. </w:t>
      </w:r>
      <w:r>
        <w:rPr>
          <w:rFonts w:cs="Times New Roman" w:ascii="FreeSerif" w:hAnsi="FreeSerif"/>
          <w:i/>
          <w:iCs/>
          <w:sz w:val="24"/>
          <w:szCs w:val="24"/>
          <w:lang w:val="en-US"/>
        </w:rPr>
        <w:t>Aust. J. Chem</w:t>
      </w:r>
      <w:r>
        <w:rPr>
          <w:rFonts w:cs="Times New Roman" w:ascii="FreeSerif" w:hAnsi="FreeSerif"/>
          <w:sz w:val="24"/>
          <w:szCs w:val="24"/>
          <w:lang w:val="en-US"/>
        </w:rPr>
        <w:t xml:space="preserve">. </w:t>
      </w:r>
      <w:r>
        <w:rPr>
          <w:rFonts w:cs="Times New Roman" w:ascii="FreeSerif" w:hAnsi="FreeSerif"/>
          <w:b/>
          <w:bCs/>
          <w:sz w:val="24"/>
          <w:szCs w:val="24"/>
          <w:lang w:val="en-US"/>
        </w:rPr>
        <w:t>2014</w:t>
      </w:r>
      <w:r>
        <w:rPr>
          <w:rFonts w:cs="Times New Roman" w:ascii="FreeSerif" w:hAnsi="FreeSerif"/>
          <w:sz w:val="24"/>
          <w:szCs w:val="24"/>
          <w:lang w:val="en-US"/>
        </w:rPr>
        <w:t xml:space="preserve">, </w:t>
      </w:r>
      <w:r>
        <w:rPr>
          <w:rFonts w:cs="Times New Roman" w:ascii="FreeSerif" w:hAnsi="FreeSerif"/>
          <w:i/>
          <w:iCs/>
          <w:sz w:val="24"/>
          <w:szCs w:val="24"/>
          <w:lang w:val="en-US"/>
        </w:rPr>
        <w:t>67</w:t>
      </w:r>
      <w:r>
        <w:rPr>
          <w:rFonts w:cs="Times New Roman" w:ascii="FreeSerif" w:hAnsi="FreeSerif"/>
          <w:sz w:val="24"/>
          <w:szCs w:val="24"/>
          <w:lang w:val="en-US"/>
        </w:rPr>
        <w:t xml:space="preserve">, 328. (f) Deadman, B. J.; Collins, S.G.; Maguire, A. R. </w:t>
      </w:r>
      <w:r>
        <w:rPr>
          <w:rFonts w:cs="Times New Roman" w:ascii="FreeSerif" w:hAnsi="FreeSerif"/>
          <w:i/>
          <w:iCs/>
          <w:sz w:val="24"/>
          <w:szCs w:val="24"/>
          <w:lang w:val="en-US"/>
        </w:rPr>
        <w:t>Chem. Eur. J.</w:t>
      </w:r>
      <w:r>
        <w:rPr>
          <w:rFonts w:cs="Times New Roman" w:ascii="FreeSerif" w:hAnsi="FreeSerif"/>
          <w:sz w:val="24"/>
          <w:szCs w:val="24"/>
          <w:lang w:val="en-US"/>
        </w:rPr>
        <w:t xml:space="preserve"> </w:t>
      </w:r>
      <w:r>
        <w:rPr>
          <w:rFonts w:cs="Times New Roman" w:ascii="FreeSerif" w:hAnsi="FreeSerif"/>
          <w:b/>
          <w:bCs/>
          <w:sz w:val="24"/>
          <w:szCs w:val="24"/>
          <w:lang w:val="en-US"/>
        </w:rPr>
        <w:t>2015</w:t>
      </w:r>
      <w:r>
        <w:rPr>
          <w:rFonts w:cs="Times New Roman" w:ascii="FreeSerif" w:hAnsi="FreeSerif"/>
          <w:sz w:val="24"/>
          <w:szCs w:val="24"/>
          <w:lang w:val="en-US"/>
        </w:rPr>
        <w:t xml:space="preserve">, </w:t>
      </w:r>
      <w:r>
        <w:rPr>
          <w:rFonts w:cs="Times New Roman" w:ascii="FreeSerif" w:hAnsi="FreeSerif"/>
          <w:i/>
          <w:iCs/>
          <w:sz w:val="24"/>
          <w:szCs w:val="24"/>
          <w:lang w:val="en-US"/>
        </w:rPr>
        <w:t>21</w:t>
      </w:r>
      <w:r>
        <w:rPr>
          <w:rFonts w:cs="Times New Roman" w:ascii="FreeSerif" w:hAnsi="FreeSerif"/>
          <w:sz w:val="24"/>
          <w:szCs w:val="24"/>
          <w:lang w:val="en-US"/>
        </w:rPr>
        <w:t>, 2298.</w:t>
      </w:r>
    </w:p>
    <w:p>
      <w:pPr>
        <w:pStyle w:val="Style20"/>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Mahouche-Chergui, S.; Gam-Derouich, S.; Manganey, C.; Chehimi, M. M. </w:t>
      </w:r>
      <w:r>
        <w:rPr>
          <w:rFonts w:cs="Times New Roman" w:ascii="FreeSerif" w:hAnsi="FreeSerif"/>
          <w:i/>
          <w:iCs/>
          <w:sz w:val="24"/>
          <w:szCs w:val="24"/>
          <w:lang w:val="en-US"/>
        </w:rPr>
        <w:t>Chem. Soc. Rev.</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40</w:t>
      </w:r>
      <w:r>
        <w:rPr>
          <w:rFonts w:cs="Times New Roman" w:ascii="FreeSerif" w:hAnsi="FreeSerif"/>
          <w:sz w:val="24"/>
          <w:szCs w:val="24"/>
          <w:lang w:val="en-US"/>
        </w:rPr>
        <w:t>, 4143.</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ru-RU"/>
        </w:rPr>
        <w:t xml:space="preserve">(a) Filimonov V. D., Trusova M.E., Postnikov P.S., Krasnokutskaya E.A., Lee Y.M., Hwang H.Y., Kim H., Ki-Whan Chi. </w:t>
      </w:r>
      <w:r>
        <w:rPr>
          <w:rFonts w:eastAsia="Times New Roman" w:cs="Times New Roman" w:ascii="FreeSerif" w:hAnsi="FreeSerif"/>
          <w:sz w:val="24"/>
          <w:szCs w:val="24"/>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5">
        <w:r>
          <w:rPr>
            <w:rStyle w:val="Style13"/>
            <w:rFonts w:eastAsia="Times New Roman" w:cs="Times New Roman" w:ascii="FreeSerif" w:hAnsi="FreeSerif"/>
            <w:color w:val="0000FF"/>
            <w:sz w:val="24"/>
            <w:szCs w:val="24"/>
            <w:u w:val="single"/>
            <w:lang w:val="en-US"/>
          </w:rPr>
          <w:t>https://doi.org/10.1002/ejoc.201800887</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sz w:val="24"/>
          <w:szCs w:val="24"/>
          <w:lang w:val="ru-RU"/>
        </w:rPr>
        <w:t>Korean Chem. Soc. 2011, 32, 2970.</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Riss, P. J.; Kuschel, S.; Aigbirhio, F. I.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Tetrahedron Lett. 2012, 53, 1717. (b)  Velikorodov, A. V.; Ionova, V. A.; Temirbulatova, S. I.; Suvorova, M. A.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Rus. J. Org. Chem. 2013, 49, 1004. (c) Tang, Z. Y.; Zhang, Y.; Wang, T.; Wang, W.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Synlett. 2010, 804. (d) PostnikovP.S., M. E. Trusova, T. A. Fedushchak, M. A. Uimin, A. E. Ermakov, V. D. Filimonov Aryldiazonium Tosylatesas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sz w:val="24"/>
          <w:szCs w:val="24"/>
          <w:lang w:val="ru-RU"/>
        </w:rPr>
        <w:t xml:space="preserve">Commun. </w:t>
      </w:r>
      <w:r>
        <w:rPr>
          <w:rFonts w:eastAsia="Times New Roman" w:cs="Times New Roman" w:ascii="FreeSerif" w:hAnsi="FreeSerif"/>
          <w:color w:val="FF0000"/>
          <w:sz w:val="24"/>
          <w:szCs w:val="24"/>
          <w:lang w:val="ru-RU"/>
        </w:rPr>
        <w:t>title</w:t>
      </w:r>
      <w:r>
        <w:rPr>
          <w:rFonts w:eastAsia="Times New Roman" w:cs="Times New Roman" w:ascii="FreeSerif" w:hAnsi="FreeSerif"/>
          <w:sz w:val="24"/>
          <w:szCs w:val="24"/>
          <w:lang w:val="ru-RU"/>
        </w:rPr>
        <w:t xml:space="preserve"> 2013, 49, 6289.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hyperlink r:id="rId26">
        <w:r>
          <w:rPr>
            <w:rStyle w:val="Style13"/>
            <w:rFonts w:eastAsia="Calibri" w:cs="Calibri" w:ascii="FreeSerif" w:hAnsi="FreeSerif"/>
            <w:color w:val="0000FF"/>
            <w:sz w:val="24"/>
            <w:szCs w:val="24"/>
            <w:u w:val="single"/>
            <w:lang w:val="ru-RU"/>
          </w:rPr>
          <w:t>http://www.unece.org/trans/danger/danger.html</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sz w:val="24"/>
          <w:szCs w:val="24"/>
          <w:lang w:val="en-US"/>
        </w:rPr>
        <w:t>??</w:t>
      </w:r>
      <w:r>
        <w:rPr>
          <w:rFonts w:eastAsia="Times New Roman" w:cs="Times New Roman" w:ascii="FreeSerif" w:hAnsi="FreeSerif"/>
          <w:sz w:val="24"/>
          <w:szCs w:val="24"/>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sz w:val="24"/>
          <w:szCs w:val="24"/>
          <w:lang w:val="en-US"/>
        </w:rPr>
        <w:t>No. 68. P. 1-3. P. 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highlight w:val="yellow"/>
        </w:rPr>
      </w:pPr>
      <w:r>
        <w:rPr>
          <w:highlight w:val="yellow"/>
        </w:rPr>
        <w:t>P. Guillaume, M. Rat, S. Wilker, G. Pantel, Microcalorimetric and Chemical Studies of Propellants Proc. Int Annu. Conf. ICT 29, 133 (1998).</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(a) </w:t>
      </w:r>
      <w:r>
        <w:rPr>
          <w:rFonts w:eastAsia="Times New Roman" w:cs="Times New Roman" w:ascii="FreeSerif" w:hAnsi="FreeSerif"/>
          <w:b w:val="false"/>
          <w:bCs w:val="false"/>
          <w:color w:val="00000A"/>
          <w:sz w:val="24"/>
          <w:szCs w:val="24"/>
          <w:highlight w:val="yellow"/>
          <w:lang w:val="en-US"/>
        </w:rPr>
        <w:t xml:space="preserve">Williams, T. and Kelley, C. (2011). Gnuplot 4.5: an interactive plotting program. URL http://gnuplot.info. (Last accessed: 2011 June 7) </w:t>
      </w:r>
      <w:r>
        <w:rPr>
          <w:rFonts w:eastAsia="Times New Roman" w:cs="Times New Roman" w:ascii="FreeSerif" w:hAnsi="FreeSerif"/>
          <w:b w:val="false"/>
          <w:bCs w:val="false"/>
          <w:color w:val="00000A"/>
          <w:sz w:val="24"/>
          <w:szCs w:val="24"/>
          <w:highlight w:val="yellow"/>
          <w:lang w:val="en-US"/>
        </w:rPr>
        <w:t xml:space="preserve">(b) R Core Team (2017). R: A language and environment for statistical computing. R Foundation for Statistical / Computing, Vienna, Austria. URL </w:t>
      </w:r>
      <w:hyperlink r:id="rId27">
        <w:r>
          <w:rPr>
            <w:rStyle w:val="Style13"/>
            <w:rFonts w:eastAsia="Times New Roman" w:cs="Times New Roman" w:ascii="FreeSerif" w:hAnsi="FreeSerif"/>
            <w:b w:val="false"/>
            <w:bCs w:val="false"/>
            <w:color w:val="00000A"/>
            <w:sz w:val="24"/>
            <w:szCs w:val="24"/>
            <w:highlight w:val="yellow"/>
            <w:lang w:val="en-US"/>
          </w:rPr>
          <w:t>https://www.R-project.org/</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(a) Sturm et al., BMC Bioinformatics (2008), 9, 163, (b) Kohlbacher et al., Bioinformatics (2008), 23:e191-e197</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(a)</w:t>
      </w:r>
      <w:r>
        <w:rPr>
          <w:rFonts w:eastAsia="Times New Roman" w:cs="Times New Roman" w:ascii="FreeSerif" w:hAnsi="FreeSerif"/>
          <w:b w:val="false"/>
          <w:bCs w:val="false"/>
          <w:i w:val="false"/>
          <w:iCs w:val="false"/>
          <w:color w:val="00000A"/>
          <w:sz w:val="24"/>
          <w:szCs w:val="24"/>
          <w:highlight w:val="yellow"/>
          <w:lang w:val="en-US"/>
        </w:rPr>
        <w:t xml:space="preserve"> </w:t>
      </w:r>
      <w:r>
        <w:rPr>
          <w:rStyle w:val="Style18"/>
          <w:rFonts w:eastAsia="Times New Roman" w:cs="Times New Roman" w:ascii="FreeSerif" w:hAnsi="FreeSerif"/>
          <w:b w:val="false"/>
          <w:bCs w:val="false"/>
          <w:i w:val="false"/>
          <w:iCs w:val="false"/>
          <w:color w:val="00000A"/>
          <w:sz w:val="24"/>
          <w:szCs w:val="24"/>
          <w:highlight w:val="yellow"/>
          <w:lang w:val="en-US"/>
        </w:rPr>
        <w:t>Fletcher, Roger (1987), Practical methods of optimization (2nd ed.), New York: John Wiley &amp; Sons, ISBN 978-0-471-91547-8, (b) Alexander Bondarev. Deconvolution-Kinetic. Zenodo November 7, 2018, p. DOI: 10.5281/zenodo.1478946</w:t>
      </w:r>
    </w:p>
    <w:p>
      <w:pPr>
        <w:pStyle w:val="3"/>
        <w:numPr>
          <w:ilvl w:val="2"/>
          <w:numId w:val="3"/>
        </w:numPr>
        <w:ind w:left="0" w:right="0" w:firstLine="567"/>
        <w:rPr>
          <w:lang w:val="en-US"/>
        </w:rPr>
      </w:pPr>
      <w:r>
        <w:rPr>
          <w:lang w:val="en-US"/>
        </w:rPr>
      </w:r>
      <w:r>
        <w:br w:type="page"/>
      </w:r>
    </w:p>
    <w:p>
      <w:pPr>
        <w:pStyle w:val="1"/>
        <w:numPr>
          <w:ilvl w:val="0"/>
          <w:numId w:val="2"/>
        </w:numPr>
        <w:ind w:left="0" w:right="0" w:hanging="0"/>
        <w:rPr/>
      </w:pPr>
      <w:r>
        <w:rPr/>
        <w:t>Supporting</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Приложение 1</w:t>
      </w:r>
      <w:r>
        <w:rPr>
          <w:b/>
          <w:bCs/>
          <w:lang w:val="ru-RU" w:eastAsia="zh-CN" w:bidi="hi-IN"/>
        </w:rPr>
        <w:t>s</w:t>
      </w:r>
      <w:r>
        <w:rPr>
          <w:b/>
          <w:bCs/>
          <w:lang w:val="ru-RU" w:eastAsia="zh-CN" w:bidi="hi-IN"/>
        </w:rPr>
        <w:t xml:space="preserve">. </w:t>
      </w:r>
      <w:r>
        <w:rPr>
          <w:b/>
          <w:bCs/>
          <w:lang w:val="ru-RU" w:eastAsia="zh-CN" w:bidi="hi-IN"/>
        </w:rPr>
        <w:t>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bidi w:val="0"/>
        <w:spacing w:before="0" w:after="0"/>
        <w:rPr/>
      </w:pPr>
      <w:r>
        <w:rPr>
          <w:color w:val="000000"/>
        </w:rPr>
        <w:t xml:space="preserve">Исходные экспериментальные зависимости теплового потока от времени представлены в файлах </w:t>
      </w:r>
      <w:r>
        <w:rPr>
          <w:color w:val="000000"/>
        </w:rPr>
        <w:t>-</w:t>
      </w:r>
      <w:r>
        <w:rPr>
          <w:color w:val="000000"/>
        </w:rPr>
        <w:t xml:space="preserve"> </w:t>
      </w:r>
      <w:r>
        <w:rPr>
          <w:i/>
          <w:iCs/>
          <w:color w:val="000000"/>
          <w:u w:val="single"/>
        </w:rPr>
        <w:t>Supporting/Flow-Calorimetry/Main-Experiment/Source</w:t>
      </w:r>
      <w:r>
        <w:rPr>
          <w:color w:val="000000"/>
        </w:rPr>
        <w:t xml:space="preserve">, </w:t>
      </w:r>
      <w:r>
        <w:rPr>
          <w:color w:val="000000"/>
        </w:rPr>
        <w:t xml:space="preserve">результаты моделирования одним автокаталитическим процессом в каталоге </w:t>
      </w:r>
      <w:r>
        <w:rPr>
          <w:color w:val="000000"/>
        </w:rPr>
        <w:t>-</w:t>
      </w:r>
      <w:r>
        <w:rPr>
          <w:color w:val="000000"/>
        </w:rPr>
        <w:t xml:space="preserve"> </w:t>
      </w:r>
      <w:r>
        <w:rPr>
          <w:i/>
          <w:iCs/>
          <w:color w:val="000000"/>
          <w:u w:val="single"/>
        </w:rPr>
        <w:t>Supporting/Flow-Calorimetry/Main-Experiment/</w:t>
      </w:r>
      <w:r>
        <w:rPr>
          <w:i/>
          <w:iCs/>
          <w:color w:val="000000"/>
          <w:u w:val="single"/>
        </w:rPr>
        <w:t>pdf</w:t>
      </w:r>
      <w:r>
        <w:rPr>
          <w:color w:val="000000"/>
        </w:rPr>
        <w:t xml:space="preserve">. Результаты статистическая обработки и оценки воспроизводимости в каталоге </w:t>
      </w:r>
      <w:r>
        <w:rPr>
          <w:color w:val="000000"/>
        </w:rPr>
        <w:t xml:space="preserve">- </w:t>
      </w:r>
      <w:r>
        <w:rPr>
          <w:color w:val="000000"/>
        </w:rPr>
        <w:t xml:space="preserve"> </w:t>
      </w:r>
      <w:r>
        <w:rPr>
          <w:i/>
          <w:iCs/>
          <w:color w:val="000000"/>
          <w:u w:val="single"/>
        </w:rPr>
        <w:t>Supporting/Flow-Calorimetry/</w:t>
      </w:r>
      <w:r>
        <w:rPr>
          <w:i/>
          <w:iCs/>
          <w:color w:val="000000"/>
          <w:u w:val="single"/>
        </w:rPr>
        <w:t>Stat</w:t>
      </w:r>
      <w:r>
        <w:rPr>
          <w:color w:val="000000"/>
        </w:rPr>
        <w:t>.</w:t>
      </w:r>
    </w:p>
    <w:p>
      <w:pPr>
        <w:pStyle w:val="Normal"/>
        <w:tabs>
          <w:tab w:val="center" w:pos="218" w:leader="none"/>
        </w:tabs>
        <w:bidi w:val="0"/>
        <w:spacing w:before="0" w:after="0"/>
        <w:rPr/>
      </w:pPr>
      <w:r>
        <w:rPr>
          <w:color w:val="000000"/>
        </w:rPr>
        <w:t xml:space="preserve">Деконволюцию проводили путем компьютерного моделирования комбинаций двух </w:t>
      </w:r>
      <w:r>
        <w:rPr>
          <w:color w:val="000000"/>
        </w:rPr>
        <w:t>независимых и двух последовательных</w:t>
      </w:r>
      <w:r>
        <w:rPr>
          <w:color w:val="000000"/>
        </w:rPr>
        <w:t xml:space="preserve">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w:t>
      </w:r>
      <w:r>
        <w:rPr>
          <w:color w:val="000000"/>
        </w:rPr>
        <w:t xml:space="preserve">с помощью </w:t>
      </w:r>
      <w:r>
        <w:rPr>
          <w:color w:val="000000"/>
        </w:rPr>
        <w:t>алгоритм</w:t>
      </w:r>
      <w:r>
        <w:rPr>
          <w:color w:val="000000"/>
        </w:rPr>
        <w:t xml:space="preserve">а </w:t>
      </w:r>
      <w:r>
        <w:rPr>
          <w:color w:val="000000"/>
        </w:rPr>
        <w:t>Broyden–Fletcher–Goldfarb–Shanno (BFGS)</w:t>
      </w:r>
      <w:r>
        <w:rPr>
          <w:color w:val="000000"/>
        </w:rPr>
        <w:t xml:space="preserve"> </w:t>
      </w:r>
      <w:r>
        <w:rPr>
          <w:color w:val="000000"/>
        </w:rPr>
        <w:t>[12a]</w:t>
      </w:r>
      <w:r>
        <w:rPr>
          <w:color w:val="000000"/>
        </w:rPr>
        <w:t xml:space="preserve"> </w:t>
      </w:r>
      <w:r>
        <w:rPr>
          <w:color w:val="000000"/>
        </w:rPr>
        <w:t xml:space="preserve">реализованный в </w:t>
      </w:r>
      <w:r>
        <w:rPr>
          <w:color w:val="000000"/>
        </w:rPr>
        <w:t xml:space="preserve"> </w:t>
      </w:r>
      <w:r>
        <w:rPr>
          <w:color w:val="000000"/>
        </w:rPr>
        <w:t xml:space="preserve">разработанной нами </w:t>
      </w:r>
      <w:r>
        <w:rPr>
          <w:color w:val="000000"/>
        </w:rPr>
        <w:t>компьютерной программы</w:t>
      </w:r>
      <w:r>
        <w:rPr>
          <w:color w:val="000000"/>
        </w:rPr>
        <w:t xml:space="preserve"> </w:t>
      </w:r>
      <w:r>
        <w:rPr>
          <w:color w:val="000000"/>
        </w:rPr>
        <w:t>[12</w:t>
      </w:r>
      <w:r>
        <w:rPr>
          <w:color w:val="000000"/>
        </w:rPr>
        <w:t>b</w:t>
      </w:r>
      <w:r>
        <w:rPr>
          <w:color w:val="000000"/>
        </w:rPr>
        <w:t xml:space="preserve">] </w:t>
      </w:r>
      <w:r>
        <w:rPr>
          <w:color w:val="000000"/>
        </w:rPr>
        <w:t xml:space="preserve">и системы статистического анализа и обработки R statistics </w:t>
      </w:r>
      <w:r>
        <w:rPr>
          <w:color w:val="000000"/>
        </w:rPr>
        <w:t>[</w:t>
      </w:r>
      <w:r>
        <w:rPr>
          <w:color w:val="000000"/>
        </w:rPr>
        <w:t>9b</w:t>
      </w:r>
      <w:r>
        <w:rPr>
          <w:color w:val="000000"/>
        </w:rPr>
        <w:t xml:space="preserve">]. Исходные значения для первого приближения были взяты из данных ДСК-ТГА, для эндотермической реакции </w:t>
      </w:r>
      <w:r>
        <w:rPr>
          <w:rFonts w:cs="Symbol" w:ascii="Symbol" w:hAnsi="Symbol"/>
          <w:color w:val="000000"/>
          <w:sz w:val="20"/>
          <w:szCs w:val="20"/>
        </w:rPr>
        <w:t></w:t>
      </w:r>
      <w:r>
        <w:rPr>
          <w:rFonts w:cs="Times New Roman" w:ascii="Times New Roman" w:hAnsi="Times New Roman"/>
          <w:color w:val="000000"/>
        </w:rPr>
        <w:t>H=+74 кДж/моль</w:t>
      </w:r>
      <w:r>
        <w:rPr>
          <w:color w:val="000000"/>
        </w:rPr>
        <w:t xml:space="preserve"> и для экзотермического процесса </w:t>
      </w:r>
      <w:r>
        <w:rPr>
          <w:rFonts w:cs="Symbol" w:ascii="Symbol" w:hAnsi="Symbol"/>
          <w:color w:val="000000"/>
          <w:sz w:val="20"/>
          <w:szCs w:val="20"/>
        </w:rPr>
        <w:t></w:t>
      </w:r>
      <w:r>
        <w:rPr>
          <w:rFonts w:cs="Times New Roman" w:ascii="Times New Roman" w:hAnsi="Times New Roman"/>
          <w:color w:val="000000"/>
        </w:rPr>
        <w:t>H=-753 кДж/моль</w:t>
      </w:r>
      <w:r>
        <w:rPr>
          <w:color w:val="000000"/>
        </w:rPr>
        <w:t>.</w:t>
      </w:r>
      <w:r>
        <w:rPr/>
        <w:t xml:space="preserve"> На рисунке </w:t>
      </w:r>
      <w:r>
        <w:rPr/>
        <w:t>13</w:t>
      </w:r>
      <w:r>
        <w:rPr/>
        <w:t xml:space="preserve"> приведены результаты деконволюции.  Полученная экспериментальная кривая теплового потока P-exp лучше всего описывается композицией двух процессов - небольшого по величине эндотермического процесса P1 с теплотой </w:t>
      </w:r>
      <w:r>
        <w:rPr>
          <w:rFonts w:cs="Symbol" w:ascii="Symbol" w:hAnsi="Symbol"/>
          <w:sz w:val="20"/>
          <w:szCs w:val="20"/>
        </w:rPr>
        <w:t></w:t>
      </w:r>
      <w:r>
        <w:rPr>
          <w:rFonts w:cs="Times New Roman" w:ascii="Times New Roman" w:hAnsi="Times New Roman"/>
        </w:rPr>
        <w:t>H=46 кДж/моль</w:t>
      </w:r>
      <w:r>
        <w:rPr/>
        <w:t xml:space="preserve"> c кинетическими параметрами k</w:t>
      </w:r>
      <w:r>
        <w:rPr>
          <w:vertAlign w:val="subscript"/>
        </w:rPr>
        <w:t>1</w:t>
      </w:r>
      <w:r>
        <w:rPr/>
        <w:t>=1.3 g·mol</w:t>
      </w:r>
      <w:r>
        <w:rPr>
          <w:vertAlign w:val="superscript"/>
        </w:rPr>
        <w:t>-1</w:t>
      </w:r>
      <w:r>
        <w:rPr/>
        <w:t>·с</w:t>
      </w:r>
      <w:r>
        <w:rPr>
          <w:vertAlign w:val="superscript"/>
        </w:rPr>
        <w:t>-1</w:t>
      </w:r>
      <w:r>
        <w:rPr/>
        <w:t>, C</w:t>
      </w:r>
      <w:r>
        <w:rPr>
          <w:vertAlign w:val="subscript"/>
        </w:rPr>
        <w:t>0-1</w:t>
      </w:r>
      <w:r>
        <w:rPr/>
        <w:t>=7.3</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-4</w:t>
      </w:r>
      <w:r>
        <w:rPr>
          <w:rFonts w:cs="Arial" w:ascii="Free Times" w:hAnsi="Free Times"/>
          <w:b w:val="false"/>
          <w:bCs w:val="false"/>
          <w:position w:val="0"/>
          <w:sz w:val="24"/>
          <w:sz w:val="24"/>
          <w:szCs w:val="24"/>
          <w:vertAlign w:val="baseline"/>
        </w:rPr>
        <w:t> mol</w:t>
      </w:r>
      <w:r>
        <w:rPr>
          <w:rFonts w:cs="Arial" w:ascii="Free Times" w:hAnsi="Free Times"/>
          <w:b w:val="false"/>
          <w:bCs w:val="false"/>
          <w:sz w:val="24"/>
          <w:szCs w:val="24"/>
          <w:vertAlign w:val="superscript"/>
        </w:rPr>
        <w:t>-1</w:t>
      </w:r>
      <w:r>
        <w:rPr/>
        <w:t xml:space="preserve"> (уравнение 2) и основным экзотермическим автокаталитическим процессом P2 с теплотой </w:t>
      </w:r>
      <w:r>
        <w:rPr>
          <w:rFonts w:cs="Symbol" w:ascii="Symbol" w:hAnsi="Symbol"/>
          <w:sz w:val="20"/>
          <w:szCs w:val="20"/>
        </w:rPr>
        <w:t></w:t>
      </w:r>
      <w:r>
        <w:rPr>
          <w:rFonts w:cs="Times New Roman" w:ascii="Times New Roman" w:hAnsi="Times New Roman"/>
        </w:rPr>
        <w:t>H=-430 кДж/моль</w:t>
      </w:r>
      <w:r>
        <w:rPr/>
        <w:t>, k</w:t>
      </w:r>
      <w:r>
        <w:rPr>
          <w:vertAlign w:val="subscript"/>
        </w:rPr>
        <w:t>2</w:t>
      </w:r>
      <w:r>
        <w:rPr/>
        <w:t>=0.08 g·mol</w:t>
      </w:r>
      <w:r>
        <w:rPr>
          <w:vertAlign w:val="superscript"/>
        </w:rPr>
        <w:t>-1</w:t>
      </w:r>
      <w:r>
        <w:rPr/>
        <w:t>·с</w:t>
      </w:r>
      <w:r>
        <w:rPr>
          <w:vertAlign w:val="superscript"/>
        </w:rPr>
        <w:t>-1</w:t>
      </w:r>
      <w:r>
        <w:rPr/>
        <w:t>, C</w:t>
      </w:r>
      <w:r>
        <w:rPr>
          <w:vertAlign w:val="subscript"/>
        </w:rPr>
        <w:t>0-2</w:t>
      </w:r>
      <w:r>
        <w:rPr/>
        <w:t>= 2.0</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-3</w:t>
      </w:r>
      <w:r>
        <w:rPr>
          <w:rFonts w:cs="Arial" w:ascii="Free Times" w:hAnsi="Free Times"/>
          <w:b w:val="false"/>
          <w:bCs w:val="false"/>
          <w:position w:val="0"/>
          <w:sz w:val="24"/>
          <w:sz w:val="24"/>
          <w:szCs w:val="24"/>
          <w:vertAlign w:val="baseline"/>
        </w:rPr>
        <w:t> mol</w:t>
      </w:r>
      <w:r>
        <w:rPr>
          <w:rFonts w:cs="Arial" w:ascii="Free Times" w:hAnsi="Free Times"/>
          <w:b w:val="false"/>
          <w:bCs w:val="false"/>
          <w:sz w:val="24"/>
          <w:szCs w:val="24"/>
          <w:vertAlign w:val="superscript"/>
        </w:rPr>
        <w:t>-1</w:t>
      </w:r>
      <w:r>
        <w:rPr/>
        <w:t xml:space="preserve"> (уравнение 2) при 85 </w:t>
      </w:r>
      <w:r>
        <w:rPr>
          <w:vertAlign w:val="superscript"/>
        </w:rPr>
        <w:t>о</w:t>
      </w:r>
      <w:r>
        <w:rPr/>
        <w:t>С.</w:t>
      </w:r>
    </w:p>
    <w:p>
      <w:pPr>
        <w:pStyle w:val="Normal"/>
        <w:bidi w:val="0"/>
        <w:spacing w:lineRule="auto" w:line="240"/>
        <w:ind w:left="0" w:right="0" w:hanging="0"/>
        <w:jc w:val="center"/>
        <w:rPr>
          <w:sz w:val="12"/>
          <w:szCs w:val="12"/>
        </w:rPr>
      </w:pPr>
      <w:r>
        <w:rPr>
          <w:sz w:val="12"/>
          <w:szCs w:val="12"/>
        </w:rPr>
      </w:r>
    </w:p>
    <w:p>
      <w:pPr>
        <w:pStyle w:val="Normal"/>
        <w:ind w:left="0" w:right="0" w:hanging="0"/>
        <w:jc w:val="center"/>
        <w:rPr/>
      </w:pPr>
      <w:r>
        <w:rPr/>
        <w:drawing>
          <wp:inline distT="0" distB="0" distL="0" distR="0">
            <wp:extent cx="4963160" cy="3713480"/>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963160" cy="3713480"/>
                    </a:xfrm>
                    <a:prstGeom prst="rect">
                      <a:avLst/>
                    </a:prstGeom>
                  </pic:spPr>
                </pic:pic>
              </a:graphicData>
            </a:graphic>
          </wp:inline>
        </w:drawing>
      </w:r>
    </w:p>
    <w:p>
      <w:pPr>
        <w:pStyle w:val="Normal"/>
        <w:ind w:left="0" w:right="0" w:hanging="0"/>
        <w:jc w:val="center"/>
        <w:rPr/>
      </w:pPr>
      <w:r>
        <w:rPr/>
        <w:t xml:space="preserve">Рисунок </w:t>
      </w:r>
      <w:r>
        <w:rPr/>
        <w:t>13</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color w:val="000000"/>
        </w:rPr>
        <w:t>(где P</w:t>
      </w:r>
      <w:r>
        <w:rPr>
          <w:color w:val="000000"/>
          <w:vertAlign w:val="subscript"/>
        </w:rPr>
        <w:t>1</w:t>
      </w:r>
      <w:r>
        <w:rPr>
          <w:color w:val="000000"/>
        </w:rPr>
        <w:t>, P</w:t>
      </w:r>
      <w:r>
        <w:rPr>
          <w:color w:val="000000"/>
          <w:vertAlign w:val="subscript"/>
        </w:rPr>
        <w:t>2</w:t>
      </w:r>
      <w:r>
        <w:rPr>
          <w:color w:val="000000"/>
        </w:rPr>
        <w:t xml:space="preserve"> - тепловые потоки составляющих процессов;  P</w:t>
      </w:r>
      <w:r>
        <w:rPr>
          <w:color w:val="000000"/>
          <w:vertAlign w:val="subscript"/>
        </w:rPr>
        <w:t>Sum</w:t>
      </w:r>
      <w:r>
        <w:rPr>
          <w:color w:val="000000"/>
        </w:rPr>
        <w:t xml:space="preserve"> = P</w:t>
      </w:r>
      <w:r>
        <w:rPr>
          <w:color w:val="000000"/>
          <w:vertAlign w:val="subscript"/>
        </w:rPr>
        <w:t>1</w:t>
      </w:r>
      <w:r>
        <w:rPr>
          <w:color w:val="000000"/>
          <w:position w:val="0"/>
          <w:sz w:val="24"/>
          <w:sz w:val="24"/>
          <w:vertAlign w:val="baseline"/>
        </w:rPr>
        <w:t xml:space="preserve"> </w:t>
      </w:r>
      <w:r>
        <w:rPr>
          <w:color w:val="000000"/>
        </w:rPr>
        <w:t>+ P</w:t>
      </w:r>
      <w:r>
        <w:rPr>
          <w:color w:val="000000"/>
          <w:vertAlign w:val="subscript"/>
        </w:rPr>
        <w:t>2</w:t>
      </w:r>
      <w:r>
        <w:rPr>
          <w:color w:val="000000"/>
        </w:rPr>
        <w:t xml:space="preserve"> - суммарный тепловой поток;  P</w:t>
      </w:r>
      <w:r>
        <w:rPr>
          <w:color w:val="000000"/>
          <w:vertAlign w:val="subscript"/>
        </w:rPr>
        <w:t>Exp</w:t>
      </w:r>
      <w:r>
        <w:rPr>
          <w:color w:val="000000"/>
        </w:rPr>
        <w:t xml:space="preserve"> - экспериментальная кривая теплового потока)</w:t>
      </w:r>
    </w:p>
    <w:p>
      <w:pPr>
        <w:pStyle w:val="Normal"/>
        <w:tabs>
          <w:tab w:val="left" w:pos="225" w:leader="none"/>
          <w:tab w:val="left" w:pos="510" w:leader="none"/>
        </w:tabs>
        <w:spacing w:before="0" w:after="113"/>
        <w:ind w:left="720" w:right="0" w:hanging="0"/>
        <w:jc w:val="right"/>
        <w:rPr>
          <w:b/>
          <w:b/>
          <w:bCs/>
          <w:lang w:val="ru-RU" w:eastAsia="zh-CN" w:bidi="hi-IN"/>
        </w:rPr>
      </w:pPr>
      <w:r>
        <w:rPr>
          <w:b/>
          <w:bCs/>
          <w:lang w:val="ru-RU" w:eastAsia="zh-CN" w:bidi="hi-IN"/>
        </w:rPr>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 xml:space="preserve">Приложение </w:t>
      </w:r>
      <w:r>
        <w:rPr>
          <w:b/>
          <w:bCs/>
          <w:lang w:val="ru-RU" w:eastAsia="zh-CN" w:bidi="hi-IN"/>
        </w:rPr>
        <w:t>2s.</w:t>
      </w:r>
      <w:r>
        <w:rPr>
          <w:b/>
          <w:bCs/>
          <w:lang w:val="ru-RU" w:eastAsia="zh-CN" w:bidi="hi-IN"/>
        </w:rPr>
        <w:t xml:space="preserve">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5" descr=""/>
                    <pic:cNvPicPr>
                      <a:picLocks noChangeAspect="1" noChangeArrowheads="1"/>
                    </pic:cNvPicPr>
                  </pic:nvPicPr>
                  <pic:blipFill>
                    <a:blip r:embed="rId2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descr=""/>
                    <pic:cNvPicPr>
                      <a:picLocks noChangeAspect="1" noChangeArrowheads="1"/>
                    </pic:cNvPicPr>
                  </pic:nvPicPr>
                  <pic:blipFill>
                    <a:blip r:embed="rId3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7" descr=""/>
                    <pic:cNvPicPr>
                      <a:picLocks noChangeAspect="1" noChangeArrowheads="1"/>
                    </pic:cNvPicPr>
                  </pic:nvPicPr>
                  <pic:blipFill>
                    <a:blip r:embed="rId3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descr=""/>
                    <pic:cNvPicPr>
                      <a:picLocks noChangeAspect="1" noChangeArrowheads="1"/>
                    </pic:cNvPicPr>
                  </pic:nvPicPr>
                  <pic:blipFill>
                    <a:blip r:embed="rId32"/>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position w:val="0"/>
          <w:sz w:val="24"/>
          <w:sz w:val="24"/>
          <w:vertAlign w:val="baseline"/>
        </w:rPr>
        <w:t>О</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28"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1" descr=""/>
                    <pic:cNvPicPr>
                      <a:picLocks noChangeAspect="1" noChangeArrowheads="1"/>
                    </pic:cNvPicPr>
                  </pic:nvPicPr>
                  <pic:blipFill>
                    <a:blip r:embed="rId33"/>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1"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1"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2" descr=""/>
                    <pic:cNvPicPr>
                      <a:picLocks noChangeAspect="1" noChangeArrowheads="1"/>
                    </pic:cNvPicPr>
                  </pic:nvPicPr>
                  <pic:blipFill>
                    <a:blip r:embed="rId36"/>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pic:cNvPicPr>
                      <a:picLocks noChangeAspect="1" noChangeArrowheads="1"/>
                    </pic:cNvPicPr>
                  </pic:nvPicPr>
                  <pic:blipFill>
                    <a:blip r:embed="rId37"/>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3"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3"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5"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 descr=""/>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 descr=""/>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 xml:space="preserve">Приложение </w:t>
      </w:r>
      <w:r>
        <w:rPr>
          <w:b/>
          <w:bCs/>
          <w:lang w:val="ru-RU" w:eastAsia="zh-CN" w:bidi="hi-IN"/>
        </w:rPr>
        <w:t>3s</w:t>
      </w:r>
      <w:r>
        <w:rPr>
          <w:b/>
          <w:bCs/>
          <w:lang w:val="ru-RU" w:eastAsia="zh-CN" w:bidi="hi-IN"/>
        </w:rPr>
        <w:t>. LS-</w:t>
      </w:r>
      <w:r>
        <w:rPr>
          <w:b/>
          <w:bCs/>
          <w:lang w:val="ru-RU" w:eastAsia="zh-CN" w:bidi="hi-IN"/>
        </w:rPr>
        <w:t>MS</w:t>
      </w:r>
      <w:r>
        <w:rPr>
          <w:b/>
          <w:bCs/>
          <w:lang w:val="ru-RU" w:eastAsia="zh-CN" w:bidi="hi-IN"/>
        </w:rPr>
        <w:t xml:space="preserve"> Спектры продуктов разложения ДС</w:t>
      </w:r>
    </w:p>
    <w:p>
      <w:pPr>
        <w:pStyle w:val="Style20"/>
        <w:rPr/>
      </w:pPr>
      <w:r>
        <w:rPr/>
        <w:t xml:space="preserve">Исходные файлы спектров LS-MS находятся в каталоге </w:t>
      </w:r>
      <w:r>
        <w:rPr/>
        <w:t xml:space="preserve">- </w:t>
      </w:r>
      <w:r>
        <w:rPr>
          <w:b w:val="false"/>
          <w:bCs w:val="false"/>
          <w:i/>
          <w:iCs/>
          <w:u w:val="single"/>
        </w:rPr>
        <w:t>Supporting/LC-MS</w:t>
      </w:r>
      <w:r>
        <w:rPr/>
        <w:t>. Для просмотра и анализа файлов можно использовать свободное программное обеспечение OpenMS (</w:t>
      </w:r>
      <w:hyperlink r:id="rId43">
        <w:r>
          <w:rPr>
            <w:rStyle w:val="Style13"/>
          </w:rPr>
          <w:t>https://www.openms.de/</w:t>
        </w:r>
      </w:hyperlink>
      <w:r>
        <w:rPr/>
        <w:t xml:space="preserve">). </w:t>
      </w:r>
    </w:p>
    <w:p>
      <w:pPr>
        <w:pStyle w:val="Style20"/>
        <w:rPr/>
      </w:pPr>
      <w:r>
        <w:rPr/>
      </w:r>
    </w:p>
    <w:p>
      <w:pPr>
        <w:pStyle w:val="Normal"/>
        <w:tabs>
          <w:tab w:val="left" w:pos="0" w:leader="none"/>
        </w:tabs>
        <w:ind w:left="0" w:right="0" w:hanging="0"/>
        <w:jc w:val="center"/>
        <w:rPr>
          <w:b/>
          <w:b/>
          <w:bCs/>
        </w:rPr>
      </w:pPr>
      <w:r>
        <w:rPr>
          <w:b/>
          <w:bCs/>
        </w:rPr>
        <w:t xml:space="preserve">Приложение </w:t>
      </w:r>
      <w:r>
        <w:rPr>
          <w:b/>
          <w:bCs/>
        </w:rPr>
        <w:t>4s</w:t>
      </w:r>
      <w:r>
        <w:rPr>
          <w:b/>
          <w:bCs/>
        </w:rPr>
        <w:t>. Результаты квантовохимических расчетов</w:t>
      </w:r>
    </w:p>
    <w:p>
      <w:pPr>
        <w:pStyle w:val="Normal"/>
        <w:tabs>
          <w:tab w:val="left" w:pos="225" w:leader="none"/>
          <w:tab w:val="left" w:pos="510" w:leader="none"/>
        </w:tabs>
        <w:spacing w:before="0" w:after="113"/>
        <w:ind w:left="720" w:right="0" w:hanging="0"/>
        <w:rPr>
          <w:lang w:val="ru-RU" w:eastAsia="zh-CN" w:bidi="hi-IN"/>
        </w:rPr>
      </w:pPr>
      <w:r>
        <w:rPr>
          <w:lang w:val="ru-RU" w:eastAsia="zh-CN" w:bidi="hi-IN"/>
        </w:rPr>
        <w:t xml:space="preserve">Выходные файлы квантовохимических расчетов находятся в каталоге -  </w:t>
      </w:r>
      <w:r>
        <w:rPr>
          <w:i/>
          <w:iCs/>
          <w:u w:val="single"/>
          <w:lang w:val="ru-RU" w:eastAsia="zh-CN" w:bidi="hi-IN"/>
        </w:rPr>
        <w:t>Supporting/Quant/Out</w:t>
      </w:r>
      <w:r>
        <w:rPr>
          <w:lang w:val="ru-RU" w:eastAsia="zh-CN" w:bidi="hi-IN"/>
        </w:rPr>
        <w:t xml:space="preserve">. Оптимизированная геометрия - </w:t>
      </w:r>
      <w:r>
        <w:rPr>
          <w:i/>
          <w:iCs/>
          <w:u w:val="single"/>
          <w:lang w:val="ru-RU" w:eastAsia="zh-CN" w:bidi="hi-IN"/>
        </w:rPr>
        <w:t>Supporting/Quant/Mol</w:t>
      </w:r>
      <w:r>
        <w:rPr>
          <w:lang w:val="ru-RU" w:eastAsia="zh-CN" w:bidi="hi-IN"/>
        </w:rPr>
        <w:t>.</w:t>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4"/>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Calibri">
    <w:charset w:val="01"/>
    <w:family w:val="roman"/>
    <w:pitch w:val="variable"/>
  </w:font>
  <w:font w:name="Symbol">
    <w:charset w:val="01"/>
    <w:family w:val="roman"/>
    <w:pitch w:val="variable"/>
  </w:font>
  <w:font w:name="Free Times">
    <w:charset w:val="01"/>
    <w:family w:val="roman"/>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30</w:t>
    </w:r>
    <w:r>
      <w:fldChar w:fldCharType="end"/>
    </w:r>
    <w:r>
      <w:rPr/>
      <w:t xml:space="preserve"> от </w:t>
    </w:r>
    <w:r>
      <w:rPr/>
      <w:fldChar w:fldCharType="begin"/>
    </w:r>
    <w:r>
      <w:instrText> DATE \@"dd.MM.yy" </w:instrText>
    </w:r>
    <w:r>
      <w:fldChar w:fldCharType="separate"/>
    </w:r>
    <w:r>
      <w:t>07.12.18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ru-RU" w:eastAsia="ru-RU" w:bidi="ar-SA"/>
      </w:rPr>
    </w:rPrDefault>
    <w:pPrDefault>
      <w:pPr/>
    </w:pPrDefault>
  </w:docDefaults>
  <w:style w:type="paragraph" w:styleId="Normal">
    <w:name w:val="Normal"/>
    <w:qFormat/>
    <w:pPr>
      <w:widowControl/>
      <w:suppressAutoHyphens w:val="true"/>
      <w:kinsoku w:val="true"/>
      <w:overflowPunct w:val="false"/>
      <w:autoSpaceDE w:val="true"/>
      <w:bidi w:val="0"/>
      <w:spacing w:lineRule="auto" w:line="312"/>
      <w:ind w:left="0" w:right="0"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numPr>
        <w:ilvl w:val="0"/>
        <w:numId w:val="1"/>
      </w:numPr>
      <w:bidi w:val="0"/>
      <w:spacing w:before="170" w:after="113"/>
      <w:ind w:left="0" w:right="0" w:hanging="0"/>
      <w:jc w:val="left"/>
      <w:outlineLvl w:val="0"/>
      <w:outlineLvl w:val="0"/>
    </w:pPr>
    <w:rPr>
      <w:rFonts w:ascii="Liberation Sans" w:hAnsi="Liberation Sans"/>
      <w:b/>
      <w:bCs w:val="false"/>
      <w:caps/>
      <w:color w:val="669900"/>
      <w:sz w:val="28"/>
      <w:szCs w:val="36"/>
    </w:rPr>
  </w:style>
  <w:style w:type="paragraph" w:styleId="2">
    <w:name w:val="Heading 2"/>
    <w:basedOn w:val="Style19"/>
    <w:qFormat/>
    <w:pPr>
      <w:numPr>
        <w:ilvl w:val="1"/>
        <w:numId w:val="1"/>
      </w:numPr>
      <w:bidi w:val="0"/>
      <w:spacing w:before="113" w:after="57"/>
      <w:ind w:left="0" w:right="0" w:firstLine="397"/>
      <w:jc w:val="left"/>
      <w:outlineLvl w:val="1"/>
      <w:outlineLvl w:val="1"/>
    </w:pPr>
    <w:rPr>
      <w:b/>
      <w:bCs w:val="false"/>
      <w:sz w:val="24"/>
      <w:szCs w:val="32"/>
    </w:rPr>
  </w:style>
  <w:style w:type="paragraph" w:styleId="3">
    <w:name w:val="Heading 3"/>
    <w:basedOn w:val="Style19"/>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tyle18">
    <w:name w:val="Цитата"/>
    <w:qFormat/>
    <w:rPr>
      <w:i/>
      <w:iCs/>
    </w:rPr>
  </w:style>
  <w:style w:type="paragraph" w:styleId="Style19">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7">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widowControl/>
      <w:suppressAutoHyphens w:val="true"/>
      <w:bidi w:val="0"/>
      <w:spacing w:lineRule="auto" w:line="312"/>
      <w:ind w:left="0" w:right="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Rule="auto" w:line="240"/>
      <w:ind w:left="0" w:right="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false"/>
      <w:autoSpaceDE w:val="true"/>
      <w:bidi w:val="0"/>
      <w:spacing w:lineRule="auto" w:line="240"/>
      <w:ind w:left="0" w:right="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wmf"/><Relationship Id="rId30" Type="http://schemas.openxmlformats.org/officeDocument/2006/relationships/image" Target="media/image25.wmf"/><Relationship Id="rId31" Type="http://schemas.openxmlformats.org/officeDocument/2006/relationships/image" Target="media/image26.wmf"/><Relationship Id="rId32" Type="http://schemas.openxmlformats.org/officeDocument/2006/relationships/image" Target="media/image27.wmf"/><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wmf"/><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hyperlink" Target="https://www.openms.de/" TargetMode="Externa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441</TotalTime>
  <Application>LibreOffice/5.2.7.2$Linux_X86_64 LibreOffice_project/20m0$Build-2</Application>
  <Pages>30</Pages>
  <Words>5965</Words>
  <Characters>38803</Characters>
  <CharactersWithSpaces>44471</CharactersWithSpaces>
  <Paragraphs>504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2018-12-07T15:53:22Z</dcterms:modified>
  <cp:revision>678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