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3a,3b,3g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3a,3b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3a,3b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3a,3b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AMainText"/>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 w:type="dxa"/>
          <w:bottom w:w="0" w:type="dxa"/>
          <w:right w:w="108" w:type="dxa"/>
        </w:tblCellMar>
        <w:tblLook w:noVBand="0" w:val="0000" w:noHBand="0" w:lastColumn="0" w:firstColumn="0" w:lastRow="0" w:firstRow="0"/>
      </w:tblPr>
      <w:tblGrid>
        <w:gridCol w:w="2323"/>
        <w:gridCol w:w="866"/>
        <w:gridCol w:w="2081"/>
        <w:gridCol w:w="1"/>
        <w:gridCol w:w="769"/>
        <w:gridCol w:w="2053"/>
        <w:gridCol w:w="1267"/>
      </w:tblGrid>
      <w:tr>
        <w:trPr>
          <w:tblHeader w:val="true"/>
          <w:cantSplit w:val="true"/>
        </w:trPr>
        <w:tc>
          <w:tcPr>
            <w:tcW w:w="232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Diazonium salts</w:t>
            </w:r>
          </w:p>
        </w:tc>
        <w:tc>
          <w:tcPr>
            <w:tcW w:w="29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highlight w:val="darkYellow"/>
              </w:rPr>
              <w:t>Endothermic process</w:t>
            </w:r>
          </w:p>
        </w:tc>
        <w:tc>
          <w:tcPr>
            <w:tcW w:w="2823" w:type="dxa"/>
            <w:gridSpan w:val="3"/>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highlight w:val="darkYellow"/>
              </w:rPr>
              <w:t>Exothermic process</w:t>
            </w:r>
          </w:p>
        </w:tc>
        <w:tc>
          <w:tcPr>
            <w:tcW w:w="126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Mp, (° C)</w:t>
            </w:r>
          </w:p>
        </w:tc>
      </w:tr>
      <w:tr>
        <w:trPr>
          <w:tblHeader w:val="true"/>
          <w:cantSplit w:val="true"/>
        </w:trPr>
        <w:tc>
          <w:tcPr>
            <w:tcW w:w="232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highlight w:val="darkYellow"/>
              </w:rPr>
              <w:t>Т, ° C</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rFonts w:ascii="Symbol" w:hAnsi="Symbol"/>
                <w:sz w:val="16"/>
                <w:szCs w:val="16"/>
                <w:highlight w:val="darkYellow"/>
              </w:rPr>
              <w:t></w:t>
            </w:r>
            <w:r>
              <w:rPr>
                <w:highlight w:val="darkYellow"/>
              </w:rPr>
              <w:t>Н,</w:t>
            </w:r>
            <w:r>
              <w:rPr>
                <w:sz w:val="22"/>
                <w:szCs w:val="22"/>
                <w:highlight w:val="darkYellow"/>
              </w:rPr>
              <w:t xml:space="preserve"> J/g (kJ/mol)</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Т, ° C</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rFonts w:ascii="Symbol" w:hAnsi="Symbol"/>
                <w:sz w:val="16"/>
                <w:szCs w:val="16"/>
                <w:highlight w:val="darkYellow"/>
              </w:rPr>
              <w:t></w:t>
            </w:r>
            <w:r>
              <w:rPr>
                <w:highlight w:val="darkYellow"/>
              </w:rPr>
              <w:t>Н</w:t>
            </w:r>
            <w:r>
              <w:rPr>
                <w:sz w:val="22"/>
                <w:szCs w:val="22"/>
                <w:highlight w:val="darkYellow"/>
              </w:rPr>
              <w:t>, J/g (kJ/mol)</w:t>
            </w:r>
          </w:p>
        </w:tc>
        <w:tc>
          <w:tcPr>
            <w:tcW w:w="126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2-NO</w:t>
            </w:r>
            <w:r>
              <w:rPr>
                <w:szCs w:val="28"/>
                <w:highlight w:val="darkYellow"/>
                <w:vertAlign w:val="subscript"/>
              </w:rPr>
              <w:t>2</w:t>
            </w:r>
            <w:r>
              <w:rPr>
                <w:szCs w:val="28"/>
                <w:highlight w:val="darkYellow"/>
              </w:rPr>
              <w:t>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TfO</w:t>
            </w:r>
            <w:r>
              <w:rPr>
                <w:szCs w:val="28"/>
                <w:highlight w:val="darkYellow"/>
                <w:vertAlign w:val="superscript"/>
              </w:rPr>
              <w:t xml:space="preserve">- </w:t>
            </w:r>
            <w:bookmarkStart w:id="0" w:name="__DdeLink__2858_448124851"/>
            <w:r>
              <w:rPr>
                <w:szCs w:val="28"/>
                <w:highlight w:val="darkYellow"/>
              </w:rPr>
              <w:t xml:space="preserve">  </w:t>
            </w:r>
            <w:bookmarkEnd w:id="0"/>
            <w:r>
              <w:rPr>
                <w:b/>
                <w:szCs w:val="28"/>
                <w:highlight w:val="darkYellow"/>
              </w:rPr>
              <w:t>1a</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104.1</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73.49 (21.98)</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143.3</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szCs w:val="28"/>
                <w:highlight w:val="darkYellow"/>
              </w:rPr>
              <w:t>-753.4 (-225.3)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110</w:t>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3-NO</w:t>
            </w:r>
            <w:r>
              <w:rPr>
                <w:szCs w:val="28"/>
                <w:highlight w:val="darkYellow"/>
                <w:vertAlign w:val="subscript"/>
              </w:rPr>
              <w:t>2</w:t>
            </w:r>
            <w:r>
              <w:rPr>
                <w:szCs w:val="28"/>
                <w:highlight w:val="darkYellow"/>
              </w:rPr>
              <w:t>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TfO</w:t>
            </w:r>
            <w:r>
              <w:rPr>
                <w:szCs w:val="28"/>
                <w:highlight w:val="darkYellow"/>
                <w:vertAlign w:val="superscript"/>
              </w:rPr>
              <w:t>-</w:t>
            </w:r>
            <w:r>
              <w:rPr>
                <w:szCs w:val="28"/>
                <w:highlight w:val="darkYellow"/>
              </w:rPr>
              <w:t xml:space="preserve">  </w:t>
            </w:r>
            <w:r>
              <w:rPr>
                <w:b/>
                <w:szCs w:val="28"/>
                <w:highlight w:val="darkYellow"/>
              </w:rPr>
              <w:t>1b</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102.5</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43.6 (10.04)</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111.2</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szCs w:val="28"/>
                <w:highlight w:val="darkYellow"/>
              </w:rPr>
              <w:t>-840.4 (-251.3)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108-109</w:t>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4-NO</w:t>
            </w:r>
            <w:r>
              <w:rPr>
                <w:szCs w:val="28"/>
                <w:highlight w:val="darkYellow"/>
                <w:vertAlign w:val="subscript"/>
              </w:rPr>
              <w:t>2</w:t>
            </w:r>
            <w:r>
              <w:rPr>
                <w:szCs w:val="28"/>
                <w:highlight w:val="darkYellow"/>
              </w:rPr>
              <w:t>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TfO</w:t>
            </w:r>
            <w:r>
              <w:rPr>
                <w:szCs w:val="28"/>
                <w:highlight w:val="darkYellow"/>
                <w:vertAlign w:val="superscript"/>
              </w:rPr>
              <w:t>-</w:t>
            </w:r>
            <w:r>
              <w:rPr>
                <w:szCs w:val="28"/>
                <w:highlight w:val="darkYellow"/>
              </w:rPr>
              <w:t xml:space="preserve">  </w:t>
            </w:r>
            <w:r>
              <w:rPr>
                <w:b/>
                <w:szCs w:val="28"/>
                <w:highlight w:val="darkYellow"/>
              </w:rPr>
              <w:t>1c</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116.4</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szCs w:val="28"/>
                <w:highlight w:val="darkYellow"/>
              </w:rPr>
              <w:t>-219.9 (-65.7)</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104</w:t>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4-MeOС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TfO</w:t>
            </w:r>
            <w:r>
              <w:rPr>
                <w:szCs w:val="28"/>
                <w:highlight w:val="darkYellow"/>
                <w:vertAlign w:val="superscript"/>
              </w:rPr>
              <w:t>-</w:t>
            </w:r>
            <w:r>
              <w:rPr>
                <w:szCs w:val="28"/>
                <w:highlight w:val="darkYellow"/>
              </w:rPr>
              <w:t xml:space="preserve">  </w:t>
            </w:r>
            <w:r>
              <w:rPr>
                <w:b/>
                <w:szCs w:val="28"/>
                <w:highlight w:val="darkYellow"/>
              </w:rPr>
              <w:t>1d</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88.4</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102.2 (29.05)</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136.6</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szCs w:val="28"/>
                <w:highlight w:val="darkYellow"/>
              </w:rPr>
              <w:t>-328.9 (-93.5)</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94-97</w:t>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4-NO</w:t>
            </w:r>
            <w:r>
              <w:rPr>
                <w:szCs w:val="28"/>
                <w:highlight w:val="darkYellow"/>
                <w:vertAlign w:val="subscript"/>
              </w:rPr>
              <w:t>2</w:t>
            </w:r>
            <w:r>
              <w:rPr>
                <w:szCs w:val="28"/>
                <w:highlight w:val="darkYellow"/>
              </w:rPr>
              <w:t>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TsO</w:t>
            </w:r>
            <w:r>
              <w:rPr>
                <w:szCs w:val="28"/>
                <w:highlight w:val="darkYellow"/>
                <w:vertAlign w:val="superscript"/>
              </w:rPr>
              <w:t>-</w:t>
            </w:r>
            <w:r>
              <w:rPr>
                <w:szCs w:val="28"/>
                <w:highlight w:val="darkYellow"/>
              </w:rPr>
              <w:t xml:space="preserve">  </w:t>
            </w:r>
            <w:r>
              <w:rPr>
                <w:b/>
                <w:szCs w:val="28"/>
                <w:highlight w:val="darkYellow"/>
              </w:rPr>
              <w:t>2</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rPr>
                <w:highlight w:val="darkYellow"/>
              </w:rPr>
            </w:pPr>
            <w:r>
              <w:rPr>
                <w:szCs w:val="28"/>
                <w:highlight w:val="darkYellow"/>
              </w:rPr>
              <w:t>69.37</w:t>
            </w:r>
          </w:p>
          <w:p>
            <w:pPr>
              <w:pStyle w:val="TCTableBody"/>
              <w:spacing w:before="0" w:after="200"/>
              <w:rPr>
                <w:highlight w:val="darkYellow"/>
              </w:rPr>
            </w:pPr>
            <w:r>
              <w:rPr>
                <w:szCs w:val="28"/>
                <w:highlight w:val="darkYellow"/>
              </w:rPr>
              <w:t>146.6</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rPr>
                <w:highlight w:val="darkYellow"/>
              </w:rPr>
            </w:pPr>
            <w:r>
              <w:rPr>
                <w:szCs w:val="28"/>
                <w:highlight w:val="darkYellow"/>
              </w:rPr>
              <w:t>-24.47 (-7.8)</w:t>
            </w:r>
          </w:p>
          <w:p>
            <w:pPr>
              <w:pStyle w:val="TCTableBody"/>
              <w:spacing w:before="0" w:after="200"/>
              <w:rPr>
                <w:highlight w:val="darkYellow"/>
              </w:rPr>
            </w:pPr>
            <w:r>
              <w:rPr>
                <w:szCs w:val="28"/>
                <w:highlight w:val="darkYellow"/>
              </w:rPr>
              <w:t>-323.0 (-103.7)</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132</w:t>
            </w:r>
          </w:p>
        </w:tc>
      </w:tr>
      <w:tr>
        <w:trPr>
          <w:cantSplit w:val="true"/>
        </w:trPr>
        <w:tc>
          <w:tcPr>
            <w:tcW w:w="23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4-NO</w:t>
            </w:r>
            <w:r>
              <w:rPr>
                <w:szCs w:val="28"/>
                <w:highlight w:val="darkYellow"/>
                <w:vertAlign w:val="subscript"/>
              </w:rPr>
              <w:t>2</w:t>
            </w:r>
            <w:r>
              <w:rPr>
                <w:szCs w:val="28"/>
                <w:highlight w:val="darkYellow"/>
              </w:rPr>
              <w:t>С</w:t>
            </w:r>
            <w:r>
              <w:rPr>
                <w:szCs w:val="28"/>
                <w:highlight w:val="darkYellow"/>
                <w:vertAlign w:val="subscript"/>
              </w:rPr>
              <w:t>6</w:t>
            </w:r>
            <w:r>
              <w:rPr>
                <w:szCs w:val="28"/>
                <w:highlight w:val="darkYellow"/>
              </w:rPr>
              <w:t>H</w:t>
            </w:r>
            <w:r>
              <w:rPr>
                <w:szCs w:val="28"/>
                <w:highlight w:val="darkYellow"/>
                <w:vertAlign w:val="subscript"/>
              </w:rPr>
              <w:t>4</w:t>
            </w:r>
            <w:r>
              <w:rPr>
                <w:szCs w:val="28"/>
                <w:highlight w:val="darkYellow"/>
              </w:rPr>
              <w:t>N</w:t>
            </w:r>
            <w:r>
              <w:rPr>
                <w:szCs w:val="28"/>
                <w:highlight w:val="darkYellow"/>
                <w:vertAlign w:val="subscript"/>
              </w:rPr>
              <w:t>2</w:t>
            </w:r>
            <w:r>
              <w:rPr>
                <w:szCs w:val="28"/>
                <w:highlight w:val="darkYellow"/>
                <w:vertAlign w:val="superscript"/>
              </w:rPr>
              <w:t>+</w:t>
            </w:r>
            <w:r>
              <w:rPr>
                <w:szCs w:val="28"/>
                <w:highlight w:val="darkYellow"/>
              </w:rPr>
              <w:t xml:space="preserve"> BF</w:t>
            </w:r>
            <w:r>
              <w:rPr>
                <w:szCs w:val="28"/>
                <w:highlight w:val="darkYellow"/>
                <w:vertAlign w:val="subscript"/>
              </w:rPr>
              <w:t>4</w:t>
            </w:r>
            <w:r>
              <w:rPr>
                <w:szCs w:val="28"/>
                <w:highlight w:val="darkYellow"/>
                <w:vertAlign w:val="superscript"/>
              </w:rPr>
              <w:t>-</w:t>
            </w:r>
            <w:r>
              <w:rPr>
                <w:szCs w:val="28"/>
                <w:highlight w:val="darkYellow"/>
              </w:rPr>
              <w:t xml:space="preserve">  </w:t>
            </w:r>
            <w:r>
              <w:rPr>
                <w:b/>
                <w:szCs w:val="28"/>
                <w:highlight w:val="darkYellow"/>
              </w:rPr>
              <w:t>3</w:t>
            </w:r>
          </w:p>
        </w:tc>
        <w:tc>
          <w:tcPr>
            <w:tcW w:w="8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33.7</w:t>
            </w:r>
          </w:p>
        </w:tc>
        <w:tc>
          <w:tcPr>
            <w:tcW w:w="208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Pr>
          <w:p>
            <w:pPr>
              <w:pStyle w:val="TCTableBody"/>
              <w:spacing w:before="0" w:after="200"/>
              <w:rPr>
                <w:highlight w:val="darkYellow"/>
              </w:rPr>
            </w:pPr>
            <w:r>
              <w:rPr>
                <w:szCs w:val="28"/>
                <w:highlight w:val="darkYellow"/>
              </w:rPr>
              <w:t>617.3 (146.3)</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szCs w:val="28"/>
                <w:highlight w:val="darkYellow"/>
              </w:rPr>
              <w:t>146.5</w:t>
            </w:r>
          </w:p>
        </w:tc>
        <w:tc>
          <w:tcPr>
            <w:tcW w:w="2053" w:type="dxa"/>
            <w:tcBorders>
              <w:top w:val="single" w:sz="4" w:space="0" w:color="00000A"/>
              <w:left w:val="single" w:sz="4" w:space="0" w:color="00000A"/>
              <w:bottom w:val="single" w:sz="4" w:space="0" w:color="00000A"/>
              <w:insideH w:val="single" w:sz="4" w:space="0" w:color="00000A"/>
            </w:tcBorders>
            <w:shd w:color="auto" w:fill="FFFFFF" w:val="clear"/>
            <w:vAlign w:val="center"/>
          </w:tcPr>
          <w:p>
            <w:pPr>
              <w:pStyle w:val="TCTableBody"/>
              <w:spacing w:before="0" w:after="200"/>
              <w:rPr>
                <w:highlight w:val="darkYellow"/>
              </w:rPr>
            </w:pPr>
            <w:r>
              <w:rPr>
                <w:szCs w:val="28"/>
                <w:highlight w:val="darkYellow"/>
              </w:rPr>
              <w:t>-229.2 (-54.3)</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vAlign w:val="center"/>
          </w:tcPr>
          <w:p>
            <w:pPr>
              <w:pStyle w:val="TCTableBody"/>
              <w:spacing w:before="0" w:after="200"/>
              <w:rPr>
                <w:highlight w:val="darkYellow"/>
              </w:rPr>
            </w:pPr>
            <w:r>
              <w:rPr>
                <w:highlight w:val="darkYellow"/>
              </w:rPr>
              <w:t>144</w:t>
            </w:r>
          </w:p>
        </w:tc>
      </w:tr>
    </w:tbl>
    <w:p>
      <w:pPr>
        <w:pStyle w:val="TAMainText"/>
        <w:rPr/>
      </w:pPr>
      <w:r>
        <w:rPr/>
      </w:r>
    </w:p>
    <w:p>
      <w:pPr>
        <w:pStyle w:val="TAMainText"/>
        <w:rPr/>
      </w:pP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1a</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31" w:type="dxa"/>
        </w:tblCellMar>
        <w:tblLook w:noVBand="0" w:val="0000" w:noHBand="0" w:lastColumn="0" w:firstColumn="0" w:lastRow="0" w:firstRow="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bookmarkStart w:id="1" w:name="__DdeLink__8620_2955565741"/>
            <w:r>
              <w:rPr>
                <w:highlight w:val="yellow"/>
              </w:rPr>
              <w:t>k·10</w:t>
            </w:r>
            <w:r>
              <w:rPr>
                <w:highlight w:val="yellow"/>
                <w:vertAlign w:val="superscript"/>
              </w:rPr>
              <w:t>3</w:t>
            </w:r>
            <w:r>
              <w:rPr>
                <w:highlight w:val="yellow"/>
              </w:rPr>
              <w:t>, с</w:t>
            </w:r>
            <w:r>
              <w:rPr>
                <w:highlight w:val="yellow"/>
                <w:vertAlign w:val="superscript"/>
              </w:rPr>
              <w:t>-1</w:t>
            </w:r>
            <w:bookmarkEnd w:id="1"/>
          </w:p>
          <w:p>
            <w:pPr>
              <w:pStyle w:val="TCTableBody"/>
              <w:spacing w:before="0" w:after="200"/>
              <w:rPr>
                <w:strike/>
              </w:rPr>
            </w:pPr>
            <w:r>
              <w:rPr>
                <w:strike/>
              </w:rPr>
              <w:t>k, g·mol</w:t>
            </w:r>
            <w:r>
              <w:rPr>
                <w:strike/>
                <w:vertAlign w:val="superscript"/>
              </w:rPr>
              <w:t>-1</w:t>
            </w:r>
            <w:r>
              <w:rPr>
                <w:strike/>
              </w:rPr>
              <w:t>·с</w:t>
            </w:r>
            <w:r>
              <w:rPr>
                <w:strike/>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0.2726 ± 0.0364</w:t>
            </w:r>
          </w:p>
          <w:p>
            <w:pPr>
              <w:pStyle w:val="TCTableBody"/>
              <w:spacing w:before="0" w:after="200"/>
              <w:rPr>
                <w:strike/>
              </w:rPr>
            </w:pPr>
            <w:r>
              <w:rPr>
                <w:strike/>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0.2570 ± 0.0371</w:t>
            </w:r>
          </w:p>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0.2641 ± 0.0283</w:t>
            </w:r>
          </w:p>
          <w:p>
            <w:pPr>
              <w:pStyle w:val="TCTableBody"/>
              <w:spacing w:before="0" w:after="200"/>
              <w:rPr>
                <w:strike/>
              </w:rPr>
            </w:pPr>
            <w:r>
              <w:rPr>
                <w:strike/>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0.2528 ± 0.0333</w:t>
            </w:r>
          </w:p>
          <w:p>
            <w:pPr>
              <w:pStyle w:val="TCTableBody"/>
              <w:spacing w:before="0" w:after="200"/>
              <w:rPr>
                <w:strike/>
              </w:rPr>
            </w:pPr>
            <w:r>
              <w:rPr>
                <w:strike/>
              </w:rPr>
              <w:t>0.081162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0.3121 ± 0.0352</w:t>
            </w:r>
          </w:p>
          <w:p>
            <w:pPr>
              <w:pStyle w:val="TCTableBody"/>
              <w:spacing w:before="0" w:after="200"/>
              <w:rPr>
                <w:strike/>
              </w:rPr>
            </w:pPr>
            <w:r>
              <w:rPr>
                <w:strike/>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0.2610 ± 0.0184</w:t>
            </w:r>
          </w:p>
          <w:p>
            <w:pPr>
              <w:pStyle w:val="TCTableBody"/>
              <w:spacing w:before="0" w:after="200"/>
              <w:rPr>
                <w:strike/>
              </w:rPr>
            </w:pPr>
            <w:r>
              <w:rPr>
                <w:strike/>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0.2592 ± 0.0340</w:t>
            </w:r>
          </w:p>
          <w:p>
            <w:pPr>
              <w:pStyle w:val="TCTableBody"/>
              <w:spacing w:before="0" w:after="200"/>
              <w:rPr>
                <w:strike/>
              </w:rPr>
            </w:pPr>
            <w:r>
              <w:rPr>
                <w:strike/>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0.2610 ± 0.0492</w:t>
            </w:r>
          </w:p>
          <w:p>
            <w:pPr>
              <w:pStyle w:val="TCTableBody"/>
              <w:spacing w:before="0" w:after="200"/>
              <w:rPr>
                <w:strike/>
              </w:rPr>
            </w:pPr>
            <w:r>
              <w:rPr>
                <w:strike/>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0.2900 ± 0.0221</w:t>
            </w:r>
          </w:p>
          <w:p>
            <w:pPr>
              <w:pStyle w:val="TCTableBody"/>
              <w:spacing w:before="0" w:after="200"/>
              <w:rPr>
                <w:strike/>
              </w:rPr>
            </w:pPr>
            <w:r>
              <w:rPr>
                <w:strike/>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highlight w:val="yellow"/>
              </w:rPr>
            </w:pPr>
            <w:r>
              <w:rPr>
                <w:highlight w:val="yellow"/>
              </w:rPr>
              <w:t>0.2747 ± 0.0140</w:t>
            </w:r>
          </w:p>
          <w:p>
            <w:pPr>
              <w:pStyle w:val="TCTableBody"/>
              <w:spacing w:before="0" w:after="200"/>
              <w:rPr>
                <w:strike/>
              </w:rPr>
            </w:pPr>
            <w:r>
              <w:rPr>
                <w:strike/>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vAlign w:val="center"/>
          </w:tcPr>
          <w:p>
            <w:pPr>
              <w:pStyle w:val="TCTableBody"/>
              <w:spacing w:before="0" w:after="200"/>
              <w:rPr/>
            </w:pPr>
            <w:r>
              <w:rPr/>
              <w:t>13.8 ± 3.3</w:t>
            </w:r>
          </w:p>
        </w:tc>
      </w:tr>
    </w:tbl>
    <w:p>
      <w:pPr>
        <w:pStyle w:val="FETableFootnote"/>
        <w:jc w:val="center"/>
        <w:rPr>
          <w:highlight w:val="yellow"/>
        </w:rPr>
      </w:pPr>
      <w:r>
        <w:rPr>
          <w:highlight w:val="yellow"/>
        </w:rPr>
        <w:t xml:space="preserve">k – rate constant, </w:t>
      </w:r>
      <w:r>
        <w:rPr>
          <w:rFonts w:ascii="Symbol" w:hAnsi="Symbol"/>
          <w:sz w:val="16"/>
          <w:szCs w:val="16"/>
          <w:highlight w:val="yellow"/>
        </w:rPr>
        <w:t></w:t>
      </w:r>
      <w:r>
        <w:rPr>
          <w:highlight w:val="yellow"/>
        </w:rPr>
        <w:t>H - integral enthalpy, P</w:t>
      </w:r>
      <w:r>
        <w:rPr>
          <w:highlight w:val="yellow"/>
          <w:vertAlign w:val="subscript"/>
        </w:rPr>
        <w:t>0</w:t>
      </w:r>
      <w:r>
        <w:rPr>
          <w:highlight w:val="yellow"/>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bookmarkStart w:id="2" w:name="__DdeLink__5970_2617204280"/>
      <w:bookmarkEnd w:id="2"/>
      <w:r>
        <w:rPr>
          <w:b/>
        </w:rPr>
        <w:t>Table 3.</w:t>
      </w:r>
      <w:r>
        <w:rPr/>
        <w:t xml:space="preserve"> Integral enthalpy and maximum heat flow values found during isothermal decomposition of diazonium salts </w:t>
      </w:r>
      <w:r>
        <w:rPr>
          <w:b/>
        </w:rPr>
        <w:t>1-3</w:t>
      </w:r>
      <w:r>
        <w:rPr/>
        <w:t>.</w:t>
      </w:r>
    </w:p>
    <w:tbl>
      <w:tblPr>
        <w:tblW w:w="93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66.87</w:t>
            </w:r>
          </w:p>
        </w:tc>
      </w:tr>
    </w:tbl>
    <w:p>
      <w:pPr>
        <w:pStyle w:val="FETableFootnote"/>
        <w:jc w:val="center"/>
        <w:rPr/>
      </w:pPr>
      <w:r>
        <w:rPr>
          <w:rFonts w:eastAsia="Symbol" w:cs="Times"/>
          <w:sz w:val="18"/>
          <w:szCs w:val="16"/>
        </w:rPr>
        <w:t>∆</w:t>
      </w:r>
      <w:r>
        <w:rPr/>
        <w:t>H – integral enthalpy, P</w:t>
      </w:r>
      <w:r>
        <w:rPr>
          <w:vertAlign w:val="subscript"/>
        </w:rPr>
        <w:t>max</w:t>
      </w:r>
      <w:r>
        <w:rPr/>
        <w:t xml:space="preserve"> – maximum heat flow value</w:t>
      </w:r>
    </w:p>
    <w:p>
      <w:pPr>
        <w:pStyle w:val="TAMainText"/>
        <w:rPr/>
      </w:pPr>
      <w:bookmarkStart w:id="3" w:name="__DdeLink__5970_2617204280"/>
      <w:bookmarkEnd w:id="3"/>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w:t>
      </w:r>
      <w:r>
        <w:rPr>
          <w:bCs/>
          <w:highlight w:val="yellow"/>
        </w:rPr>
        <w:t xml:space="preserve">The following kinetic equation for </w:t>
      </w:r>
      <w:r>
        <w:rPr>
          <w:highlight w:val="yellow"/>
        </w:rPr>
        <w:t xml:space="preserve">autocatalytic reactions that was applied: </w:t>
      </w:r>
      <w:r>
        <w:rPr>
          <w:color w:val="127622"/>
          <w:highlight w:val="yellow"/>
        </w:rPr>
        <w:t xml:space="preserve"> </w:t>
      </w:r>
      <w:r>
        <w:rPr>
          <w:b/>
          <w:bCs/>
          <w:i/>
          <w:iCs/>
          <w:color w:val="auto"/>
          <w:sz w:val="28"/>
          <w:szCs w:val="28"/>
          <w:highlight w:val="yellow"/>
        </w:rPr>
        <w:t>a A </w:t>
      </w:r>
      <w:r>
        <w:rPr>
          <w:rFonts w:eastAsia="Liberation Serif" w:cs="Liberation Serif"/>
          <w:b/>
          <w:bCs/>
          <w:i/>
          <w:iCs/>
          <w:color w:val="auto"/>
          <w:sz w:val="28"/>
          <w:szCs w:val="28"/>
          <w:highlight w:val="yellow"/>
        </w:rPr>
        <w:t>→ </w:t>
      </w:r>
      <w:r>
        <w:rPr>
          <w:b/>
          <w:bCs/>
          <w:i/>
          <w:iCs/>
          <w:color w:val="auto"/>
          <w:sz w:val="28"/>
          <w:szCs w:val="28"/>
          <w:highlight w:val="yellow"/>
        </w:rPr>
        <w:t>c C</w:t>
      </w:r>
    </w:p>
    <w:p>
      <w:pPr>
        <w:pStyle w:val="TAMainText"/>
        <w:jc w:val="center"/>
        <w:rPr>
          <w:color w:val="auto"/>
          <w:highlight w:val="yellow"/>
        </w:rPr>
      </w:pPr>
      <w:r>
        <w:rPr/>
        <w:drawing>
          <wp:inline distT="0" distB="0" distL="0" distR="0">
            <wp:extent cx="3063875" cy="211455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tretch>
                      <a:fillRect/>
                    </a:stretch>
                  </pic:blipFill>
                  <pic:spPr bwMode="auto">
                    <a:xfrm>
                      <a:off x="0" y="0"/>
                      <a:ext cx="3063875" cy="2114550"/>
                    </a:xfrm>
                    <a:prstGeom prst="rect">
                      <a:avLst/>
                    </a:prstGeom>
                  </pic:spPr>
                </pic:pic>
              </a:graphicData>
            </a:graphic>
          </wp:inline>
        </w:drawing>
      </w:r>
      <w:r>
        <w:rPr>
          <w:color w:val="auto"/>
          <w:highlight w:val="yellow"/>
        </w:rPr>
        <w:t xml:space="preserve">   </w:t>
      </w:r>
      <w:r>
        <w:rPr>
          <w:rFonts w:eastAsia="Liberation Serif" w:cs="Liberation Serif"/>
          <w:color w:val="auto"/>
          <w:highlight w:val="yellow"/>
        </w:rPr>
        <w:t xml:space="preserve">    </w:t>
      </w:r>
    </w:p>
    <w:p>
      <w:pPr>
        <w:pStyle w:val="FDSchemeFootnote"/>
        <w:rPr/>
      </w:pPr>
      <w:r>
        <w:rPr>
          <w:color w:val="auto"/>
          <w:highlight w:val="yellow"/>
        </w:rPr>
        <w:t>Уравнение (2) – формальное кинетическое уравнение для реакций в твердой фазе [</w:t>
      </w:r>
      <w:hyperlink r:id="rId10">
        <w:r>
          <w:rPr>
            <w:rStyle w:val="Style11"/>
            <w:color w:val="auto"/>
            <w:highlight w:val="yellow"/>
          </w:rPr>
          <w:t>https://doi.org/10.1021/ie8018615</w:t>
        </w:r>
      </w:hyperlink>
      <w:r>
        <w:rPr>
          <w:color w:val="auto"/>
          <w:highlight w:val="yellow"/>
        </w:rPr>
        <w:t xml:space="preserve">], выраженное через conversion degree – </w:t>
      </w:r>
      <w:bookmarkStart w:id="4" w:name="MathJax-Span-17307"/>
      <w:bookmarkStart w:id="5" w:name="MathJax-Span-17306"/>
      <w:bookmarkStart w:id="6" w:name="MathJax-Span-17300"/>
      <w:bookmarkStart w:id="7" w:name="MathJax-Span-17299"/>
      <w:bookmarkStart w:id="8" w:name="MathJax-Element-621-Frame"/>
      <w:bookmarkEnd w:id="4"/>
      <w:bookmarkEnd w:id="5"/>
      <w:bookmarkEnd w:id="6"/>
      <w:bookmarkEnd w:id="7"/>
      <w:bookmarkEnd w:id="8"/>
      <w:r>
        <w:rPr>
          <w:rFonts w:ascii="MathJax Math" w:hAnsi="MathJax Math"/>
          <w:i/>
          <w:color w:val="auto"/>
          <w:highlight w:val="yellow"/>
        </w:rPr>
        <w:t xml:space="preserve">α </w:t>
      </w:r>
      <w:r>
        <w:rPr>
          <w:color w:val="auto"/>
          <w:highlight w:val="yellow"/>
        </w:rPr>
        <w:t xml:space="preserve">(уравнение 3).  </w:t>
      </w:r>
      <w:r>
        <w:rPr>
          <w:i/>
          <w:iCs/>
          <w:color w:val="auto"/>
          <w:highlight w:val="yellow"/>
        </w:rPr>
        <w:t>f</w:t>
      </w:r>
      <w:r>
        <w:rPr>
          <w:color w:val="auto"/>
          <w:highlight w:val="yellow"/>
        </w:rPr>
        <w:t>(</w:t>
      </w:r>
      <w:r>
        <w:rPr>
          <w:rFonts w:ascii="MathJax Math" w:hAnsi="MathJax Math"/>
          <w:i/>
          <w:color w:val="auto"/>
          <w:highlight w:val="yellow"/>
        </w:rPr>
        <w:t>α</w:t>
      </w:r>
      <w:r>
        <w:rPr>
          <w:color w:val="auto"/>
          <w:highlight w:val="yellow"/>
        </w:rPr>
        <w:t xml:space="preserve">) is the kinetic model in differential form (уравнение 4), кинетические кривые для исследуемых нами реакций лучше всего описывается уравнениями с </w:t>
      </w:r>
      <w:r>
        <w:rPr>
          <w:i/>
          <w:iCs/>
          <w:color w:val="auto"/>
          <w:highlight w:val="yellow"/>
        </w:rPr>
        <w:t>m</w:t>
      </w:r>
      <w:r>
        <w:rPr>
          <w:i w:val="false"/>
          <w:iCs w:val="false"/>
          <w:color w:val="auto"/>
          <w:highlight w:val="yellow"/>
        </w:rPr>
        <w:t>=1</w:t>
      </w:r>
      <w:r>
        <w:rPr>
          <w:color w:val="auto"/>
          <w:highlight w:val="yellow"/>
        </w:rPr>
        <w:t xml:space="preserve">, </w:t>
      </w:r>
      <w:r>
        <w:rPr>
          <w:i/>
          <w:iCs/>
          <w:color w:val="auto"/>
          <w:highlight w:val="yellow"/>
        </w:rPr>
        <w:t>n</w:t>
      </w:r>
      <w:r>
        <w:rPr>
          <w:i w:val="false"/>
          <w:iCs w:val="false"/>
          <w:color w:val="auto"/>
          <w:highlight w:val="yellow"/>
        </w:rPr>
        <w:t>=1</w:t>
      </w:r>
      <w:r>
        <w:rPr>
          <w:color w:val="auto"/>
          <w:highlight w:val="yellow"/>
        </w:rPr>
        <w:t xml:space="preserve">. </w:t>
      </w:r>
      <w:r>
        <w:rPr>
          <w:i/>
          <w:iCs/>
          <w:color w:val="auto"/>
          <w:highlight w:val="yellow"/>
        </w:rPr>
        <w:t>A</w:t>
      </w:r>
      <w:r>
        <w:rPr>
          <w:color w:val="auto"/>
          <w:highlight w:val="yellow"/>
          <w:vertAlign w:val="subscript"/>
        </w:rPr>
        <w:t>0</w:t>
      </w:r>
      <w:r>
        <w:rPr>
          <w:color w:val="auto"/>
          <w:position w:val="0"/>
          <w:sz w:val="24"/>
          <w:sz w:val="24"/>
          <w:highlight w:val="yellow"/>
          <w:vertAlign w:val="baseline"/>
        </w:rPr>
        <w:t xml:space="preserve">, </w:t>
      </w:r>
      <w:r>
        <w:rPr>
          <w:i/>
          <w:iCs/>
          <w:color w:val="auto"/>
          <w:position w:val="0"/>
          <w:sz w:val="24"/>
          <w:sz w:val="24"/>
          <w:highlight w:val="yellow"/>
          <w:vertAlign w:val="baseline"/>
        </w:rPr>
        <w:t>A</w:t>
      </w:r>
      <w:r>
        <w:rPr>
          <w:color w:val="auto"/>
          <w:highlight w:val="yellow"/>
        </w:rPr>
        <w:t xml:space="preserve"> – initial  and current concentration of DS, which for solid-phase reactions is measured in в mol/g units; </w:t>
      </w:r>
      <w:r>
        <w:rPr>
          <w:i/>
          <w:iCs/>
          <w:color w:val="auto"/>
          <w:highlight w:val="yellow"/>
        </w:rPr>
        <w:t>С</w:t>
      </w:r>
      <w:r>
        <w:rPr>
          <w:color w:val="auto"/>
          <w:highlight w:val="yellow"/>
          <w:vertAlign w:val="subscript"/>
        </w:rPr>
        <w:t>0</w:t>
      </w:r>
      <w:r>
        <w:rPr>
          <w:color w:val="auto"/>
          <w:highlight w:val="yellow"/>
        </w:rPr>
        <w:t xml:space="preserve">, </w:t>
      </w:r>
      <w:r>
        <w:rPr>
          <w:i/>
          <w:iCs/>
          <w:color w:val="auto"/>
          <w:highlight w:val="yellow"/>
        </w:rPr>
        <w:t>С</w:t>
      </w:r>
      <w:r>
        <w:rPr>
          <w:color w:val="auto"/>
          <w:highlight w:val="yellow"/>
        </w:rPr>
        <w:t xml:space="preserve"> – initial and current concentrations of products, [mol/g]; ; </w:t>
      </w:r>
      <w:r>
        <w:rPr>
          <w:i/>
          <w:iCs/>
          <w:color w:val="auto"/>
          <w:highlight w:val="yellow"/>
        </w:rPr>
        <w:t>k</w:t>
      </w:r>
      <w:r>
        <w:rPr>
          <w:color w:val="auto"/>
          <w:highlight w:val="yellow"/>
        </w:rPr>
        <w:t>– rate constant, [c</w:t>
      </w:r>
      <w:r>
        <w:rPr>
          <w:color w:val="auto"/>
          <w:highlight w:val="yellow"/>
          <w:vertAlign w:val="superscript"/>
        </w:rPr>
        <w:t>-1</w:t>
      </w:r>
      <w:r>
        <w:rPr>
          <w:color w:val="auto"/>
          <w:highlight w:val="yellow"/>
        </w:rPr>
        <w:t xml:space="preserve">]; </w:t>
      </w:r>
      <w:r>
        <w:rPr>
          <w:i/>
          <w:iCs/>
          <w:color w:val="auto"/>
          <w:highlight w:val="yellow"/>
        </w:rPr>
        <w:t>a</w:t>
      </w:r>
      <w:r>
        <w:rPr>
          <w:color w:val="auto"/>
          <w:highlight w:val="yellow"/>
        </w:rPr>
        <w:t xml:space="preserve">, </w:t>
      </w:r>
      <w:r>
        <w:rPr>
          <w:i/>
          <w:iCs/>
          <w:color w:val="auto"/>
          <w:highlight w:val="yellow"/>
        </w:rPr>
        <w:t>c</w:t>
      </w:r>
      <w:r>
        <w:rPr>
          <w:color w:val="auto"/>
          <w:highlight w:val="yellow"/>
        </w:rPr>
        <w:t xml:space="preserve"> - stoichiometric coefficients, for the processes studied </w:t>
      </w:r>
      <w:r>
        <w:rPr>
          <w:i/>
          <w:iCs/>
          <w:color w:val="auto"/>
          <w:highlight w:val="yellow"/>
        </w:rPr>
        <w:t>a</w:t>
      </w:r>
      <w:r>
        <w:rPr>
          <w:color w:val="auto"/>
          <w:highlight w:val="yellow"/>
        </w:rPr>
        <w:t>/</w:t>
      </w:r>
      <w:r>
        <w:rPr>
          <w:i/>
          <w:iCs/>
          <w:color w:val="auto"/>
          <w:highlight w:val="yellow"/>
        </w:rPr>
        <w:t>c</w:t>
      </w:r>
      <w:r>
        <w:rPr>
          <w:color w:val="auto"/>
          <w:highlight w:val="yellow"/>
        </w:rPr>
        <w:t xml:space="preserve">=1. Температурная зависимость скорости реакции выражается уравнением Аррениуса (5). </w:t>
      </w:r>
      <w:r>
        <w:rPr>
          <w:i/>
          <w:iCs/>
          <w:color w:val="auto"/>
          <w:highlight w:val="yellow"/>
        </w:rPr>
        <w:t>P</w:t>
      </w:r>
      <w:r>
        <w:rPr>
          <w:color w:val="auto"/>
          <w:highlight w:val="yellow"/>
        </w:rPr>
        <w:t xml:space="preserve">, </w:t>
      </w:r>
      <w:r>
        <w:rPr>
          <w:i/>
          <w:iCs/>
          <w:color w:val="auto"/>
          <w:highlight w:val="yellow"/>
        </w:rPr>
        <w:t>P</w:t>
      </w:r>
      <w:r>
        <w:rPr>
          <w:color w:val="auto"/>
          <w:highlight w:val="yellow"/>
          <w:vertAlign w:val="subscript"/>
        </w:rPr>
        <w:t>0</w:t>
      </w:r>
      <w:r>
        <w:rPr>
          <w:color w:val="auto"/>
          <w:highlight w:val="yellow"/>
        </w:rPr>
        <w:t xml:space="preserve"> – current and initial heat flow). Энтальпия реакции рассчитывается на основе интегрирования кривой аппроксимирующей тепловой поток (уравнение 6) на интервале времени (0; Inf); Период полураспада соответствует времени когда степень конверсии </w:t>
      </w:r>
      <w:r>
        <w:rPr>
          <w:rFonts w:ascii="MathJax Math" w:hAnsi="MathJax Math"/>
          <w:i/>
          <w:color w:val="auto"/>
          <w:highlight w:val="yellow"/>
        </w:rPr>
        <w:t>α</w:t>
      </w:r>
      <w:r>
        <w:rPr>
          <w:color w:val="auto"/>
          <w:highlight w:val="yellow"/>
        </w:rPr>
        <w:t xml:space="preserve">=0.5, в следствие симметричности аппроксимирующей кинетической кривой 4, время полураспада совпадает с достижении максимального теплового потока (в случае более сложной кинетики, этот правило не выполняется).    </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1"/>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highlight w:val="yellow"/>
              </w:rPr>
            </w:pPr>
            <w:r>
              <w:rPr>
                <w:highlight w:val="yellow"/>
              </w:rPr>
              <w:t>P</w:t>
            </w:r>
            <w:r>
              <w:rPr>
                <w:highlight w:val="yellow"/>
                <w:vertAlign w:val="subscript"/>
              </w:rPr>
              <w:t>0</w:t>
            </w:r>
            <w:r>
              <w:rPr>
                <w:highlight w:val="yellow"/>
              </w:rPr>
              <w:t>, mW/g</w:t>
            </w:r>
          </w:p>
          <w:p>
            <w:pPr>
              <w:pStyle w:val="TCTableBody"/>
              <w:spacing w:before="0" w:after="200"/>
              <w:rPr>
                <w:strike/>
              </w:rPr>
            </w:pPr>
            <w:r>
              <w:rPr>
                <w:strike/>
              </w:rPr>
              <w:t>P</w:t>
            </w:r>
            <w:r>
              <w:rPr>
                <w:strike/>
                <w:vertAlign w:val="subscript"/>
              </w:rPr>
              <w:t>0</w:t>
            </w:r>
            <w:r>
              <w:rPr>
                <w:strike/>
              </w:rPr>
              <w:t>, mW (uW)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k·10</w:t>
            </w:r>
            <w:r>
              <w:rPr>
                <w:strike w:val="false"/>
                <w:dstrike w:val="false"/>
                <w:highlight w:val="yellow"/>
                <w:vertAlign w:val="superscript"/>
              </w:rPr>
              <w:t>3</w:t>
            </w:r>
            <w:r>
              <w:rPr>
                <w:strike w:val="false"/>
                <w:dstrike w:val="false"/>
                <w:highlight w:val="yellow"/>
              </w:rPr>
              <w:t>, с</w:t>
            </w:r>
            <w:r>
              <w:rPr>
                <w:strike w:val="false"/>
                <w:dstrike w:val="false"/>
                <w:highlight w:val="yellow"/>
                <w:vertAlign w:val="superscript"/>
              </w:rPr>
              <w:t>-1</w:t>
            </w:r>
          </w:p>
          <w:p>
            <w:pPr>
              <w:pStyle w:val="TCTableBody"/>
              <w:spacing w:before="0" w:after="200"/>
              <w:rPr>
                <w:strike/>
              </w:rPr>
            </w:pPr>
            <w:r>
              <w:rPr>
                <w:strike/>
              </w:rPr>
              <w:t>k, g mol</w:t>
            </w:r>
            <w:r>
              <w:rPr>
                <w:strike/>
                <w:vertAlign w:val="superscript"/>
              </w:rPr>
              <w:t>-1</w:t>
            </w:r>
            <w:r>
              <w:rPr>
                <w:strike/>
              </w:rPr>
              <w:t xml:space="preserve"> с</w:t>
            </w:r>
            <w:r>
              <w:rPr>
                <w:strike/>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40.6</w:t>
            </w:r>
          </w:p>
          <w:p>
            <w:pPr>
              <w:pStyle w:val="TCTableBody"/>
              <w:spacing w:before="0" w:after="200"/>
              <w:rPr>
                <w:strike/>
              </w:rPr>
            </w:pPr>
            <w:r>
              <w:rPr>
                <w:strike/>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88.2</w:t>
            </w:r>
          </w:p>
          <w:p>
            <w:pPr>
              <w:pStyle w:val="TCTableBody"/>
              <w:spacing w:before="0" w:after="200"/>
              <w:rPr>
                <w:strike/>
              </w:rPr>
            </w:pPr>
            <w:r>
              <w:rPr>
                <w:strike/>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147.0</w:t>
            </w:r>
          </w:p>
          <w:p>
            <w:pPr>
              <w:pStyle w:val="TCTableBody"/>
              <w:spacing w:before="0" w:after="200"/>
              <w:rPr>
                <w:strike/>
              </w:rPr>
            </w:pPr>
            <w:r>
              <w:rPr>
                <w:strike/>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0.94</w:t>
            </w:r>
          </w:p>
          <w:p>
            <w:pPr>
              <w:pStyle w:val="TCTableBody"/>
              <w:spacing w:before="0" w:after="200"/>
              <w:rPr>
                <w:strike/>
              </w:rPr>
            </w:pPr>
            <w:r>
              <w:rPr>
                <w:strike/>
              </w:rPr>
              <w:t>0.094</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11.0</w:t>
            </w:r>
          </w:p>
          <w:p>
            <w:pPr>
              <w:pStyle w:val="TCTableBody"/>
              <w:spacing w:before="0" w:after="200"/>
              <w:rPr>
                <w:strike/>
              </w:rPr>
            </w:pPr>
            <w:r>
              <w:rPr>
                <w:strike/>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44.6</w:t>
            </w:r>
          </w:p>
          <w:p>
            <w:pPr>
              <w:pStyle w:val="TCTableBody"/>
              <w:spacing w:before="0" w:after="200"/>
              <w:rPr>
                <w:strike/>
              </w:rPr>
            </w:pPr>
            <w:r>
              <w:rPr>
                <w:strike/>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9.0</w:t>
            </w:r>
          </w:p>
          <w:p>
            <w:pPr>
              <w:pStyle w:val="TCTableBody"/>
              <w:spacing w:before="0" w:after="200"/>
              <w:rPr>
                <w:strike/>
              </w:rPr>
            </w:pPr>
            <w:r>
              <w:rPr>
                <w:strike/>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13.1</w:t>
            </w:r>
          </w:p>
          <w:p>
            <w:pPr>
              <w:pStyle w:val="TCTableBody"/>
              <w:spacing w:before="0" w:after="200"/>
              <w:rPr>
                <w:strike/>
              </w:rPr>
            </w:pPr>
            <w:r>
              <w:rPr>
                <w:strike/>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48.4</w:t>
            </w:r>
          </w:p>
          <w:p>
            <w:pPr>
              <w:pStyle w:val="TCTableBody"/>
              <w:spacing w:before="0" w:after="200"/>
              <w:rPr>
                <w:strike/>
              </w:rPr>
            </w:pPr>
            <w:r>
              <w:rPr>
                <w:strike/>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14.78</w:t>
            </w:r>
          </w:p>
          <w:p>
            <w:pPr>
              <w:pStyle w:val="TCTableBody"/>
              <w:spacing w:before="0" w:after="200"/>
              <w:rPr>
                <w:strike/>
              </w:rPr>
            </w:pPr>
            <w:r>
              <w:rPr>
                <w:strike/>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32.00</w:t>
            </w:r>
          </w:p>
          <w:p>
            <w:pPr>
              <w:pStyle w:val="TCTableBody"/>
              <w:spacing w:before="0" w:after="200"/>
              <w:rPr>
                <w:strike/>
              </w:rPr>
            </w:pPr>
            <w:r>
              <w:rPr>
                <w:strike/>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113.8</w:t>
            </w:r>
          </w:p>
          <w:p>
            <w:pPr>
              <w:pStyle w:val="TCTableBody"/>
              <w:spacing w:before="0" w:after="200"/>
              <w:rPr>
                <w:strike/>
              </w:rPr>
            </w:pPr>
            <w:r>
              <w:rPr>
                <w:strike/>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19.57</w:t>
            </w:r>
          </w:p>
          <w:p>
            <w:pPr>
              <w:pStyle w:val="TCTableBody"/>
              <w:spacing w:before="0" w:after="200"/>
              <w:rPr>
                <w:strike/>
              </w:rPr>
            </w:pPr>
            <w:r>
              <w:rPr>
                <w:strike/>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27.5</w:t>
            </w:r>
          </w:p>
          <w:p>
            <w:pPr>
              <w:pStyle w:val="TCTableBody"/>
              <w:spacing w:before="0" w:after="200"/>
              <w:rPr>
                <w:strike/>
              </w:rPr>
            </w:pPr>
            <w:r>
              <w:rPr>
                <w:strike/>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41.5</w:t>
            </w:r>
          </w:p>
          <w:p>
            <w:pPr>
              <w:pStyle w:val="TCTableBody"/>
              <w:spacing w:before="0" w:after="200"/>
              <w:rPr>
                <w:strike/>
              </w:rPr>
            </w:pPr>
            <w:r>
              <w:rPr>
                <w:strike/>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392.4</w:t>
            </w:r>
          </w:p>
          <w:p>
            <w:pPr>
              <w:pStyle w:val="TCTableBody"/>
              <w:spacing w:before="0" w:after="200"/>
              <w:rPr>
                <w:strike/>
              </w:rPr>
            </w:pPr>
            <w:r>
              <w:rPr>
                <w:strike/>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896.0</w:t>
            </w:r>
          </w:p>
          <w:p>
            <w:pPr>
              <w:pStyle w:val="TCTableBody"/>
              <w:spacing w:before="0" w:after="200"/>
              <w:rPr>
                <w:strike/>
              </w:rPr>
            </w:pPr>
            <w:r>
              <w:rPr>
                <w:strike/>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1804.2</w:t>
            </w:r>
          </w:p>
          <w:p>
            <w:pPr>
              <w:pStyle w:val="TCTableBody"/>
              <w:spacing w:before="0" w:after="200"/>
              <w:rPr>
                <w:strike/>
              </w:rPr>
            </w:pPr>
            <w:r>
              <w:rPr>
                <w:strike/>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rFonts w:cs="Liberation Serif"/>
                <w:strike/>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strike/>
              </w:rPr>
            </w:pPr>
            <w:r>
              <w:rPr>
                <w:strike/>
              </w:rPr>
              <w:t>0.0721</w:t>
            </w:r>
          </w:p>
        </w:tc>
      </w:tr>
    </w:tbl>
    <w:p>
      <w:pPr>
        <w:pStyle w:val="TAMainText"/>
        <w:rPr>
          <w:color w:val="000000"/>
        </w:rPr>
      </w:pPr>
      <w:r>
        <w:rPr>
          <w:color w:val="000000"/>
        </w:rPr>
      </w:r>
    </w:p>
    <w:p>
      <w:pPr>
        <w:pStyle w:val="TAMainText"/>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2"/>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strike w:val="false"/>
                <w:dstrike w:val="false"/>
              </w:rPr>
            </w:pPr>
            <w:r>
              <w:rPr>
                <w:strike w:val="false"/>
                <w:dstrike w:val="false"/>
                <w:highlight w:val="yellow"/>
              </w:rPr>
              <w:t>.</w:t>
            </w:r>
          </w:p>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vAlign w:val="center"/>
          </w:tcPr>
          <w:p>
            <w:pPr>
              <w:pStyle w:val="TCTableBody"/>
              <w:spacing w:before="0" w:after="200"/>
              <w:rPr>
                <w:strike w:val="false"/>
                <w:dstrike w:val="false"/>
                <w:highlight w:val="yellow"/>
              </w:rPr>
            </w:pPr>
            <w:r>
              <w:rPr>
                <w:strike w:val="false"/>
                <w:dstrike w:val="false"/>
                <w:highlight w:val="yellow"/>
              </w:rPr>
              <w:t>.</w:t>
            </w:r>
          </w:p>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vAlign w:val="center"/>
          </w:tcPr>
          <w:p>
            <w:pPr>
              <w:pStyle w:val="TCTableBody"/>
              <w:spacing w:before="0" w:after="200"/>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FETableFootnote"/>
        <w:rPr/>
      </w:pPr>
      <w:r>
        <w:rPr/>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4"/>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5"/>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6"/>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9" w:name="__DdeLink__3850_1463606234"/>
      <w:r>
        <w:rPr>
          <w:bCs/>
        </w:rPr>
        <w:t>Scheme</w:t>
      </w:r>
      <w:bookmarkEnd w:id="9"/>
      <w:r>
        <w:rPr>
          <w:bCs/>
        </w:rPr>
        <w:t xml:space="preserve"> 1).</w:t>
      </w:r>
    </w:p>
    <w:p>
      <w:pPr>
        <w:pStyle w:val="TAMainText"/>
        <w:jc w:val="center"/>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7"/>
                    <a:stretch>
                      <a:fillRect/>
                    </a:stretch>
                  </pic:blipFill>
                  <pic:spPr bwMode="auto">
                    <a:xfrm>
                      <a:off x="0" y="0"/>
                      <a:ext cx="4448175" cy="749935"/>
                    </a:xfrm>
                    <a:prstGeom prst="rect">
                      <a:avLst/>
                    </a:prstGeom>
                  </pic:spPr>
                </pic:pic>
              </a:graphicData>
            </a:graphic>
          </wp:inline>
        </w:drawing>
      </w:r>
    </w:p>
    <w:p>
      <w:pPr>
        <w:pStyle w:val="VCSchemeTitle"/>
        <w:rPr/>
      </w:pPr>
      <w:r>
        <w:rPr>
          <w:b/>
        </w:rPr>
        <w:t>Scheme 1.</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2.</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8"/>
                    <a:stretch>
                      <a:fillRect/>
                    </a:stretch>
                  </pic:blipFill>
                  <pic:spPr bwMode="auto">
                    <a:xfrm>
                      <a:off x="0" y="0"/>
                      <a:ext cx="4014470" cy="1861820"/>
                    </a:xfrm>
                    <a:prstGeom prst="rect">
                      <a:avLst/>
                    </a:prstGeom>
                  </pic:spPr>
                </pic:pic>
              </a:graphicData>
            </a:graphic>
          </wp:inline>
        </w:drawing>
      </w:r>
    </w:p>
    <w:p>
      <w:pPr>
        <w:pStyle w:val="VCSchemeTitle"/>
        <w:rPr/>
      </w:pPr>
      <w:r>
        <w:rPr>
          <w:b/>
        </w:rPr>
        <w:t>Scheme 2.</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2.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1).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0" w:type="dxa"/>
        </w:tblCellMar>
        <w:tblLook w:noVBand="0" w:val="000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Pr>
          <w:p>
            <w:pPr>
              <w:pStyle w:val="TCTableBody"/>
              <w:spacing w:before="0" w:after="200"/>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CTableBody"/>
              <w:spacing w:before="0" w:after="200"/>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2)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 xml:space="preserve">are can be found in (Deconvolution.pdf). </w:t>
      </w:r>
      <w:r>
        <w:rPr>
          <w:bCs/>
          <w:highlight w:val="yellow"/>
        </w:rPr>
        <w:t>Results of quantum chemical calculations are can be found in (Diazo-Quant.zip).</w:t>
      </w:r>
    </w:p>
    <w:p>
      <w:pPr>
        <w:pStyle w:val="TESupportingInformation"/>
        <w:rPr/>
      </w:pPr>
      <w:r>
        <w:rPr/>
        <w:t xml:space="preserve">Results of quantum-chemical calculations </w:t>
      </w:r>
      <w:r>
        <w:rPr>
          <w:bCs/>
        </w:rPr>
        <w:t>are can be found in (Diazo-Quant.zip)</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10" w:name="__DdeLink__14103_2062433773"/>
      <w:r>
        <w:rPr/>
        <w:t>Alexander.A.Bondarev</w:t>
      </w:r>
      <w:bookmarkEnd w:id="10"/>
      <w:r>
        <w:rPr/>
        <w:t>@gmail.com</w:t>
      </w:r>
    </w:p>
    <w:p>
      <w:pPr>
        <w:pStyle w:val="FAAuthorInfoSubtitle"/>
        <w:rPr/>
      </w:pPr>
      <w:r>
        <w:rPr/>
        <w:t>ORCID</w:t>
      </w:r>
    </w:p>
    <w:p>
      <w:pPr>
        <w:pStyle w:val="FAAuthorInfoSubtitle"/>
        <w:rPr/>
      </w:pPr>
      <w:r>
        <w:rPr>
          <w:b w:val="false"/>
        </w:rPr>
        <w:t>Prof. Victor D. Filimonov: 0000-0003-4729-8871</w:t>
      </w:r>
    </w:p>
    <w:p>
      <w:pPr>
        <w:pStyle w:val="FAAuthorInfoSubtitle"/>
        <w:rPr/>
      </w:pPr>
      <w:r>
        <w:rPr>
          <w:b w:val="false"/>
        </w:rPr>
        <w:t>Ksenia S. Stankevich: 0000-0002-6701-7582</w:t>
      </w:r>
    </w:p>
    <w:p>
      <w:pPr>
        <w:pStyle w:val="FAAuthorInfoSubtitle"/>
        <w:rPr/>
      </w:pPr>
      <w:r>
        <w:rPr>
          <w:b w:val="false"/>
        </w:rPr>
        <w:t>Assia Zh. Kassanova: 0000-0002-9563-5521</w:t>
      </w:r>
    </w:p>
    <w:p>
      <w:pPr>
        <w:pStyle w:val="FAAuthorInfoSubtitle"/>
        <w:rPr/>
      </w:pPr>
      <w:r>
        <w:rPr>
          <w:b w:val="false"/>
        </w:rPr>
        <w:t>Alexander A. Bondarev: 0000-0002-8707-2394</w:t>
      </w:r>
    </w:p>
    <w:p>
      <w:pPr>
        <w:pStyle w:val="FAAuthorInfoSubtitle"/>
        <w:rPr/>
      </w:pPr>
      <w:r>
        <w:rPr>
          <w:b w:val="false"/>
        </w:rPr>
        <w:t>Evgeny V. Naumov: 0000-0002-9109-1109</w:t>
      </w:r>
    </w:p>
    <w:p>
      <w:pPr>
        <w:pStyle w:val="FAAuthorInfoSubtitle"/>
        <w:rPr/>
      </w:pPr>
      <w:r>
        <w:rPr/>
        <w:t>Present Addresses</w:t>
      </w:r>
    </w:p>
    <w:p>
      <w:pPr>
        <w:pStyle w:val="StyleFACorrespondingAuthorFootnote7pt"/>
        <w:spacing w:lineRule="auto" w:line="480" w:before="0" w:after="240"/>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11" w:name="__DdeLink__3470_24425287"/>
      <w:bookmarkEnd w:id="11"/>
      <w:r>
        <w:rPr>
          <w:b/>
          <w:bCs/>
        </w:rPr>
        <w:t>ACKNOWLEDGMENT</w:t>
      </w:r>
    </w:p>
    <w:p>
      <w:pPr>
        <w:pStyle w:val="TDAcknowledgments"/>
        <w:spacing w:before="0" w:after="240"/>
        <w:jc w:val="left"/>
        <w:rPr/>
      </w:pPr>
      <w:bookmarkStart w:id="12" w:name="_GoBack"/>
      <w:bookmarkEnd w:id="12"/>
      <w:r>
        <w:rPr/>
        <w:t>The research was funded by RFBR grant 17-03-01097.</w:t>
      </w:r>
    </w:p>
    <w:p>
      <w:pPr>
        <w:pStyle w:val="Normal"/>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9">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20">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1">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2">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3">
        <w:r>
          <w:rPr>
            <w:rStyle w:val="Style11"/>
            <w:rFonts w:ascii="FreeSerif" w:hAnsi="FreeSerif"/>
          </w:rPr>
          <w:t>https://doi.org/10.1002/chem.201404348</w:t>
        </w:r>
      </w:hyperlink>
      <w:r>
        <w:rPr>
          <w:rFonts w:ascii="FreeSerif" w:hAnsi="FreeSerif"/>
        </w:rPr>
        <w:t xml:space="preserve">. (g) </w:t>
      </w:r>
      <w:r>
        <w:rPr>
          <w:rFonts w:ascii="FreeSerif" w:hAnsi="FreeSerif"/>
          <w:highlight w:val="yellow"/>
        </w:rPr>
        <w:t xml:space="preserve">Idowu, O.S.; Kolawole, A.O.; Abegoke, O.A.; Kolade, Y.T.; Fasanmade, A.A.; Olaniyi, A.A. </w:t>
      </w:r>
      <w:r>
        <w:rPr>
          <w:rFonts w:ascii="FreeSerif" w:hAnsi="FreeSerif"/>
          <w:i/>
          <w:highlight w:val="yellow"/>
        </w:rPr>
        <w:t>J. AOAC International</w:t>
      </w:r>
      <w:r>
        <w:rPr>
          <w:rFonts w:ascii="FreeSerif" w:hAnsi="FreeSerif"/>
          <w:highlight w:val="yellow"/>
        </w:rPr>
        <w:t xml:space="preserve"> </w:t>
      </w:r>
      <w:r>
        <w:rPr>
          <w:rFonts w:ascii="FreeSerif" w:hAnsi="FreeSerif"/>
          <w:b/>
          <w:highlight w:val="yellow"/>
        </w:rPr>
        <w:t>2005</w:t>
      </w:r>
      <w:r>
        <w:rPr>
          <w:rFonts w:ascii="FreeSerif" w:hAnsi="FreeSerif"/>
          <w:highlight w:val="yellow"/>
        </w:rPr>
        <w:t xml:space="preserve">, </w:t>
      </w:r>
      <w:r>
        <w:rPr>
          <w:rFonts w:ascii="FreeSerif" w:hAnsi="FreeSerif"/>
          <w:i/>
          <w:highlight w:val="yellow"/>
        </w:rPr>
        <w:t>88</w:t>
      </w:r>
      <w:r>
        <w:rPr>
          <w:rFonts w:ascii="FreeSerif" w:hAnsi="FreeSerif"/>
          <w:highlight w:val="yellow"/>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4">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5">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6">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7">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8">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9">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30">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1">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2">
        <w:r>
          <w:rPr>
            <w:rStyle w:val="Style11"/>
            <w:rFonts w:ascii="FreeSerif" w:hAnsi="FreeSerif"/>
          </w:rPr>
          <w:t>https://doi.org/10.1021/jo00835a032</w:t>
        </w:r>
      </w:hyperlink>
      <w:r>
        <w:rPr>
          <w:rFonts w:ascii="FreeSerif" w:hAnsi="FreeSerif"/>
        </w:rPr>
        <w:t>.</w:t>
      </w:r>
    </w:p>
    <w:p>
      <w:pPr>
        <w:pStyle w:val="TFReferencesSection"/>
        <w:numPr>
          <w:ilvl w:val="0"/>
          <w:numId w:val="3"/>
        </w:numPr>
        <w:ind w:left="1020" w:hanging="454"/>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3">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4">
        <w:r>
          <w:rPr>
            <w:rStyle w:val="Style11"/>
            <w:rFonts w:ascii="FreeSerif" w:hAnsi="FreeSerif"/>
          </w:rPr>
          <w:t>https://doi.org/10.1002/ejoc.201800887</w:t>
        </w:r>
      </w:hyperlink>
      <w:r>
        <w:rPr>
          <w:rFonts w:ascii="FreeSerif" w:hAnsi="FreeSerif"/>
        </w:rPr>
        <w:t>.</w:t>
      </w:r>
    </w:p>
    <w:p>
      <w:pPr>
        <w:pStyle w:val="TFReferencesSection"/>
        <w:numPr>
          <w:ilvl w:val="0"/>
          <w:numId w:val="3"/>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5">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6">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7">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8">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9">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40">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1">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2">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3">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4">
        <w:r>
          <w:rPr>
            <w:rStyle w:val="Style11"/>
            <w:rFonts w:ascii="FreeSerif" w:hAnsi="FreeSerif"/>
          </w:rPr>
          <w:t>https://doi.org/10.5012/BKCS.2011.32.8.2970</w:t>
        </w:r>
      </w:hyperlink>
      <w:r>
        <w:rPr>
          <w:rFonts w:ascii="FreeSerif" w:hAnsi="FreeSerif"/>
        </w:rPr>
        <w:t>.</w:t>
      </w:r>
    </w:p>
    <w:p>
      <w:pPr>
        <w:pStyle w:val="TFReferencesSection"/>
        <w:numPr>
          <w:ilvl w:val="0"/>
          <w:numId w:val="3"/>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5">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6">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7">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8">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9">
        <w:r>
          <w:rPr>
            <w:rStyle w:val="Style11"/>
            <w:rFonts w:ascii="FreeSerif" w:hAnsi="FreeSerif"/>
            <w:color w:val="00000A"/>
          </w:rPr>
          <w:t>https://doi.org/10.1039/c3cc42591f</w:t>
        </w:r>
      </w:hyperlink>
      <w:r>
        <w:rPr>
          <w:rFonts w:ascii="FreeSerif" w:hAnsi="FreeSerif"/>
        </w:rPr>
        <w:t>.</w:t>
      </w:r>
    </w:p>
    <w:p>
      <w:pPr>
        <w:pStyle w:val="TFReferencesSection"/>
        <w:numPr>
          <w:ilvl w:val="0"/>
          <w:numId w:val="3"/>
        </w:numPr>
        <w:ind w:left="1020" w:hanging="454"/>
        <w:rPr/>
      </w:pPr>
      <w:hyperlink r:id="rId50">
        <w:r>
          <w:rPr>
            <w:rStyle w:val="Style11"/>
            <w:rFonts w:eastAsia="Calibri" w:cs="Calibri" w:ascii="FreeSerif" w:hAnsi="FreeSerif"/>
            <w:color w:val="0000FF"/>
          </w:rPr>
          <w:t>http://www.unece.org/trans/danger/danger.html</w:t>
        </w:r>
      </w:hyperlink>
    </w:p>
    <w:p>
      <w:pPr>
        <w:pStyle w:val="TFReferencesSection"/>
        <w:numPr>
          <w:ilvl w:val="0"/>
          <w:numId w:val="3"/>
        </w:numPr>
        <w:rPr/>
      </w:pPr>
      <w:r>
        <w:rPr>
          <w:rFonts w:ascii="FreeSerif" w:hAnsi="FreeSerif"/>
        </w:rPr>
        <w:t xml:space="preserve">(a) Ullrich, R.; Grewer, T. Decomposition of Aromatic Diazonium Compounds. Thermochimica Acta 1993, 225 (2), 201–211. </w:t>
      </w:r>
      <w:hyperlink r:id="rId51">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2">
        <w:r>
          <w:rPr>
            <w:rStyle w:val="Style11"/>
            <w:rFonts w:ascii="FreeSerif" w:hAnsi="FreeSerif"/>
          </w:rPr>
          <w:t>https://doi.org/10.1063/1.1696991</w:t>
        </w:r>
      </w:hyperlink>
      <w:r>
        <w:rPr>
          <w:rFonts w:ascii="FreeSerif" w:hAnsi="FreeSerif"/>
        </w:rPr>
        <w:t>. (c)</w:t>
      </w:r>
      <w:r>
        <w:rPr>
          <w:rFonts w:ascii="FreeSerif" w:hAnsi="FreeSerif"/>
          <w:highlight w:val="yellow"/>
        </w:rPr>
        <w:t xml:space="preserve"> Storey, P.D. Calorimetric Studies of the Thermal Explosion Properties of Aromatic Diazonium Salts, Institution. Chem. Eng. Symposium Series. </w:t>
      </w:r>
      <w:r>
        <w:rPr>
          <w:rFonts w:ascii="FreeSerif" w:hAnsi="FreeSerif"/>
          <w:b/>
          <w:bCs/>
          <w:highlight w:val="yellow"/>
        </w:rPr>
        <w:t>1981</w:t>
      </w:r>
      <w:r>
        <w:rPr>
          <w:rFonts w:ascii="FreeSerif" w:hAnsi="FreeSerif"/>
          <w:highlight w:val="yellow"/>
        </w:rPr>
        <w:t xml:space="preserve">, </w:t>
      </w:r>
      <w:r>
        <w:rPr>
          <w:rFonts w:ascii="FreeSerif" w:hAnsi="FreeSerif"/>
          <w:color w:val="FF0000"/>
          <w:highlight w:val="yellow"/>
        </w:rPr>
        <w:t>No. 68. P.1-3.P.9.</w:t>
      </w:r>
    </w:p>
    <w:p>
      <w:pPr>
        <w:pStyle w:val="TFReferencesSection"/>
        <w:numPr>
          <w:ilvl w:val="0"/>
          <w:numId w:val="3"/>
        </w:numPr>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3"/>
        </w:numPr>
        <w:rPr/>
      </w:pPr>
      <w:r>
        <w:rPr>
          <w:rFonts w:ascii="FreeSerif" w:hAnsi="FreeSerif"/>
          <w:highlight w:val="yellow"/>
        </w:rPr>
        <w:t>(a) Williams, T.; Kelley, C. Gnuplot 4.5: an interactive plotting program. URL http://gnuplot.info.</w:t>
      </w:r>
      <w:r>
        <w:rPr>
          <w:rFonts w:ascii="FreeSerif" w:hAnsi="FreeSerif"/>
          <w:b/>
          <w:bCs/>
          <w:highlight w:val="yellow"/>
        </w:rPr>
        <w:t xml:space="preserve"> </w:t>
      </w:r>
      <w:r>
        <w:rPr>
          <w:rFonts w:ascii="FreeSerif" w:hAnsi="FreeSerif"/>
          <w:highlight w:val="yellow"/>
        </w:rPr>
        <w:t xml:space="preserve">(Last accessed: </w:t>
      </w:r>
      <w:r>
        <w:rPr>
          <w:rFonts w:ascii="FreeSerif" w:hAnsi="FreeSerif"/>
          <w:b/>
          <w:bCs/>
          <w:highlight w:val="yellow"/>
        </w:rPr>
        <w:t>2011</w:t>
      </w:r>
      <w:r>
        <w:rPr>
          <w:rFonts w:ascii="FreeSerif" w:hAnsi="FreeSerif"/>
          <w:highlight w:val="yellow"/>
        </w:rPr>
        <w:t xml:space="preserve"> June 7). (b) R Core Team. R: A language and environment for statistical computing. R Foundation for Statistical / Computing, Vienna, Austria. </w:t>
      </w:r>
      <w:r>
        <w:rPr>
          <w:rFonts w:ascii="FreeSerif" w:hAnsi="FreeSerif"/>
          <w:b/>
          <w:bCs/>
          <w:highlight w:val="yellow"/>
        </w:rPr>
        <w:t>2017</w:t>
      </w:r>
      <w:r>
        <w:rPr>
          <w:rFonts w:ascii="FreeSerif" w:hAnsi="FreeSerif"/>
          <w:highlight w:val="yellow"/>
        </w:rPr>
        <w:t>,</w:t>
      </w:r>
      <w:r>
        <w:rPr>
          <w:rFonts w:ascii="FreeSerif" w:hAnsi="FreeSerif"/>
          <w:b/>
          <w:bCs/>
          <w:highlight w:val="yellow"/>
        </w:rPr>
        <w:t xml:space="preserve"> </w:t>
      </w:r>
      <w:r>
        <w:rPr>
          <w:rFonts w:ascii="FreeSerif" w:hAnsi="FreeSerif"/>
          <w:highlight w:val="yellow"/>
        </w:rPr>
        <w:t xml:space="preserve">URL </w:t>
      </w:r>
      <w:hyperlink r:id="rId53">
        <w:r>
          <w:rPr>
            <w:rStyle w:val="Style11"/>
            <w:rFonts w:ascii="FreeSerif" w:hAnsi="FreeSerif"/>
            <w:color w:val="00000A"/>
            <w:highlight w:val="yellow"/>
          </w:rPr>
          <w:t>https://www.R-project.org/</w:t>
        </w:r>
      </w:hyperlink>
    </w:p>
    <w:p>
      <w:pPr>
        <w:pStyle w:val="TFReferencesSection"/>
        <w:numPr>
          <w:ilvl w:val="0"/>
          <w:numId w:val="3"/>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4">
        <w:r>
          <w:rPr>
            <w:rStyle w:val="Style11"/>
          </w:rPr>
          <w:t>https://doi.org/10.1186/1471-2105-9-163</w:t>
        </w:r>
      </w:hyperlink>
      <w:r>
        <w:rPr/>
        <w:t>.</w:t>
      </w:r>
    </w:p>
    <w:p>
      <w:pPr>
        <w:pStyle w:val="TFReferencesSection"/>
        <w:numPr>
          <w:ilvl w:val="0"/>
          <w:numId w:val="3"/>
        </w:numPr>
        <w:ind w:left="1020" w:hanging="454"/>
        <w:rPr/>
      </w:pPr>
      <w:r>
        <w:rPr>
          <w:highlight w:val="yellow"/>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55"/>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MathJax Math">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spacing w:before="0" w:after="200"/>
      <w:ind w:right="360" w:hanging="0"/>
      <w:rPr/>
    </w:pPr>
    <w:r>
      <w:rPr/>
      <mc:AlternateContent>
        <mc:Choice Requires="wps">
          <w:drawing>
            <wp:anchor behindDoc="1" distT="0" distB="0" distL="0" distR="0" simplePos="0" locked="0" layoutInCell="1" allowOverlap="1" relativeHeight="63">
              <wp:simplePos x="0" y="0"/>
              <wp:positionH relativeFrom="margin">
                <wp:align>right</wp:align>
              </wp:positionH>
              <wp:positionV relativeFrom="paragraph">
                <wp:posOffset>635</wp:posOffset>
              </wp:positionV>
              <wp:extent cx="161290"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60560" cy="202680"/>
                      </a:xfrm>
                      <a:prstGeom prst="rect">
                        <a:avLst/>
                      </a:prstGeom>
                      <a:noFill/>
                      <a:ln>
                        <a:noFill/>
                      </a:ln>
                    </wps:spPr>
                    <wps:style>
                      <a:lnRef idx="0"/>
                      <a:fillRef idx="0"/>
                      <a:effectRef idx="0"/>
                      <a:fontRef idx="minor"/>
                    </wps:style>
                    <wps:txbx>
                      <w:txbxContent>
                        <w:p>
                          <w:pPr>
                            <w:pStyle w:val="Style29"/>
                            <w:spacing w:before="0" w:after="200"/>
                            <w:rPr>
                              <w:color w:val="000000"/>
                            </w:rPr>
                          </w:pPr>
                          <w:r>
                            <w:rPr>
                              <w:color w:val="000000"/>
                            </w:rPr>
                            <w:fldChar w:fldCharType="begin"/>
                          </w:r>
                          <w:r>
                            <w:rPr/>
                            <w:instrText> PAGE </w:instrText>
                          </w:r>
                          <w:r>
                            <w:rPr/>
                            <w:fldChar w:fldCharType="separate"/>
                          </w:r>
                          <w:r>
                            <w:rPr/>
                            <w:t>19</w:t>
                          </w:r>
                          <w:r>
                            <w:rPr/>
                            <w:fldChar w:fldCharType="end"/>
                          </w:r>
                        </w:p>
                      </w:txbxContent>
                    </wps:txbx>
                    <wps:bodyPr lIns="0" rIns="0" tIns="0" bIns="0">
                      <a:spAutoFit/>
                    </wps:bodyPr>
                  </wps:wsp>
                </a:graphicData>
              </a:graphic>
            </wp:anchor>
          </w:drawing>
        </mc:Choice>
        <mc:Fallback>
          <w:pict>
            <v:rect id="shape_0" ID="Врезка1" stroked="f" style="position:absolute;margin-left:455.3pt;margin-top:0.05pt;width:12.6pt;height:15.9pt;mso-position-horizontal:right;mso-position-horizontal-relative:margin">
              <w10:wrap type="square"/>
              <v:fill o:detectmouseclick="t" on="false"/>
              <v:stroke color="#3465a4" joinstyle="round" endcap="flat"/>
              <v:textbox>
                <w:txbxContent>
                  <w:p>
                    <w:pPr>
                      <w:pStyle w:val="Style29"/>
                      <w:spacing w:before="0" w:after="200"/>
                      <w:rPr>
                        <w:color w:val="000000"/>
                      </w:rPr>
                    </w:pPr>
                    <w:r>
                      <w:rPr>
                        <w:color w:val="000000"/>
                      </w:rPr>
                      <w:fldChar w:fldCharType="begin"/>
                    </w:r>
                    <w:r>
                      <w:rPr/>
                      <w:instrText> PAGE </w:instrText>
                    </w:r>
                    <w:r>
                      <w:rPr/>
                      <w:fldChar w:fldCharType="separate"/>
                    </w:r>
                    <w:r>
                      <w:rPr/>
                      <w:t>19</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kern w:val="0"/>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character" w:styleId="ListLabel43">
    <w:name w:val="ListLabel 43"/>
    <w:qFormat/>
    <w:rPr>
      <w:rFonts w:ascii="FreeSerif" w:hAnsi="FreeSerif"/>
    </w:rPr>
  </w:style>
  <w:style w:type="character" w:styleId="ListLabel44">
    <w:name w:val="ListLabel 44"/>
    <w:qFormat/>
    <w:rPr/>
  </w:style>
  <w:style w:type="character" w:styleId="ListLabel45">
    <w:name w:val="ListLabel 45"/>
    <w:qFormat/>
    <w:rPr>
      <w:rFonts w:ascii="FreeSerif" w:hAnsi="FreeSerif"/>
      <w:color w:val="00000A"/>
    </w:rPr>
  </w:style>
  <w:style w:type="character" w:styleId="ListLabel46">
    <w:name w:val="ListLabel 46"/>
    <w:qFormat/>
    <w:rPr>
      <w:rFonts w:ascii="FreeSerif" w:hAnsi="FreeSerif" w:eastAsia="Calibri" w:cs="Calibri"/>
      <w:color w:val="0000FF"/>
    </w:rPr>
  </w:style>
  <w:style w:type="character" w:styleId="ListLabel47">
    <w:name w:val="ListLabel 47"/>
    <w:qFormat/>
    <w:rPr>
      <w:rFonts w:ascii="FreeSerif" w:hAnsi="FreeSerif"/>
      <w:color w:val="00000A"/>
      <w:highlight w:val="yellow"/>
    </w:rPr>
  </w:style>
  <w:style w:type="character" w:styleId="ListLabel48">
    <w:name w:val="ListLabel 48"/>
    <w:qFormat/>
    <w:rPr>
      <w:color w:val="auto"/>
      <w:highlight w:val="yellow"/>
    </w:rPr>
  </w:style>
  <w:style w:type="character" w:styleId="ListLabel49">
    <w:name w:val="ListLabel 49"/>
    <w:qFormat/>
    <w:rPr>
      <w:rFonts w:ascii="FreeSerif" w:hAnsi="FreeSerif"/>
    </w:rPr>
  </w:style>
  <w:style w:type="character" w:styleId="ListLabel50">
    <w:name w:val="ListLabel 50"/>
    <w:qFormat/>
    <w:rPr/>
  </w:style>
  <w:style w:type="character" w:styleId="ListLabel51">
    <w:name w:val="ListLabel 51"/>
    <w:qFormat/>
    <w:rPr>
      <w:rFonts w:ascii="FreeSerif" w:hAnsi="FreeSerif"/>
      <w:color w:val="00000A"/>
    </w:rPr>
  </w:style>
  <w:style w:type="character" w:styleId="ListLabel52">
    <w:name w:val="ListLabel 52"/>
    <w:qFormat/>
    <w:rPr>
      <w:rFonts w:ascii="FreeSerif" w:hAnsi="FreeSerif" w:eastAsia="Calibri" w:cs="Calibri"/>
      <w:color w:val="0000FF"/>
    </w:rPr>
  </w:style>
  <w:style w:type="character" w:styleId="ListLabel53">
    <w:name w:val="ListLabel 53"/>
    <w:qFormat/>
    <w:rPr>
      <w:rFonts w:ascii="FreeSerif" w:hAnsi="FreeSerif"/>
      <w:color w:val="00000A"/>
      <w:highlight w:val="yellow"/>
    </w:rPr>
  </w:style>
  <w:style w:type="paragraph" w:styleId="Style22" w:customStyle="1">
    <w:name w:val="Заголовок"/>
    <w:basedOn w:val="Normal"/>
    <w:next w:val="Style23"/>
    <w:qFormat/>
    <w:pPr>
      <w:keepNext w:val="true"/>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Style28">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9">
    <w:name w:val="Footer"/>
    <w:basedOn w:val="Normal"/>
    <w:rsid w:val="00a65d8d"/>
    <w:pPr>
      <w:tabs>
        <w:tab w:val="clear" w:pos="720"/>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kern w:val="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val="true"/>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3" w:customStyle="1">
    <w:name w:val="Текст примечания Знак2"/>
    <w:basedOn w:val="Normal"/>
    <w:link w:val="af9"/>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4"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30"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1" w:customStyle="1">
    <w:name w:val="Заголовок таблицы"/>
    <w:basedOn w:val="Style30"/>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2"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3">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22"/>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kern w:val="0"/>
      <w:sz w:val="24"/>
      <w:szCs w:val="24"/>
      <w:lang w:val="ru-RU" w:eastAsia="ar-SA" w:bidi="ar-SA"/>
    </w:rPr>
  </w:style>
  <w:style w:type="paragraph" w:styleId="Style34">
    <w:name w:val="Header"/>
    <w:basedOn w:val="Normal"/>
    <w:uiPriority w:val="99"/>
    <w:unhideWhenUsed/>
    <w:rsid w:val="00335422"/>
    <w:pPr>
      <w:tabs>
        <w:tab w:val="clear" w:pos="720"/>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5"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i.org/10.1021/ie8018615"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i.org/10.1021/cr0509861" TargetMode="External"/><Relationship Id="rId20" Type="http://schemas.openxmlformats.org/officeDocument/2006/relationships/hyperlink" Target="https://doi.org/10.1002/adsc.201100531" TargetMode="External"/><Relationship Id="rId21" Type="http://schemas.openxmlformats.org/officeDocument/2006/relationships/hyperlink" Target="https://doi.org/10.1039/c3ob27366k" TargetMode="External"/><Relationship Id="rId22" Type="http://schemas.openxmlformats.org/officeDocument/2006/relationships/hyperlink" Target="https://doi.org/10.1071/ch13533" TargetMode="External"/><Relationship Id="rId23" Type="http://schemas.openxmlformats.org/officeDocument/2006/relationships/hyperlink" Target="https://doi.org/10.1002/chem.201404348" TargetMode="External"/><Relationship Id="rId24" Type="http://schemas.openxmlformats.org/officeDocument/2006/relationships/hyperlink" Target="https://doi.org/10.1039/c0cs00179a" TargetMode="External"/><Relationship Id="rId25" Type="http://schemas.openxmlformats.org/officeDocument/2006/relationships/hyperlink" Target="https://doi.org/10.1016/j.jlp.2015.09.004" TargetMode="External"/><Relationship Id="rId26" Type="http://schemas.openxmlformats.org/officeDocument/2006/relationships/hyperlink" Target="https://doi.org/10.1002/qua.25430" TargetMode="External"/><Relationship Id="rId27" Type="http://schemas.openxmlformats.org/officeDocument/2006/relationships/hyperlink" Target="https://doi.org/10.1016/j.jmgm.2019.03.008" TargetMode="External"/><Relationship Id="rId28" Type="http://schemas.openxmlformats.org/officeDocument/2006/relationships/hyperlink" Target="https://doi.org/10.1002/chem.200400386" TargetMode="External"/><Relationship Id="rId29" Type="http://schemas.openxmlformats.org/officeDocument/2006/relationships/hyperlink" Target="https://doi.org/10.1016/j.tet.2018.05.089" TargetMode="External"/><Relationship Id="rId30" Type="http://schemas.openxmlformats.org/officeDocument/2006/relationships/hyperlink" Target="https://doi.org/10.1039/c5qo00037h" TargetMode="External"/><Relationship Id="rId31" Type="http://schemas.openxmlformats.org/officeDocument/2006/relationships/hyperlink" Target="https://doi.org/10.1021/jo00835a031" TargetMode="External"/><Relationship Id="rId32" Type="http://schemas.openxmlformats.org/officeDocument/2006/relationships/hyperlink" Target="https://doi.org/10.1021/jo00835a032" TargetMode="External"/><Relationship Id="rId33" Type="http://schemas.openxmlformats.org/officeDocument/2006/relationships/hyperlink" Target="https://doi.org/10.1021/ol8013528" TargetMode="External"/><Relationship Id="rId34" Type="http://schemas.openxmlformats.org/officeDocument/2006/relationships/hyperlink" Target="https://doi.org/10.1002/ejoc.201800887" TargetMode="External"/><Relationship Id="rId35" Type="http://schemas.openxmlformats.org/officeDocument/2006/relationships/hyperlink" Target="https://doi.org/10.1055/s-2006-958936" TargetMode="External"/><Relationship Id="rId36" Type="http://schemas.openxmlformats.org/officeDocument/2006/relationships/hyperlink" Target="https://doi.org/10.1055/s-2007-990950" TargetMode="External"/><Relationship Id="rId37" Type="http://schemas.openxmlformats.org/officeDocument/2006/relationships/hyperlink" Target="https://doi.org/10.1016/j.tetlet.2007.11.192" TargetMode="External"/><Relationship Id="rId38" Type="http://schemas.openxmlformats.org/officeDocument/2006/relationships/hyperlink" Target="https://doi.org/10.1016/j.tet.2010.07.005" TargetMode="External"/><Relationship Id="rId39" Type="http://schemas.openxmlformats.org/officeDocument/2006/relationships/hyperlink" Target="https://doi.org/10.1016/j.tetlet.2010.10.099" TargetMode="External"/><Relationship Id="rId40" Type="http://schemas.openxmlformats.org/officeDocument/2006/relationships/hyperlink" Target="https://doi.org/10.1055/s-0030-1260046" TargetMode="External"/><Relationship Id="rId41" Type="http://schemas.openxmlformats.org/officeDocument/2006/relationships/hyperlink" Target="https://doi.org/10.1055/s-0033-1339648" TargetMode="External"/><Relationship Id="rId42" Type="http://schemas.openxmlformats.org/officeDocument/2006/relationships/hyperlink" Target="https://doi.org/10.3762/bjoc.11.41" TargetMode="External"/><Relationship Id="rId43" Type="http://schemas.openxmlformats.org/officeDocument/2006/relationships/hyperlink" Target="https://doi.org/10.1055/s-0036-1588919" TargetMode="External"/><Relationship Id="rId44" Type="http://schemas.openxmlformats.org/officeDocument/2006/relationships/hyperlink" Target="https://doi.org/10.5012/BKCS.2011.32.8.2970" TargetMode="External"/><Relationship Id="rId45" Type="http://schemas.openxmlformats.org/officeDocument/2006/relationships/hyperlink" Target="https://doi.org/10.1016/j.tetlet.2012.01.082" TargetMode="External"/><Relationship Id="rId46" Type="http://schemas.openxmlformats.org/officeDocument/2006/relationships/hyperlink" Target="https://doi.org/10.1134/s1070428013070087" TargetMode="External"/><Relationship Id="rId47" Type="http://schemas.openxmlformats.org/officeDocument/2006/relationships/hyperlink" Target="https://doi.org/10.1055/s-0029-1219090" TargetMode="External"/><Relationship Id="rId48" Type="http://schemas.openxmlformats.org/officeDocument/2006/relationships/hyperlink" Target="https://doi.org/10.1134/s1995078010070037" TargetMode="External"/><Relationship Id="rId49" Type="http://schemas.openxmlformats.org/officeDocument/2006/relationships/hyperlink" Target="https://doi.org/10.1039/c3cc42591f" TargetMode="External"/><Relationship Id="rId50" Type="http://schemas.openxmlformats.org/officeDocument/2006/relationships/hyperlink" Target="http://www.unece.org/trans/danger/danger.html" TargetMode="External"/><Relationship Id="rId51" Type="http://schemas.openxmlformats.org/officeDocument/2006/relationships/hyperlink" Target="https://doi.org/10.1016/0040-6031(93)80188-g" TargetMode="External"/><Relationship Id="rId52" Type="http://schemas.openxmlformats.org/officeDocument/2006/relationships/hyperlink" Target="https://doi.org/10.1063/1.1696991" TargetMode="External"/><Relationship Id="rId53" Type="http://schemas.openxmlformats.org/officeDocument/2006/relationships/hyperlink" Target="https://www.R-project.org/" TargetMode="External"/><Relationship Id="rId54" Type="http://schemas.openxmlformats.org/officeDocument/2006/relationships/hyperlink" Target="https://doi.org/10.1186/1471-2105-9-163" TargetMode="Externa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BFB9B-E82C-4179-8B46-B94F5EBC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Application>LibreOffice/6.1.5.2$Linux_X86_64 LibreOffice_project/10$Build-2</Application>
  <Pages>46</Pages>
  <Words>7833</Words>
  <Characters>45935</Characters>
  <CharactersWithSpaces>53264</CharactersWithSpaces>
  <Paragraphs>528</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2019-07-02T10:11:00Z</dcterms:created>
  <dc:creator>alex</dc:creator>
  <dc:description/>
  <dc:language>ru-RU</dc:language>
  <cp:lastModifiedBy/>
  <cp:lastPrinted>2008-06-11T21:33:00Z</cp:lastPrinted>
  <dcterms:modified xsi:type="dcterms:W3CDTF">2019-08-22T17:33:34Z</dcterms:modified>
  <cp:revision>35</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