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rPr/>
      </w:pPr>
      <w:r>
        <w:rPr/>
        <w:t>Alexander A. Bondarev</w:t>
      </w:r>
      <w:r>
        <w:rPr>
          <w:vertAlign w:val="superscript"/>
        </w:rPr>
        <w:t>1</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r>
        <w:rPr>
          <w:color w:val="0000CC"/>
          <w:highlight w:val="yellow"/>
          <w:vertAlign w:val="superscript"/>
        </w:rPr>
        <w:t>a</w:t>
      </w:r>
    </w:p>
    <w:p>
      <w:pPr>
        <w:pStyle w:val="TAMainText"/>
        <w:rPr/>
      </w:pPr>
      <w:r>
        <w:rPr/>
        <w:t>Nevertheless, such disadvantages as a poor storage stability in solid state and a propensity to explosive decomposition upon heating, photo-irradiation or mechanical stress limit the preparation and usage of DSs, especially, on an industrial scale.</w:t>
      </w:r>
      <w:r>
        <w:rPr>
          <w:strike/>
          <w:color w:val="0000CC"/>
          <w:vertAlign w:val="superscript"/>
        </w:rPr>
        <w:t>1a,2b,2c</w:t>
      </w:r>
      <w:r>
        <w:rPr>
          <w:color w:val="0000CC"/>
          <w:vertAlign w:val="superscript"/>
        </w:rPr>
        <w:t>,</w:t>
      </w:r>
      <w:r>
        <w:rPr>
          <w:color w:val="0000CC"/>
          <w:highlight w:val="yellow"/>
          <w:vertAlign w:val="superscript"/>
        </w:rPr>
        <w:t>2d, (1a, 2b-d)</w:t>
      </w:r>
      <w:r>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t xml:space="preserve"> freezing of benzenediazonium chlorides up to -84 °C,</w:t>
      </w:r>
      <w:r>
        <w:rPr>
          <w:color w:val="0000CC"/>
          <w:vertAlign w:val="superscript"/>
        </w:rPr>
        <w:t>2f</w:t>
      </w:r>
      <w:r>
        <w:rPr/>
        <w:t xml:space="preserve"> and application of flow-chemistry techniques for DS chemistry.</w:t>
      </w:r>
      <w:r>
        <w:rPr>
          <w:color w:val="0000CC"/>
          <w:vertAlign w:val="superscript"/>
        </w:rPr>
        <w:t>2g</w:t>
      </w:r>
      <w:r>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 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 xml:space="preserve">The thermal decomposition energies of some ADTs and ADTfs, determined by DSC/TGA, in most cases were found to be below 800 J/g. </w:t>
      </w:r>
      <w:r>
        <w:rPr>
          <w:highlight w:val="yellow"/>
          <w:vertAlign w:val="superscript"/>
        </w:rPr>
        <w:t>3a,b, 4g</w:t>
      </w:r>
      <w:r>
        <w:rPr/>
        <w:t xml:space="preserve">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w:t>
      </w:r>
      <w:r>
        <w:rPr>
          <w:highlight w:val="yellow"/>
        </w:rPr>
        <w:t>elevated and high ??</w:t>
      </w:r>
      <w:r>
        <w:rPr/>
        <w:t xml:space="preserve">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strike/>
          <w:color w:val="0000CC"/>
          <w:vertAlign w:val="superscript"/>
        </w:rPr>
        <w:t>3a,3b,3g</w:t>
      </w:r>
      <w:r>
        <w:rPr/>
        <w:t xml:space="preserve"> </w:t>
      </w:r>
      <w:r>
        <w:rPr>
          <w:highlight w:val="yellow"/>
          <w:vertAlign w:val="superscript"/>
        </w:rPr>
        <w:t>3a,b, 4g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strike/>
          <w:color w:val="0000CC"/>
          <w:vertAlign w:val="superscript"/>
        </w:rPr>
        <w:t>3a,3b</w:t>
      </w:r>
      <w:r>
        <w:rPr/>
        <w:t xml:space="preserve"> </w:t>
      </w:r>
      <w:r>
        <w:rPr>
          <w:highlight w:val="yellow"/>
          <w:vertAlign w:val="superscript"/>
        </w:rPr>
        <w:t>3a,b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 xml:space="preserve">was carried out. The obtained results are valuable for both applied and theoretical field of diazonium chemistry. On the one hand, they allow </w:t>
      </w:r>
      <w:r>
        <w:rPr>
          <w:highlight w:val="green"/>
        </w:rPr>
        <w:t>to assess the stability, capabilities and limitations of DSs for industrial use</w:t>
      </w:r>
      <w:r>
        <w:rPr/>
        <w:t>.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strike/>
          <w:color w:val="0000CC"/>
          <w:vertAlign w:val="superscript"/>
        </w:rPr>
        <w:t>3a,3b</w:t>
      </w:r>
      <w:r>
        <w:rPr>
          <w:rFonts w:ascii="Times New Roman" w:hAnsi="Times New Roman"/>
        </w:rPr>
        <w:t xml:space="preserve"> </w:t>
      </w:r>
      <w:r>
        <w:rPr>
          <w:rFonts w:ascii="Times New Roman" w:hAnsi="Times New Roman"/>
          <w:highlight w:val="yellow"/>
          <w:vertAlign w:val="superscript"/>
        </w:rPr>
        <w:t>3a,b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w:t>
      </w:r>
      <w:r>
        <w:rPr>
          <w:highlight w:val="yellow"/>
          <w:shd w:fill="FFFF00" w:val="clear"/>
          <w:lang w:val="ru-RU"/>
        </w:rPr>
        <w:t>Мы проводили эти эксперименты в соответствии с подходом, принятым для калориметрических исследований безопасности высокоэнергетических материалов</w:t>
      </w:r>
      <w:r>
        <w:rPr>
          <w:shd w:fill="FFFF00" w:val="clear"/>
          <w:lang w:val="ru-RU"/>
        </w:rPr>
        <w:t xml:space="preserve">. </w:t>
      </w:r>
      <w:r>
        <w:rPr>
          <w:color w:val="0000CC"/>
          <w:vertAlign w:val="superscript"/>
        </w:rPr>
        <w:t>8</w:t>
      </w:r>
      <w:r>
        <w:rPr/>
        <w:t xml:space="preserve">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w:t>
      </w:r>
      <w:r>
        <w:rPr>
          <w:highlight w:val="green"/>
        </w:rPr>
        <w:t>and sealed</w:t>
      </w:r>
      <w:r>
        <w:rPr/>
        <w:t xml:space="preserve">. The heat flow was measured at three different temperatures: 75, 80, and 85 °C. </w:t>
      </w:r>
      <w:r>
        <w:rPr>
          <w:highlight w:val="green"/>
        </w:rPr>
        <w:t>Все эксперименты потоковой калориметрии мы специально проводили при температурах значительно меньших температур плавления, чтобы адекватно аппроксимировать кинетические кривые на нормальные условия. Изотермический тест проводился до снижения теплового потока менее 2 микровата uW, что составляет величину менее 1% от максимального теплового потока и соответствует степени конверсии α&gt;0.99. Абсолютное время варьировалось от 1 дня до 50 дней, св зависимости от природы образца и температуры.</w:t>
      </w:r>
      <w:r>
        <w:rPr/>
        <w:t xml:space="preserve">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strike/>
          <w:color w:val="0000CC"/>
          <w:vertAlign w:val="superscript"/>
        </w:rPr>
        <w:t>3a,3b</w:t>
      </w:r>
      <w:r>
        <w:rPr/>
        <w:t xml:space="preserve"> </w:t>
      </w:r>
      <w:r>
        <w:rPr>
          <w:highlight w:val="yellow"/>
          <w:vertAlign w:val="superscript"/>
        </w:rPr>
        <w:t>3a,b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 : 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 xml:space="preserve">has begun </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w:t>
      </w:r>
      <w:bookmarkStart w:id="0" w:name="_GoBack"/>
      <w:bookmarkEnd w:id="0"/>
      <w:r>
        <w:rPr/>
        <w:t xml:space="preserv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w:t>
      </w:r>
      <w:r>
        <w:rPr>
          <w:color w:val="auto"/>
        </w:rPr>
        <w:t>58.7</w:t>
      </w:r>
      <w:r>
        <w:rPr/>
        <w:t xml:space="preserve">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4091940" cy="353060"/>
                    </a:xfrm>
                    <a:prstGeom prst="rect">
                      <a:avLst/>
                    </a:prstGeom>
                  </pic:spPr>
                </pic:pic>
              </a:graphicData>
            </a:graphic>
          </wp:inline>
        </w:drawing>
      </w:r>
    </w:p>
    <w:p>
      <w:pPr>
        <w:pStyle w:val="TFReferencesSection"/>
        <w:rPr/>
      </w:pPr>
      <w:r>
        <w:rPr/>
        <w:t xml:space="preserve">This indicates that 4-nitrobenzene diazonium fluoride </w:t>
      </w:r>
      <w:r>
        <w:rPr>
          <w:b/>
        </w:rPr>
        <w:t>3a</w:t>
      </w:r>
      <w:r>
        <w:rPr/>
        <w:t xml:space="preserve"> should undergo further decomposition at 146.5 ° C. Therefore, for the first time we have shown that the mechanism of arenediazonium tetrafluoroborate decomposition differs in condensed state and in solution. Thus, the study of arenediazonium tetrafluoroborate decomposition in solution demonstrated that fluoroarenes are formed as a result of interaction between intermediate Ar</w:t>
      </w:r>
      <w:r>
        <w:rPr>
          <w:vertAlign w:val="superscript"/>
        </w:rPr>
        <w:t>+</w:t>
      </w:r>
      <w:r>
        <w:rPr/>
        <w:t xml:space="preserve"> and BF</w:t>
      </w:r>
      <w:r>
        <w:rPr>
          <w:vertAlign w:val="subscript"/>
        </w:rPr>
        <w:t>4</w:t>
      </w:r>
      <w:r>
        <w:rPr>
          <w:vertAlign w:val="superscript"/>
        </w:rPr>
        <w:t>-</w:t>
      </w:r>
      <w:r>
        <w:rPr/>
        <w:t xml:space="preserve">. </w:t>
      </w:r>
      <w:r>
        <w:rPr>
          <w:color w:val="0000CC"/>
          <w:vertAlign w:val="superscript"/>
        </w:rPr>
        <w:t>2k</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 xml:space="preserve">TTable 1. Temperatures and decomposition energies of diazonium salts 1-3 according to DSC\TGA experiments data. </w:t>
      </w:r>
    </w:p>
    <w:tbl>
      <w:tblPr>
        <w:tblW w:w="5000" w:type="pct"/>
        <w:jc w:val="left"/>
        <w:tblInd w:w="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 w:type="dxa"/>
          <w:bottom w:w="0" w:type="dxa"/>
          <w:right w:w="108" w:type="dxa"/>
        </w:tblCellMar>
        <w:tblLook w:noVBand="0" w:val="0000" w:noHBand="0" w:lastColumn="0" w:firstColumn="0" w:lastRow="0" w:firstRow="0"/>
      </w:tblPr>
      <w:tblGrid>
        <w:gridCol w:w="2441"/>
        <w:gridCol w:w="952"/>
        <w:gridCol w:w="1876"/>
        <w:gridCol w:w="1"/>
        <w:gridCol w:w="768"/>
        <w:gridCol w:w="2054"/>
        <w:gridCol w:w="1267"/>
      </w:tblGrid>
      <w:tr>
        <w:trPr>
          <w:tblHeader w:val="true"/>
          <w:cantSplit w:val="true"/>
        </w:trPr>
        <w:tc>
          <w:tcPr>
            <w:tcW w:w="2441"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Diazonium salts</w:t>
            </w:r>
          </w:p>
        </w:tc>
        <w:tc>
          <w:tcPr>
            <w:tcW w:w="282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t>Endothermic process</w:t>
            </w:r>
          </w:p>
        </w:tc>
        <w:tc>
          <w:tcPr>
            <w:tcW w:w="28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Exothermic process</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Mp, (° C)</w:t>
            </w:r>
          </w:p>
        </w:tc>
      </w:tr>
      <w:tr>
        <w:trPr>
          <w:tblHeader w:val="true"/>
          <w:cantSplit w:val="true"/>
        </w:trPr>
        <w:tc>
          <w:tcPr>
            <w:tcW w:w="244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t>Т, ° C</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rFonts w:ascii="Symbol" w:hAnsi="Symbol"/>
                <w:sz w:val="16"/>
                <w:szCs w:val="16"/>
              </w:rPr>
              <w:t></w:t>
            </w:r>
            <w:r>
              <w:rPr/>
              <w:t>Н,</w:t>
            </w:r>
            <w:r>
              <w:rPr>
                <w:sz w:val="22"/>
                <w:szCs w:val="22"/>
              </w:rPr>
              <w:t xml:space="preserve"> J/g (kJ/mol)</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t>Т, ° C</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rFonts w:ascii="Symbol" w:hAnsi="Symbol"/>
                <w:sz w:val="16"/>
                <w:szCs w:val="16"/>
              </w:rPr>
              <w:t></w:t>
            </w:r>
            <w:r>
              <w:rPr/>
              <w:t>Н</w:t>
            </w:r>
            <w:r>
              <w:rPr>
                <w:sz w:val="22"/>
                <w:szCs w:val="22"/>
              </w:rPr>
              <w:t>, J/g (kJ/mol)</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green"/>
              </w:rPr>
            </w:pPr>
            <w:r>
              <w:rPr>
                <w:highlight w:val="green"/>
              </w:rPr>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1" w:name="__DdeLink__2858_448124851"/>
            <w:r>
              <w:rPr>
                <w:szCs w:val="28"/>
              </w:rPr>
              <w:t xml:space="preserve">  </w:t>
            </w:r>
            <w:bookmarkEnd w:id="1"/>
            <w:r>
              <w:rPr>
                <w:b/>
                <w:szCs w:val="28"/>
              </w:rPr>
              <w:t>1a</w:t>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104.1</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73.49 (21.98)</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143.3</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-753.4 (-225.3)</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110</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102.5</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43.6 (10.04)</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111.2</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-840.4 (-251.3)</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108-109</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116.4</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-219.9 (-65.7)</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104</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88.4</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102.2 (29.05)</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136.6</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-328.9 (-93.5)</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94-97</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pPr>
            <w:r>
              <w:rPr>
                <w:szCs w:val="28"/>
              </w:rPr>
              <w:t>-</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pPr>
            <w:r>
              <w:rPr>
                <w:szCs w:val="28"/>
              </w:rPr>
              <w:t>69.37</w:t>
            </w:r>
          </w:p>
          <w:p>
            <w:pPr>
              <w:pStyle w:val="TCTableBody"/>
              <w:spacing w:before="0" w:after="200"/>
              <w:rPr/>
            </w:pPr>
            <w:r>
              <w:rPr>
                <w:szCs w:val="28"/>
              </w:rPr>
              <w:t>146.6</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pPr>
            <w:r>
              <w:rPr>
                <w:szCs w:val="28"/>
              </w:rPr>
              <w:t>-24.47 (-7.8)</w:t>
            </w:r>
          </w:p>
          <w:p>
            <w:pPr>
              <w:pStyle w:val="TCTableBody"/>
              <w:spacing w:before="0" w:after="200"/>
              <w:rPr/>
            </w:pPr>
            <w:r>
              <w:rPr>
                <w:szCs w:val="28"/>
              </w:rPr>
              <w:t>-323.0 (-103.7)</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132</w:t>
            </w:r>
          </w:p>
        </w:tc>
      </w:tr>
      <w:tr>
        <w:trPr>
          <w:cantSplit w:val="true"/>
        </w:trPr>
        <w:tc>
          <w:tcPr>
            <w:tcW w:w="24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p>
        </w:tc>
        <w:tc>
          <w:tcPr>
            <w:tcW w:w="9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yellow"/>
              </w:rPr>
            </w:pPr>
            <w:r>
              <w:rPr>
                <w:szCs w:val="28"/>
                <w:highlight w:val="yellow"/>
              </w:rPr>
              <w:t>58.7</w:t>
            </w:r>
          </w:p>
          <w:p>
            <w:pPr>
              <w:pStyle w:val="TCTableBody"/>
              <w:spacing w:before="0" w:after="200"/>
              <w:rPr>
                <w:strike/>
              </w:rPr>
            </w:pPr>
            <w:r>
              <w:rPr>
                <w:strike/>
                <w:szCs w:val="28"/>
              </w:rPr>
              <w:t>33.7</w:t>
            </w:r>
          </w:p>
        </w:tc>
        <w:tc>
          <w:tcPr>
            <w:tcW w:w="18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jc w:val="left"/>
              <w:rPr/>
            </w:pPr>
            <w:r>
              <w:rPr>
                <w:szCs w:val="28"/>
              </w:rPr>
              <w:t xml:space="preserve">617.3 (146.3)   </w:t>
            </w:r>
            <w:r>
              <w:rPr>
                <w:b/>
                <w:bCs/>
                <w:color w:val="CE181E"/>
                <w:szCs w:val="28"/>
              </w:rPr>
              <w:t>Убрать?</w:t>
            </w:r>
          </w:p>
        </w:tc>
        <w:tc>
          <w:tcPr>
            <w:tcW w:w="7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146.5</w:t>
            </w:r>
          </w:p>
        </w:tc>
        <w:tc>
          <w:tcPr>
            <w:tcW w:w="2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pPr>
            <w:r>
              <w:rPr>
                <w:szCs w:val="28"/>
              </w:rPr>
              <w:t>-229.2 (-54.3)</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Green"/>
              </w:rPr>
            </w:pPr>
            <w:r>
              <w:rPr>
                <w:highlight w:val="green"/>
              </w:rPr>
              <w:t>144</w:t>
            </w:r>
          </w:p>
        </w:tc>
      </w:tr>
    </w:tbl>
    <w:p>
      <w:pPr>
        <w:pStyle w:val="VDTableTitle"/>
        <w:rPr>
          <w:b/>
          <w:b/>
        </w:rPr>
      </w:pPr>
      <w:r>
        <w:rPr>
          <w:b/>
        </w:rPr>
      </w:r>
    </w:p>
    <w:p>
      <w:pPr>
        <w:pStyle w:val="TAMainText"/>
        <w:rPr>
          <w:highlight w:val="darkGreen"/>
        </w:rPr>
      </w:pPr>
      <w:r>
        <w:rPr>
          <w:highlight w:val="darkGreen"/>
        </w:rPr>
        <w:t xml:space="preserve"> </w:t>
      </w:r>
      <w:r>
        <w:rPr/>
        <w:drawing>
          <wp:inline distT="0" distB="0" distL="0" distR="0">
            <wp:extent cx="5542280" cy="3364865"/>
            <wp:effectExtent l="0" t="0" r="0" b="0"/>
            <wp:docPr id="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descr=""/>
                    <pic:cNvPicPr>
                      <a:picLocks noChangeAspect="1" noChangeArrowheads="1"/>
                    </pic:cNvPicPr>
                  </pic:nvPicPr>
                  <pic:blipFill>
                    <a:blip r:embed="rId3"/>
                    <a:stretch>
                      <a:fillRect/>
                    </a:stretch>
                  </pic:blipFill>
                  <pic:spPr bwMode="auto">
                    <a:xfrm>
                      <a:off x="0" y="0"/>
                      <a:ext cx="5542280" cy="3364865"/>
                    </a:xfrm>
                    <a:prstGeom prst="rect">
                      <a:avLst/>
                    </a:prstGeom>
                  </pic:spPr>
                </pic:pic>
              </a:graphicData>
            </a:graphic>
          </wp:inline>
        </w:drawing>
      </w:r>
      <w:r>
        <w:rPr>
          <w:highlight w:val="darkGreen"/>
        </w:rPr>
        <w:t xml:space="preserve"> </w:t>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 xml:space="preserve">1a </w:t>
      </w:r>
      <w:r>
        <w:rPr>
          <w:b w:val="false"/>
          <w:bCs w:val="false"/>
          <w:color w:val="000000"/>
          <w:szCs w:val="28"/>
          <w:highlight w:val="green"/>
        </w:rPr>
        <w:t>(красная линия – температура, зеленым цветом – масса образца, синим – тепловой поток)</w:t>
      </w:r>
    </w:p>
    <w:p>
      <w:pPr>
        <w:pStyle w:val="TAMainText"/>
        <w:rPr/>
      </w:pPr>
      <w:r>
        <w:rPr/>
        <w:drawing>
          <wp:inline distT="0" distB="0" distL="0" distR="0">
            <wp:extent cx="5526405" cy="361505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1b</w:t>
      </w:r>
    </w:p>
    <w:p>
      <w:pPr>
        <w:pStyle w:val="TAMainText"/>
        <w:rPr/>
      </w:pPr>
      <w:r>
        <w:rPr/>
        <w:drawing>
          <wp:inline distT="0" distB="0" distL="0" distR="0">
            <wp:extent cx="5475605" cy="3601720"/>
            <wp:effectExtent l="0" t="0" r="0" b="0"/>
            <wp:docPr id="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descr=""/>
                    <pic:cNvPicPr>
                      <a:picLocks noChangeAspect="1" noChangeArrowheads="1"/>
                    </pic:cNvPicPr>
                  </pic:nvPicPr>
                  <pic:blipFill>
                    <a:blip r:embed="rId5"/>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1c</w:t>
      </w:r>
    </w:p>
    <w:p>
      <w:pPr>
        <w:pStyle w:val="TAMainText"/>
        <w:rPr/>
      </w:pPr>
      <w:r>
        <w:rPr/>
        <w:drawing>
          <wp:inline distT="0" distB="0" distL="0" distR="0">
            <wp:extent cx="5895340" cy="361061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6"/>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1d</w:t>
      </w:r>
    </w:p>
    <w:p>
      <w:pPr>
        <w:pStyle w:val="TAMainText"/>
        <w:rPr/>
      </w:pPr>
      <w:r>
        <w:rPr/>
        <w:drawing>
          <wp:inline distT="0" distB="0" distL="0" distR="0">
            <wp:extent cx="5366385" cy="403923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szCs w:val="28"/>
        </w:rPr>
        <w:t xml:space="preserve">  </w:t>
      </w:r>
      <w:r>
        <w:rPr>
          <w:b/>
          <w:bCs/>
          <w:color w:val="000000"/>
          <w:szCs w:val="28"/>
        </w:rPr>
        <w:t>2 c</w:t>
      </w:r>
    </w:p>
    <w:p>
      <w:pPr>
        <w:pStyle w:val="TAMainText"/>
        <w:rPr/>
      </w:pPr>
      <w:r>
        <w:rPr/>
        <w:drawing>
          <wp:inline distT="0" distB="0" distL="0" distR="0">
            <wp:extent cx="5934075" cy="421703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8"/>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 xml:space="preserve">Table 2. The reproducibility of the DS 2 thermal decomposition parameters measured at 85 ° </w:t>
      </w:r>
      <w:r>
        <w:rPr>
          <w:b/>
          <w:bCs/>
        </w:rPr>
        <w:t>C</w:t>
      </w:r>
      <w:r>
        <w:rPr>
          <w:b/>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31" w:type="dxa"/>
        </w:tblCellMar>
        <w:tblLook w:noVBand="0" w:val="0000" w:noHBand="0" w:lastColumn="0" w:firstColumn="0" w:lastRow="0" w:firstRow="0"/>
      </w:tblPr>
      <w:tblGrid>
        <w:gridCol w:w="4220"/>
        <w:gridCol w:w="1870"/>
        <w:gridCol w:w="1438"/>
        <w:gridCol w:w="1363"/>
      </w:tblGrid>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Sample</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bookmarkStart w:id="2" w:name="__DdeLink__8620_2955565741"/>
            <w:r>
              <w:rPr>
                <w:highlight w:val="yellow"/>
              </w:rPr>
              <w:t>k·10</w:t>
            </w:r>
            <w:r>
              <w:rPr>
                <w:highlight w:val="yellow"/>
                <w:vertAlign w:val="superscript"/>
              </w:rPr>
              <w:t>3</w:t>
            </w:r>
            <w:r>
              <w:rPr>
                <w:highlight w:val="yellow"/>
              </w:rPr>
              <w:t>, s</w:t>
            </w:r>
            <w:r>
              <w:rPr>
                <w:highlight w:val="yellow"/>
                <w:vertAlign w:val="superscript"/>
              </w:rPr>
              <w:t>-1</w:t>
            </w:r>
            <w:bookmarkEnd w:id="2"/>
          </w:p>
          <w:p>
            <w:pPr>
              <w:pStyle w:val="TCTableBody"/>
              <w:spacing w:before="0" w:after="200"/>
              <w:rPr/>
            </w:pPr>
            <w:r>
              <w:rPr>
                <w:strike/>
              </w:rPr>
              <w:t>k, g·mol</w:t>
            </w:r>
            <w:r>
              <w:rPr>
                <w:strike/>
                <w:vertAlign w:val="superscript"/>
              </w:rPr>
              <w:t>-1</w:t>
            </w:r>
            <w:r>
              <w:rPr>
                <w:strike/>
              </w:rPr>
              <w:t>·с</w:t>
            </w:r>
            <w:r>
              <w:rPr>
                <w:strike/>
                <w:vertAlign w:val="superscript"/>
              </w:rPr>
              <w:t>-1</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rFonts w:ascii="Symbol" w:hAnsi="Symbol"/>
                <w:sz w:val="16"/>
                <w:szCs w:val="16"/>
              </w:rPr>
              <w:t></w:t>
            </w:r>
            <w:r>
              <w:rPr/>
              <w:t>H, kJ·mol</w:t>
            </w:r>
            <w:r>
              <w:rPr>
                <w:vertAlign w:val="superscript"/>
              </w:rPr>
              <w:t>-1</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1 Nitrogen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0.272</w:t>
            </w:r>
            <w:r>
              <w:rPr>
                <w:highlight w:val="yellow"/>
              </w:rPr>
              <w:t>3</w:t>
            </w:r>
            <w:r>
              <w:rPr>
                <w:highlight w:val="yellow"/>
              </w:rPr>
              <w:t xml:space="preserve"> ± 0.0364</w:t>
            </w:r>
          </w:p>
          <w:p>
            <w:pPr>
              <w:pStyle w:val="TCTableBody"/>
              <w:spacing w:before="0" w:after="200"/>
              <w:rPr/>
            </w:pPr>
            <w:r>
              <w:rPr>
                <w:strike/>
              </w:rPr>
              <w:t>0.0875 ± 0.0117</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234.2 ± 3.0</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  </w:t>
            </w:r>
            <w:r>
              <w:rPr/>
              <w:t>31.2 ± 8.1</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strike/>
              </w:rPr>
            </w:pPr>
            <w:r>
              <w:rPr>
                <w:strike w:val="false"/>
                <w:dstrike w:val="false"/>
              </w:rPr>
              <w:t>Sample 2 Nitrogen, (source,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strike w:val="false"/>
                <w:dstrike w:val="false"/>
              </w:rPr>
            </w:pPr>
            <w:r>
              <w:rPr>
                <w:strike w:val="false"/>
                <w:dstrike w:val="false"/>
                <w:highlight w:val="yellow"/>
              </w:rPr>
              <w:t>0.25</w:t>
            </w:r>
            <w:r>
              <w:rPr>
                <w:strike w:val="false"/>
                <w:dstrike w:val="false"/>
                <w:highlight w:val="yellow"/>
              </w:rPr>
              <w:t>68</w:t>
            </w:r>
            <w:r>
              <w:rPr>
                <w:strike w:val="false"/>
                <w:dstrike w:val="false"/>
                <w:highlight w:val="yellow"/>
              </w:rPr>
              <w:t xml:space="preserve"> ± 0.0371</w:t>
            </w:r>
          </w:p>
          <w:p>
            <w:pPr>
              <w:pStyle w:val="TCTableBody"/>
              <w:spacing w:before="0" w:after="200"/>
              <w:rPr>
                <w:strike/>
              </w:rPr>
            </w:pPr>
            <w:r>
              <w:rPr>
                <w:strike/>
              </w:rPr>
              <w:t>0.0825 ± 0.0119</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243.6 ± 20.7</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12.7 ± 3.5</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Nitrogen, (source,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0.26</w:t>
            </w:r>
            <w:r>
              <w:rPr>
                <w:highlight w:val="yellow"/>
              </w:rPr>
              <w:t>39</w:t>
            </w:r>
            <w:r>
              <w:rPr>
                <w:highlight w:val="yellow"/>
              </w:rPr>
              <w:t xml:space="preserve"> ± 0.0283</w:t>
            </w:r>
          </w:p>
          <w:p>
            <w:pPr>
              <w:pStyle w:val="TCTableBody"/>
              <w:spacing w:before="0" w:after="200"/>
              <w:rPr/>
            </w:pPr>
            <w:r>
              <w:rPr>
                <w:strike/>
              </w:rPr>
              <w:t>0.0848 ± 0.0091</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235.5 ± 7.0</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highlight w:val="green"/>
              </w:rPr>
            </w:pPr>
            <w:r>
              <w:rPr>
                <w:sz w:val="4"/>
                <w:szCs w:val="4"/>
                <w:highlight w:val="green"/>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Air, repricipitation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w:t>
            </w:r>
            <w:r>
              <w:rPr>
                <w:highlight w:val="yellow"/>
              </w:rPr>
              <w:t>683</w:t>
            </w:r>
            <w:r>
              <w:rPr>
                <w:highlight w:val="yellow"/>
              </w:rPr>
              <w:t xml:space="preserve"> ± 0.0333</w:t>
            </w:r>
          </w:p>
          <w:p>
            <w:pPr>
              <w:pStyle w:val="TCTableBody"/>
              <w:spacing w:before="0" w:after="200"/>
              <w:rPr/>
            </w:pPr>
            <w:r>
              <w:rPr>
                <w:strike/>
              </w:rPr>
              <w:t>0.0862 ± 0.0107</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229.0 ± 28.9</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8.7 ± 8.5</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Argon, repricipitation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0.31</w:t>
            </w:r>
            <w:r>
              <w:rPr>
                <w:highlight w:val="yellow"/>
              </w:rPr>
              <w:t>19</w:t>
            </w:r>
            <w:r>
              <w:rPr>
                <w:highlight w:val="yellow"/>
              </w:rPr>
              <w:t xml:space="preserve"> ± 0.0352</w:t>
            </w:r>
          </w:p>
          <w:p>
            <w:pPr>
              <w:pStyle w:val="TCTableBody"/>
              <w:spacing w:before="0" w:after="200"/>
              <w:rPr/>
            </w:pPr>
            <w:r>
              <w:rPr>
                <w:strike/>
              </w:rPr>
              <w:t>0.1002 ± 0.0113</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242.3 ± 8.0</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12.8 ± 2.4 </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0.26</w:t>
            </w:r>
            <w:r>
              <w:rPr>
                <w:highlight w:val="yellow"/>
              </w:rPr>
              <w:t>08</w:t>
            </w:r>
            <w:r>
              <w:rPr>
                <w:highlight w:val="yellow"/>
              </w:rPr>
              <w:t xml:space="preserve"> ± 0.0184</w:t>
            </w:r>
          </w:p>
          <w:p>
            <w:pPr>
              <w:pStyle w:val="TCTableBody"/>
              <w:spacing w:before="0" w:after="200"/>
              <w:rPr/>
            </w:pPr>
            <w:r>
              <w:rPr>
                <w:strike/>
              </w:rPr>
              <w:t>0.0838 ± 0.0059</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238.9 ± 7.8</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source</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0.25</w:t>
            </w:r>
            <w:r>
              <w:rPr>
                <w:highlight w:val="yellow"/>
              </w:rPr>
              <w:t>89</w:t>
            </w:r>
            <w:r>
              <w:rPr>
                <w:highlight w:val="yellow"/>
              </w:rPr>
              <w:t xml:space="preserve"> ± 0.0340</w:t>
            </w:r>
          </w:p>
          <w:p>
            <w:pPr>
              <w:pStyle w:val="TCTableBody"/>
              <w:spacing w:before="0" w:after="200"/>
              <w:rPr/>
            </w:pPr>
            <w:r>
              <w:rPr>
                <w:strike/>
              </w:rPr>
              <w:t>0.0832 ± 0.0109</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241.7 ± 16.2</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12.0 ± 2.0</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1</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0.26</w:t>
            </w:r>
            <w:r>
              <w:rPr>
                <w:highlight w:val="yellow"/>
              </w:rPr>
              <w:t>08</w:t>
            </w:r>
            <w:r>
              <w:rPr>
                <w:highlight w:val="yellow"/>
              </w:rPr>
              <w:t xml:space="preserve"> ± 0.0492</w:t>
            </w:r>
          </w:p>
          <w:p>
            <w:pPr>
              <w:pStyle w:val="TCTableBody"/>
              <w:spacing w:before="0" w:after="200"/>
              <w:rPr/>
            </w:pPr>
            <w:r>
              <w:rPr>
                <w:strike/>
              </w:rPr>
              <w:t>0.0838 ± 0.0158</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235.1 ± 17.9</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10.2 ± 6.3</w:t>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2</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w:t>
            </w:r>
            <w:r>
              <w:rPr>
                <w:highlight w:val="yellow"/>
              </w:rPr>
              <w:t>898</w:t>
            </w:r>
            <w:r>
              <w:rPr>
                <w:highlight w:val="yellow"/>
              </w:rPr>
              <w:t xml:space="preserve"> ± 0.0221</w:t>
            </w:r>
          </w:p>
          <w:p>
            <w:pPr>
              <w:pStyle w:val="TCTableBody"/>
              <w:spacing w:before="0" w:after="200"/>
              <w:rPr/>
            </w:pPr>
            <w:r>
              <w:rPr>
                <w:strike/>
              </w:rPr>
              <w:t>0.0931 ± 0.0071</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238.1 ± 6.8</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2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General statistics</w:t>
            </w:r>
          </w:p>
        </w:tc>
        <w:tc>
          <w:tcPr>
            <w:tcW w:w="1870"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highlight w:val="yellow"/>
              </w:rPr>
              <w:t>0.274</w:t>
            </w:r>
            <w:r>
              <w:rPr>
                <w:highlight w:val="yellow"/>
              </w:rPr>
              <w:t>5</w:t>
            </w:r>
            <w:r>
              <w:rPr>
                <w:highlight w:val="yellow"/>
              </w:rPr>
              <w:t xml:space="preserve"> ± 0.0140</w:t>
            </w:r>
          </w:p>
          <w:p>
            <w:pPr>
              <w:pStyle w:val="TCTableBody"/>
              <w:spacing w:before="0" w:after="200"/>
              <w:rPr/>
            </w:pPr>
            <w:r>
              <w:rPr>
                <w:strike/>
              </w:rPr>
              <w:t>0.0882 ± 0.0045</w:t>
            </w:r>
          </w:p>
        </w:tc>
        <w:tc>
          <w:tcPr>
            <w:tcW w:w="1438"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237.7 ± 4.6</w:t>
            </w:r>
          </w:p>
        </w:tc>
        <w:tc>
          <w:tcPr>
            <w:tcW w:w="1363"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13.8 ± 3.3</w:t>
            </w:r>
          </w:p>
        </w:tc>
      </w:tr>
    </w:tbl>
    <w:p>
      <w:pPr>
        <w:pStyle w:val="FETableFootnote"/>
        <w:rPr/>
      </w:pPr>
      <w:r>
        <w:rPr>
          <w:highlight w:val="yellow"/>
        </w:rPr>
        <w:t xml:space="preserve">k – rate constant, </w:t>
      </w:r>
      <w:r>
        <w:rPr>
          <w:rFonts w:ascii="Symbol" w:hAnsi="Symbol"/>
          <w:sz w:val="16"/>
          <w:szCs w:val="16"/>
          <w:highlight w:val="yellow"/>
        </w:rPr>
        <w:t></w:t>
      </w:r>
      <w:r>
        <w:rPr>
          <w:highlight w:val="yellow"/>
        </w:rPr>
        <w:t>H - integral enthalpy, P</w:t>
      </w:r>
      <w:r>
        <w:rPr>
          <w:highlight w:val="yellow"/>
          <w:vertAlign w:val="subscript"/>
        </w:rPr>
        <w:t>0</w:t>
      </w:r>
      <w:r>
        <w:rPr>
          <w:highlight w:val="yellow"/>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810"/>
        <w:gridCol w:w="1083"/>
        <w:gridCol w:w="1083"/>
        <w:gridCol w:w="1108"/>
        <w:gridCol w:w="1165"/>
        <w:gridCol w:w="1090"/>
        <w:gridCol w:w="1010"/>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b/>
                <w:b/>
                <w:bCs/>
              </w:rPr>
            </w:pPr>
            <w:r>
              <w:rPr/>
              <w:t>Diazonium salt</w:t>
            </w:r>
          </w:p>
        </w:tc>
        <w:tc>
          <w:tcPr>
            <w:tcW w:w="3274"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85 </w:t>
            </w:r>
            <w:r>
              <w:rPr>
                <w:vertAlign w:val="superscript"/>
              </w:rPr>
              <w:t>o</w:t>
            </w:r>
            <w:r>
              <w:rPr/>
              <w:t>C</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396.0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0.705</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225.4</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6.57</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14.15</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235.1</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250.0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20.12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47.89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rPr>
            </w:pPr>
            <w:r>
              <w:rPr>
                <w:strike w:val="false"/>
                <w:dstrike w:val="false"/>
                <w:highlight w:val="yellow"/>
              </w:rPr>
              <w:t>119.5</w:t>
            </w:r>
          </w:p>
          <w:p>
            <w:pPr>
              <w:pStyle w:val="TCTableBody"/>
              <w:spacing w:before="0" w:after="200"/>
              <w:rPr>
                <w:strike/>
              </w:rPr>
            </w:pPr>
            <w:r>
              <w:rPr>
                <w:strike/>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183.2</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106.0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1.34</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2.97</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232.4</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231.0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21.10</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34.82</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156.0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147.0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31.63</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w:t>
      </w:r>
      <w:r>
        <w:rPr>
          <w:bCs/>
          <w:highlight w:val="yellow"/>
        </w:rPr>
        <w:t xml:space="preserve">The following kinetic equation for autocatalytic reactions that was applied: </w:t>
      </w:r>
      <w:r>
        <w:rPr>
          <w:bCs/>
          <w:color w:val="127622"/>
          <w:highlight w:val="yellow"/>
        </w:rPr>
        <w:t xml:space="preserve"> </w:t>
      </w:r>
      <w:r>
        <w:rPr>
          <w:b/>
          <w:bCs/>
          <w:i/>
          <w:iCs/>
          <w:color w:val="auto"/>
          <w:sz w:val="28"/>
          <w:szCs w:val="28"/>
          <w:highlight w:val="yellow"/>
        </w:rPr>
        <w:t>a A </w:t>
      </w:r>
      <w:r>
        <w:rPr>
          <w:rFonts w:eastAsia="Liberation Serif" w:cs="Liberation Serif"/>
          <w:b/>
          <w:bCs/>
          <w:i/>
          <w:iCs/>
          <w:color w:val="auto"/>
          <w:sz w:val="28"/>
          <w:szCs w:val="28"/>
          <w:highlight w:val="yellow"/>
        </w:rPr>
        <w:t>→ </w:t>
      </w:r>
      <w:r>
        <w:rPr>
          <w:b/>
          <w:bCs/>
          <w:i/>
          <w:iCs/>
          <w:color w:val="auto"/>
          <w:sz w:val="28"/>
          <w:szCs w:val="28"/>
          <w:highlight w:val="yellow"/>
        </w:rPr>
        <w:t>c C</w:t>
      </w:r>
    </w:p>
    <w:p>
      <w:pPr>
        <w:pStyle w:val="TAMainText"/>
        <w:jc w:val="center"/>
        <w:rPr/>
      </w:pPr>
      <w:r>
        <w:rPr/>
        <w:drawing>
          <wp:inline distT="0" distB="0" distL="0" distR="0">
            <wp:extent cx="3063875" cy="2114550"/>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9"/>
                    <a:stretch>
                      <a:fillRect/>
                    </a:stretch>
                  </pic:blipFill>
                  <pic:spPr bwMode="auto">
                    <a:xfrm>
                      <a:off x="0" y="0"/>
                      <a:ext cx="3063875" cy="2114550"/>
                    </a:xfrm>
                    <a:prstGeom prst="rect">
                      <a:avLst/>
                    </a:prstGeom>
                  </pic:spPr>
                </pic:pic>
              </a:graphicData>
            </a:graphic>
          </wp:inline>
        </w:drawing>
      </w:r>
      <w:r>
        <w:rPr>
          <w:color w:val="auto"/>
          <w:highlight w:val="yellow"/>
        </w:rPr>
        <w:t xml:space="preserve">   </w:t>
      </w:r>
      <w:r>
        <w:rPr>
          <w:rFonts w:eastAsia="Liberation Serif" w:cs="Liberation Serif"/>
          <w:color w:val="auto"/>
          <w:highlight w:val="yellow"/>
        </w:rPr>
        <w:t xml:space="preserve">    </w:t>
      </w:r>
    </w:p>
    <w:p>
      <w:pPr>
        <w:pStyle w:val="TAMainText"/>
        <w:rPr/>
      </w:pPr>
      <w:r>
        <w:rPr>
          <w:b w:val="false"/>
          <w:bCs w:val="false"/>
          <w:i w:val="false"/>
          <w:iCs w:val="false"/>
          <w:color w:val="auto"/>
          <w:sz w:val="24"/>
          <w:szCs w:val="24"/>
          <w:highlight w:val="yellow"/>
        </w:rPr>
        <w:t xml:space="preserve">Формальное </w:t>
      </w:r>
      <w:r>
        <w:rPr>
          <w:b w:val="false"/>
          <w:bCs w:val="false"/>
          <w:i w:val="false"/>
          <w:iCs w:val="false"/>
          <w:color w:val="auto"/>
          <w:sz w:val="24"/>
          <w:szCs w:val="24"/>
          <w:highlight w:val="yellow"/>
          <w:lang w:val="ru-RU" w:eastAsia="en-US" w:bidi="ar-SA"/>
        </w:rPr>
        <w:t>кинетическое</w:t>
      </w:r>
      <w:r>
        <w:rPr>
          <w:b w:val="false"/>
          <w:bCs w:val="false"/>
          <w:i w:val="false"/>
          <w:iCs w:val="false"/>
          <w:color w:val="auto"/>
          <w:sz w:val="24"/>
          <w:szCs w:val="24"/>
          <w:highlight w:val="yellow"/>
        </w:rPr>
        <w:t xml:space="preserve"> уравнение 2 используется для моделирования реакций в твердой фазе </w:t>
      </w:r>
      <w:r>
        <w:rPr>
          <w:b w:val="false"/>
          <w:bCs w:val="false"/>
          <w:i w:val="false"/>
          <w:iCs w:val="false"/>
          <w:color w:val="0000CC"/>
          <w:sz w:val="24"/>
          <w:szCs w:val="24"/>
          <w:highlight w:val="yellow"/>
          <w:vertAlign w:val="superscript"/>
        </w:rPr>
        <w:t>13</w:t>
      </w:r>
      <w:r>
        <w:rPr>
          <w:b w:val="false"/>
          <w:bCs w:val="false"/>
          <w:i w:val="false"/>
          <w:iCs w:val="false"/>
          <w:color w:val="auto"/>
          <w:sz w:val="24"/>
          <w:szCs w:val="24"/>
          <w:highlight w:val="yellow"/>
        </w:rPr>
        <w:t xml:space="preserve">, и </w:t>
      </w:r>
      <w:r>
        <w:rPr>
          <w:b w:val="false"/>
          <w:bCs w:val="false"/>
          <w:i w:val="false"/>
          <w:iCs w:val="false"/>
          <w:color w:val="auto"/>
          <w:sz w:val="24"/>
          <w:szCs w:val="24"/>
          <w:highlight w:val="yellow"/>
          <w:lang w:val="ru-RU" w:eastAsia="en-US" w:bidi="ar-SA"/>
        </w:rPr>
        <w:t>выражается</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lang w:val="ru-RU" w:eastAsia="en-US" w:bidi="ar-SA"/>
        </w:rPr>
        <w:t>через</w:t>
      </w:r>
      <w:r>
        <w:rPr>
          <w:b w:val="false"/>
          <w:bCs w:val="false"/>
          <w:i w:val="false"/>
          <w:iCs w:val="false"/>
          <w:color w:val="auto"/>
          <w:sz w:val="24"/>
          <w:szCs w:val="24"/>
          <w:highlight w:val="yellow"/>
        </w:rPr>
        <w:t xml:space="preserve"> степень конверсии (conversion degree) – </w:t>
      </w:r>
      <w:bookmarkStart w:id="3" w:name="MathJax-Element-621-Frame"/>
      <w:bookmarkStart w:id="4" w:name="MathJax-Span-17299"/>
      <w:bookmarkStart w:id="5" w:name="MathJax-Span-17300"/>
      <w:bookmarkStart w:id="6" w:name="MathJax-Span-17306"/>
      <w:bookmarkStart w:id="7" w:name="MathJax-Span-17307"/>
      <w:bookmarkEnd w:id="3"/>
      <w:bookmarkEnd w:id="4"/>
      <w:bookmarkEnd w:id="5"/>
      <w:bookmarkEnd w:id="6"/>
      <w:bookmarkEnd w:id="7"/>
      <w:r>
        <w:rPr>
          <w:rFonts w:ascii="MathJax Math" w:hAnsi="MathJax Math"/>
          <w:b w:val="false"/>
          <w:bCs w:val="false"/>
          <w:i w:val="false"/>
          <w:iCs w:val="false"/>
          <w:color w:val="auto"/>
          <w:sz w:val="24"/>
          <w:szCs w:val="24"/>
          <w:highlight w:val="yellow"/>
        </w:rPr>
        <w:t xml:space="preserve">α </w:t>
      </w:r>
      <w:r>
        <w:rPr>
          <w:b w:val="false"/>
          <w:bCs w:val="false"/>
          <w:i w:val="false"/>
          <w:iCs w:val="false"/>
          <w:color w:val="auto"/>
          <w:sz w:val="24"/>
          <w:szCs w:val="24"/>
          <w:highlight w:val="yellow"/>
        </w:rPr>
        <w:t>(уравнение 3).  f(</w:t>
      </w:r>
      <w:r>
        <w:rPr>
          <w:rFonts w:ascii="MathJax Math" w:hAnsi="MathJax Math"/>
          <w:b w:val="false"/>
          <w:bCs w:val="false"/>
          <w:i w:val="false"/>
          <w:iCs w:val="false"/>
          <w:color w:val="auto"/>
          <w:sz w:val="24"/>
          <w:szCs w:val="24"/>
          <w:highlight w:val="yellow"/>
        </w:rPr>
        <w:t>α</w:t>
      </w:r>
      <w:r>
        <w:rPr>
          <w:b w:val="false"/>
          <w:bCs w:val="false"/>
          <w:i w:val="false"/>
          <w:iCs w:val="false"/>
          <w:color w:val="auto"/>
          <w:sz w:val="24"/>
          <w:szCs w:val="24"/>
          <w:highlight w:val="yellow"/>
        </w:rPr>
        <w:t>) is the kinetic model in differential form (уравнение 4). Кинетические кривые для исследуемых нами реакций лучше всего описывается уравнением 4 при m=1, n=1. A</w:t>
      </w:r>
      <w:r>
        <w:rPr>
          <w:b w:val="false"/>
          <w:bCs w:val="false"/>
          <w:i w:val="false"/>
          <w:iCs w:val="false"/>
          <w:color w:val="auto"/>
          <w:sz w:val="24"/>
          <w:szCs w:val="24"/>
          <w:highlight w:val="yellow"/>
          <w:vertAlign w:val="subscript"/>
        </w:rPr>
        <w:t>0</w:t>
      </w:r>
      <w:r>
        <w:rPr>
          <w:b w:val="false"/>
          <w:bCs w:val="false"/>
          <w:i w:val="false"/>
          <w:iCs w:val="false"/>
          <w:color w:val="auto"/>
          <w:position w:val="0"/>
          <w:sz w:val="24"/>
          <w:sz w:val="24"/>
          <w:szCs w:val="24"/>
          <w:highlight w:val="yellow"/>
          <w:vertAlign w:val="baseline"/>
        </w:rPr>
        <w:t>, A</w:t>
      </w:r>
      <w:r>
        <w:rPr>
          <w:b w:val="false"/>
          <w:bCs w:val="false"/>
          <w:i w:val="false"/>
          <w:iCs w:val="false"/>
          <w:color w:val="auto"/>
          <w:sz w:val="24"/>
          <w:szCs w:val="24"/>
          <w:highlight w:val="yellow"/>
        </w:rPr>
        <w:t xml:space="preserve"> – initial  and current concentration of DS, which for solid-phase reactions is measured in в mol/g units; С</w:t>
      </w:r>
      <w:r>
        <w:rPr>
          <w:b w:val="false"/>
          <w:bCs w:val="false"/>
          <w:i w:val="false"/>
          <w:iCs w:val="false"/>
          <w:color w:val="auto"/>
          <w:sz w:val="24"/>
          <w:szCs w:val="24"/>
          <w:highlight w:val="yellow"/>
          <w:vertAlign w:val="subscript"/>
        </w:rPr>
        <w:t>0</w:t>
      </w:r>
      <w:r>
        <w:rPr>
          <w:b w:val="false"/>
          <w:bCs w:val="false"/>
          <w:i w:val="false"/>
          <w:iCs w:val="false"/>
          <w:color w:val="auto"/>
          <w:sz w:val="24"/>
          <w:szCs w:val="24"/>
          <w:highlight w:val="yellow"/>
        </w:rPr>
        <w:t>, С – initial and current concentrations of products, [mol/g]; k– rate constant, [c</w:t>
      </w:r>
      <w:r>
        <w:rPr>
          <w:b w:val="false"/>
          <w:bCs w:val="false"/>
          <w:i w:val="false"/>
          <w:iCs w:val="false"/>
          <w:color w:val="auto"/>
          <w:sz w:val="24"/>
          <w:szCs w:val="24"/>
          <w:highlight w:val="yellow"/>
          <w:vertAlign w:val="superscript"/>
        </w:rPr>
        <w:t>-1</w:t>
      </w:r>
      <w:r>
        <w:rPr>
          <w:b w:val="false"/>
          <w:bCs w:val="false"/>
          <w:i w:val="false"/>
          <w:iCs w:val="false"/>
          <w:color w:val="auto"/>
          <w:sz w:val="24"/>
          <w:szCs w:val="24"/>
          <w:highlight w:val="yellow"/>
        </w:rPr>
        <w:t>]; a, c - stoichiometric coefficients, for the processes studied a/c=1. Температурная зависимость скорости реакции выражается уравнением Аррениуса (5). P, P</w:t>
      </w:r>
      <w:r>
        <w:rPr>
          <w:b w:val="false"/>
          <w:bCs w:val="false"/>
          <w:i w:val="false"/>
          <w:iCs w:val="false"/>
          <w:color w:val="auto"/>
          <w:sz w:val="24"/>
          <w:szCs w:val="24"/>
          <w:highlight w:val="yellow"/>
          <w:vertAlign w:val="subscript"/>
        </w:rPr>
        <w:t>0</w:t>
      </w:r>
      <w:r>
        <w:rPr>
          <w:b w:val="false"/>
          <w:bCs w:val="false"/>
          <w:i w:val="false"/>
          <w:iCs w:val="false"/>
          <w:color w:val="auto"/>
          <w:sz w:val="24"/>
          <w:szCs w:val="24"/>
          <w:highlight w:val="yellow"/>
        </w:rPr>
        <w:t xml:space="preserve"> – current and initial heat flow). Энтальпия реакции рассчитывается путем интегрирования функции аппроксимирующей тепловой поток (уравнение 6) на интервале времени (0; Inf); Период полураспада соответствует времени когда степень конверсии </w:t>
      </w:r>
      <w:r>
        <w:rPr>
          <w:rFonts w:ascii="MathJax Math" w:hAnsi="MathJax Math"/>
          <w:b w:val="false"/>
          <w:bCs w:val="false"/>
          <w:i w:val="false"/>
          <w:iCs w:val="false"/>
          <w:color w:val="auto"/>
          <w:sz w:val="24"/>
          <w:szCs w:val="24"/>
          <w:highlight w:val="yellow"/>
        </w:rPr>
        <w:t>α</w:t>
      </w:r>
      <w:r>
        <w:rPr>
          <w:b w:val="false"/>
          <w:bCs w:val="false"/>
          <w:i w:val="false"/>
          <w:iCs w:val="false"/>
          <w:color w:val="auto"/>
          <w:sz w:val="24"/>
          <w:szCs w:val="24"/>
          <w:highlight w:val="yellow"/>
        </w:rPr>
        <w:t>=0.5, в следствие симметричности аппроксимирующей кинетической кривой 4, время полураспада совпадает с достижении максимального теплового потока (в случае более сложной кинетики, этот правило не выполняется).</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0"/>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578"/>
        <w:gridCol w:w="885"/>
        <w:gridCol w:w="962"/>
        <w:gridCol w:w="1076"/>
        <w:gridCol w:w="1138"/>
        <w:gridCol w:w="1125"/>
        <w:gridCol w:w="108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Diazonium salt</w:t>
            </w:r>
          </w:p>
        </w:tc>
        <w:tc>
          <w:tcPr>
            <w:tcW w:w="2923"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highlight w:val="yellow"/>
              </w:rPr>
              <w:t>P</w:t>
            </w:r>
            <w:r>
              <w:rPr>
                <w:highlight w:val="yellow"/>
                <w:vertAlign w:val="subscript"/>
              </w:rPr>
              <w:t>0</w:t>
            </w:r>
            <w:r>
              <w:rPr>
                <w:highlight w:val="yellow"/>
              </w:rPr>
              <w:t>, mW/g</w:t>
            </w:r>
          </w:p>
          <w:p>
            <w:pPr>
              <w:pStyle w:val="TCTableBody"/>
              <w:spacing w:before="0" w:after="200"/>
              <w:rPr/>
            </w:pPr>
            <w:r>
              <w:rPr>
                <w:strike/>
              </w:rPr>
              <w:t>P</w:t>
            </w:r>
            <w:r>
              <w:rPr>
                <w:strike/>
                <w:vertAlign w:val="subscript"/>
              </w:rPr>
              <w:t>0</w:t>
            </w:r>
            <w:r>
              <w:rPr>
                <w:strike/>
              </w:rPr>
              <w:t>, mW (uW)</w:t>
            </w:r>
          </w:p>
        </w:tc>
        <w:tc>
          <w:tcPr>
            <w:tcW w:w="3348"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k·10</w:t>
            </w:r>
            <w:r>
              <w:rPr>
                <w:strike w:val="false"/>
                <w:dstrike w:val="false"/>
                <w:highlight w:val="yellow"/>
                <w:vertAlign w:val="superscript"/>
              </w:rPr>
              <w:t>3</w:t>
            </w:r>
            <w:r>
              <w:rPr>
                <w:strike w:val="false"/>
                <w:dstrike w:val="false"/>
                <w:highlight w:val="yellow"/>
              </w:rPr>
              <w:t>, s</w:t>
            </w:r>
            <w:r>
              <w:rPr>
                <w:strike w:val="false"/>
                <w:dstrike w:val="false"/>
                <w:highlight w:val="yellow"/>
                <w:vertAlign w:val="superscript"/>
              </w:rPr>
              <w:t>-1</w:t>
            </w:r>
          </w:p>
          <w:p>
            <w:pPr>
              <w:pStyle w:val="TCTableBody"/>
              <w:spacing w:before="0" w:after="200"/>
              <w:rPr/>
            </w:pPr>
            <w:r>
              <w:rPr>
                <w:strike/>
              </w:rPr>
              <w:t>k, g mol</w:t>
            </w:r>
            <w:r>
              <w:rPr>
                <w:strike/>
                <w:vertAlign w:val="superscript"/>
              </w:rPr>
              <w:t>-1</w:t>
            </w:r>
            <w:r>
              <w:rPr>
                <w:strike/>
              </w:rPr>
              <w:t xml:space="preserve"> с</w:t>
            </w:r>
            <w:r>
              <w:rPr>
                <w:strike/>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40.6</w:t>
            </w:r>
          </w:p>
          <w:p>
            <w:pPr>
              <w:pStyle w:val="TCTableBody"/>
              <w:spacing w:before="0" w:after="200"/>
              <w:rPr/>
            </w:pPr>
            <w:r>
              <w:rPr>
                <w:strike/>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88.2</w:t>
            </w:r>
          </w:p>
          <w:p>
            <w:pPr>
              <w:pStyle w:val="TCTableBody"/>
              <w:spacing w:before="0" w:after="200"/>
              <w:rPr/>
            </w:pPr>
            <w:r>
              <w:rPr>
                <w:strike/>
              </w:rPr>
              <w:t>8.82</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147.0</w:t>
            </w:r>
          </w:p>
          <w:p>
            <w:pPr>
              <w:pStyle w:val="TCTableBody"/>
              <w:spacing w:before="0" w:after="200"/>
              <w:rPr/>
            </w:pPr>
            <w:r>
              <w:rPr>
                <w:strike/>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00087</w:t>
            </w:r>
          </w:p>
          <w:p>
            <w:pPr>
              <w:pStyle w:val="TCTableBody"/>
              <w:spacing w:before="0" w:after="200"/>
              <w:rPr/>
            </w:pPr>
            <w:r>
              <w:rPr>
                <w:strike/>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0.0018</w:t>
            </w:r>
            <w:r>
              <w:rPr>
                <w:strike w:val="false"/>
                <w:dstrike w:val="false"/>
                <w:highlight w:val="yellow"/>
              </w:rPr>
              <w:t>4</w:t>
            </w:r>
          </w:p>
          <w:p>
            <w:pPr>
              <w:pStyle w:val="TCTableBody"/>
              <w:spacing w:before="0" w:after="200"/>
              <w:rPr/>
            </w:pPr>
            <w:r>
              <w:rPr>
                <w:strike/>
              </w:rPr>
              <w:t>0.00055</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00254</w:t>
            </w:r>
          </w:p>
          <w:p>
            <w:pPr>
              <w:pStyle w:val="TCTableBody"/>
              <w:spacing w:before="0" w:after="200"/>
              <w:rPr/>
            </w:pPr>
            <w:r>
              <w:rPr>
                <w:strike/>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0.94</w:t>
            </w:r>
          </w:p>
          <w:p>
            <w:pPr>
              <w:pStyle w:val="TCTableBody"/>
              <w:spacing w:before="0" w:after="200"/>
              <w:rPr/>
            </w:pPr>
            <w:r>
              <w:rPr>
                <w:strike/>
              </w:rPr>
              <w:t>0.094</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11.0</w:t>
            </w:r>
          </w:p>
          <w:p>
            <w:pPr>
              <w:pStyle w:val="TCTableBody"/>
              <w:spacing w:before="0" w:after="200"/>
              <w:rPr/>
            </w:pPr>
            <w:r>
              <w:rPr>
                <w:strike/>
              </w:rPr>
              <w:t>1.10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44.6</w:t>
            </w:r>
          </w:p>
          <w:p>
            <w:pPr>
              <w:pStyle w:val="TCTableBody"/>
              <w:spacing w:before="0" w:after="200"/>
              <w:rPr/>
            </w:pPr>
            <w:r>
              <w:rPr>
                <w:strike/>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03048</w:t>
            </w:r>
          </w:p>
          <w:p>
            <w:pPr>
              <w:pStyle w:val="TCTableBody"/>
              <w:spacing w:before="0" w:after="200"/>
              <w:rPr/>
            </w:pPr>
            <w:r>
              <w:rPr>
                <w:strike/>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06545</w:t>
            </w:r>
          </w:p>
          <w:p>
            <w:pPr>
              <w:pStyle w:val="TCTableBody"/>
              <w:spacing w:before="0" w:after="200"/>
              <w:rPr/>
            </w:pPr>
            <w:r>
              <w:rPr>
                <w:strike/>
              </w:rPr>
              <w:t>0.01958</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14339</w:t>
            </w:r>
          </w:p>
          <w:p>
            <w:pPr>
              <w:pStyle w:val="TCTableBody"/>
              <w:spacing w:before="0" w:after="200"/>
              <w:rPr/>
            </w:pPr>
            <w:r>
              <w:rPr>
                <w:strike/>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9.0</w:t>
            </w:r>
          </w:p>
          <w:p>
            <w:pPr>
              <w:pStyle w:val="TCTableBody"/>
              <w:spacing w:before="0" w:after="200"/>
              <w:rPr/>
            </w:pPr>
            <w:r>
              <w:rPr>
                <w:strike/>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13.1</w:t>
            </w:r>
          </w:p>
          <w:p>
            <w:pPr>
              <w:pStyle w:val="TCTableBody"/>
              <w:spacing w:before="0" w:after="200"/>
              <w:rPr/>
            </w:pPr>
            <w:r>
              <w:rPr>
                <w:strike/>
              </w:rPr>
              <w:t>1.311</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48.4</w:t>
            </w:r>
          </w:p>
          <w:p>
            <w:pPr>
              <w:pStyle w:val="TCTableBody"/>
              <w:spacing w:before="0" w:after="200"/>
              <w:rPr/>
            </w:pPr>
            <w:r>
              <w:rPr>
                <w:strike/>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10562</w:t>
            </w:r>
          </w:p>
          <w:p>
            <w:pPr>
              <w:pStyle w:val="TCTableBody"/>
              <w:spacing w:before="0" w:after="200"/>
              <w:rPr/>
            </w:pPr>
            <w:r>
              <w:rPr>
                <w:strike/>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21057</w:t>
            </w:r>
          </w:p>
          <w:p>
            <w:pPr>
              <w:pStyle w:val="TCTableBody"/>
              <w:spacing w:before="0" w:after="200"/>
              <w:rPr/>
            </w:pPr>
            <w:r>
              <w:rPr>
                <w:strike/>
              </w:rPr>
              <w:t>0.0630</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53446</w:t>
            </w:r>
          </w:p>
          <w:p>
            <w:pPr>
              <w:pStyle w:val="TCTableBody"/>
              <w:spacing w:before="0" w:after="200"/>
              <w:rPr/>
            </w:pPr>
            <w:r>
              <w:rPr>
                <w:strike/>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14.78</w:t>
            </w:r>
          </w:p>
          <w:p>
            <w:pPr>
              <w:pStyle w:val="TCTableBody"/>
              <w:spacing w:before="0" w:after="200"/>
              <w:rPr/>
            </w:pPr>
            <w:r>
              <w:rPr>
                <w:strike/>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32.00</w:t>
            </w:r>
          </w:p>
          <w:p>
            <w:pPr>
              <w:pStyle w:val="TCTableBody"/>
              <w:spacing w:before="0" w:after="200"/>
              <w:rPr/>
            </w:pPr>
            <w:r>
              <w:rPr>
                <w:strike/>
              </w:rPr>
              <w:t>3.200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113.8</w:t>
            </w:r>
          </w:p>
          <w:p>
            <w:pPr>
              <w:pStyle w:val="TCTableBody"/>
              <w:spacing w:before="0" w:after="200"/>
              <w:rPr/>
            </w:pPr>
            <w:r>
              <w:rPr>
                <w:strike/>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00739</w:t>
            </w:r>
          </w:p>
          <w:p>
            <w:pPr>
              <w:pStyle w:val="TCTableBody"/>
              <w:spacing w:before="0" w:after="200"/>
              <w:rPr/>
            </w:pPr>
            <w:r>
              <w:rPr>
                <w:strike/>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01548</w:t>
            </w:r>
          </w:p>
          <w:p>
            <w:pPr>
              <w:pStyle w:val="TCTableBody"/>
              <w:spacing w:before="0" w:after="200"/>
              <w:rPr/>
            </w:pPr>
            <w:r>
              <w:rPr>
                <w:strike/>
              </w:rPr>
              <w:t>0.0044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04504</w:t>
            </w:r>
          </w:p>
          <w:p>
            <w:pPr>
              <w:pStyle w:val="TCTableBody"/>
              <w:spacing w:before="0" w:after="200"/>
              <w:rPr/>
            </w:pPr>
            <w:r>
              <w:rPr>
                <w:strike/>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 xml:space="preserve">-  </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19.57</w:t>
            </w:r>
          </w:p>
          <w:p>
            <w:pPr>
              <w:pStyle w:val="TCTableBody"/>
              <w:spacing w:before="0" w:after="200"/>
              <w:rPr/>
            </w:pPr>
            <w:r>
              <w:rPr>
                <w:strike/>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27.5</w:t>
            </w:r>
          </w:p>
          <w:p>
            <w:pPr>
              <w:pStyle w:val="TCTableBody"/>
              <w:spacing w:before="0" w:after="200"/>
              <w:rPr/>
            </w:pPr>
            <w:r>
              <w:rPr>
                <w:strike/>
              </w:rPr>
              <w:t>2.745</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41.5</w:t>
            </w:r>
          </w:p>
          <w:p>
            <w:pPr>
              <w:pStyle w:val="TCTableBody"/>
              <w:spacing w:before="0" w:after="200"/>
              <w:rPr/>
            </w:pPr>
            <w:r>
              <w:rPr>
                <w:strike/>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08995</w:t>
            </w:r>
          </w:p>
          <w:p>
            <w:pPr>
              <w:pStyle w:val="TCTableBody"/>
              <w:spacing w:before="0" w:after="200"/>
              <w:rPr/>
            </w:pPr>
            <w:r>
              <w:rPr>
                <w:strike/>
              </w:rPr>
              <w:t>0</w:t>
            </w:r>
            <w:r>
              <w:rPr>
                <w:strike/>
              </w:rPr>
              <w:t>.0289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16775</w:t>
            </w:r>
          </w:p>
          <w:p>
            <w:pPr>
              <w:pStyle w:val="TCTableBody"/>
              <w:spacing w:before="0" w:after="200"/>
              <w:rPr/>
            </w:pPr>
            <w:r>
              <w:rPr>
                <w:strike/>
              </w:rPr>
              <w:t>0.0539</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32057</w:t>
            </w:r>
          </w:p>
          <w:p>
            <w:pPr>
              <w:pStyle w:val="TCTableBody"/>
              <w:spacing w:before="0" w:after="200"/>
              <w:rPr/>
            </w:pPr>
            <w:r>
              <w:rPr>
                <w:strike/>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 xml:space="preserve">-  </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392.4</w:t>
            </w:r>
          </w:p>
          <w:p>
            <w:pPr>
              <w:pStyle w:val="TCTableBody"/>
              <w:spacing w:before="0" w:after="200"/>
              <w:rPr/>
            </w:pPr>
            <w:r>
              <w:rPr>
                <w:strike/>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896.0</w:t>
            </w:r>
          </w:p>
          <w:p>
            <w:pPr>
              <w:pStyle w:val="TCTableBody"/>
              <w:spacing w:before="0" w:after="200"/>
              <w:rPr/>
            </w:pPr>
            <w:r>
              <w:rPr>
                <w:strike/>
              </w:rPr>
              <w:t>89.598</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1804.2</w:t>
            </w:r>
          </w:p>
          <w:p>
            <w:pPr>
              <w:pStyle w:val="TCTableBody"/>
              <w:spacing w:before="0" w:after="200"/>
              <w:rPr/>
            </w:pPr>
            <w:r>
              <w:rPr>
                <w:strike/>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07851</w:t>
            </w:r>
          </w:p>
          <w:p>
            <w:pPr>
              <w:pStyle w:val="TCTableBody"/>
              <w:spacing w:before="0" w:after="200"/>
              <w:rPr/>
            </w:pPr>
            <w:r>
              <w:rPr>
                <w:rFonts w:cs="Liberation Serif"/>
                <w:strike/>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14520</w:t>
            </w:r>
          </w:p>
          <w:p>
            <w:pPr>
              <w:pStyle w:val="TCTableBody"/>
              <w:spacing w:before="0" w:after="200"/>
              <w:rPr/>
            </w:pPr>
            <w:r>
              <w:rPr>
                <w:strike/>
              </w:rPr>
              <w:t>0.0344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30432</w:t>
            </w:r>
          </w:p>
          <w:p>
            <w:pPr>
              <w:pStyle w:val="TCTableBody"/>
              <w:spacing w:before="0" w:after="200"/>
              <w:rPr/>
            </w:pPr>
            <w:r>
              <w:rPr>
                <w:strike/>
              </w:rPr>
              <w:t>0.0721</w:t>
            </w:r>
          </w:p>
        </w:tc>
      </w:tr>
    </w:tbl>
    <w:p>
      <w:pPr>
        <w:pStyle w:val="TAMainText"/>
        <w:rPr>
          <w:color w:val="000000"/>
        </w:rPr>
      </w:pPr>
      <w:r>
        <w:rPr>
          <w:color w:val="000000"/>
        </w:rPr>
      </w:r>
    </w:p>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1"/>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trike w:val="false"/>
                <w:dstrike w:val="false"/>
                <w:highlight w:val="yellow"/>
              </w:rPr>
              <w:t>k</w:t>
            </w:r>
            <w:r>
              <w:rPr>
                <w:strike w:val="false"/>
                <w:dstrike w:val="false"/>
                <w:highlight w:val="yellow"/>
                <w:vertAlign w:val="subscript"/>
              </w:rPr>
              <w:t>298</w:t>
            </w:r>
            <w:r>
              <w:rPr>
                <w:strike w:val="false"/>
                <w:dstrike w:val="false"/>
                <w:highlight w:val="yellow"/>
              </w:rPr>
              <w:t xml:space="preserve"> ·10</w:t>
            </w:r>
            <w:r>
              <w:rPr>
                <w:strike w:val="false"/>
                <w:dstrike w:val="false"/>
                <w:highlight w:val="yellow"/>
                <w:vertAlign w:val="superscript"/>
              </w:rPr>
              <w:t>9</w:t>
            </w:r>
            <w:r>
              <w:rPr>
                <w:strike w:val="false"/>
                <w:dstrike w:val="false"/>
                <w:highlight w:val="yellow"/>
              </w:rPr>
              <w:t>, s</w:t>
            </w:r>
            <w:r>
              <w:rPr>
                <w:strike w:val="false"/>
                <w:dstrike w:val="false"/>
                <w:highlight w:val="yellow"/>
                <w:vertAlign w:val="superscript"/>
              </w:rPr>
              <w:t>-1</w:t>
            </w:r>
          </w:p>
          <w:p>
            <w:pPr>
              <w:pStyle w:val="TCTableBody"/>
              <w:spacing w:before="0" w:after="200"/>
              <w:rPr/>
            </w:pPr>
            <w:r>
              <w:rPr>
                <w:strike/>
              </w:rPr>
              <w:t>k</w:t>
            </w:r>
            <w:r>
              <w:rPr>
                <w:strike/>
                <w:vertAlign w:val="subscript"/>
              </w:rPr>
              <w:t>298</w:t>
            </w:r>
            <w:r>
              <w:rPr>
                <w:strike/>
              </w:rPr>
              <w:t>, g·mol</w:t>
            </w:r>
            <w:r>
              <w:rPr>
                <w:strike/>
                <w:vertAlign w:val="superscript"/>
              </w:rPr>
              <w:t>-1</w:t>
            </w:r>
            <w:r>
              <w:rPr>
                <w:strike/>
              </w:rPr>
              <w:t>·с</w:t>
            </w:r>
            <w:r>
              <w:rPr>
                <w:strike/>
                <w:vertAlign w:val="superscript"/>
              </w:rPr>
              <w:t>-1</w:t>
            </w:r>
            <w:r>
              <w:rPr>
                <w:strike/>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w:t>
            </w:r>
            <w:r>
              <w:rPr>
                <w:strike w:val="false"/>
                <w:dstrike w:val="false"/>
                <w:highlight w:val="yellow"/>
              </w:rPr>
              <w:t>.</w:t>
            </w:r>
            <w:r>
              <w:rPr>
                <w:strike w:val="false"/>
                <w:dstrike w:val="false"/>
                <w:highlight w:val="yellow"/>
              </w:rPr>
              <w:t>39</w:t>
            </w:r>
          </w:p>
          <w:p>
            <w:pPr>
              <w:pStyle w:val="TCTableBody"/>
              <w:spacing w:before="0" w:after="200"/>
              <w:rPr/>
            </w:pPr>
            <w:r>
              <w:rPr>
                <w:strike/>
              </w:rPr>
              <w:t>4.17*10</w:t>
            </w:r>
            <w:r>
              <w:rPr>
                <w:strike/>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2</w:t>
            </w:r>
            <w:r>
              <w:rPr>
                <w:strike w:val="false"/>
                <w:dstrike w:val="false"/>
                <w:highlight w:val="yellow"/>
              </w:rPr>
              <w:t>.</w:t>
            </w:r>
            <w:r>
              <w:rPr>
                <w:strike w:val="false"/>
                <w:dstrike w:val="false"/>
                <w:highlight w:val="yellow"/>
              </w:rPr>
              <w:t>90</w:t>
            </w:r>
          </w:p>
          <w:p>
            <w:pPr>
              <w:pStyle w:val="TCTableBody"/>
              <w:spacing w:before="0" w:after="200"/>
              <w:rPr/>
            </w:pPr>
            <w:r>
              <w:rPr>
                <w:strike/>
              </w:rPr>
              <w:t>8.66*10</w:t>
            </w:r>
            <w:r>
              <w:rPr>
                <w:strike/>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w:t>
            </w:r>
            <w:r>
              <w:rPr>
                <w:strike w:val="false"/>
                <w:dstrike w:val="false"/>
                <w:highlight w:val="yellow"/>
              </w:rPr>
              <w:t>.</w:t>
            </w:r>
            <w:r>
              <w:rPr>
                <w:strike w:val="false"/>
                <w:dstrike w:val="false"/>
                <w:highlight w:val="yellow"/>
              </w:rPr>
              <w:t>45</w:t>
            </w:r>
          </w:p>
          <w:p>
            <w:pPr>
              <w:pStyle w:val="TCTableBody"/>
              <w:spacing w:before="0" w:after="200"/>
              <w:rPr/>
            </w:pPr>
            <w:r>
              <w:rPr>
                <w:strike/>
              </w:rPr>
              <w:t>1.33*10</w:t>
            </w:r>
            <w:r>
              <w:rPr>
                <w:strike/>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0</w:t>
            </w:r>
            <w:r>
              <w:rPr>
                <w:strike w:val="false"/>
                <w:dstrike w:val="false"/>
                <w:highlight w:val="yellow"/>
              </w:rPr>
              <w:t>.</w:t>
            </w:r>
            <w:r>
              <w:rPr>
                <w:strike w:val="false"/>
                <w:dstrike w:val="false"/>
                <w:highlight w:val="yellow"/>
              </w:rPr>
              <w:t>049</w:t>
            </w:r>
          </w:p>
          <w:p>
            <w:pPr>
              <w:pStyle w:val="TCTableBody"/>
              <w:spacing w:before="0" w:after="200"/>
              <w:rPr/>
            </w:pPr>
            <w:r>
              <w:rPr>
                <w:strike/>
              </w:rPr>
              <w:t>1.39*10</w:t>
            </w:r>
            <w:r>
              <w:rPr>
                <w:strike/>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48</w:t>
            </w:r>
            <w:r>
              <w:rPr>
                <w:strike w:val="false"/>
                <w:dstrike w:val="false"/>
                <w:highlight w:val="yellow"/>
              </w:rPr>
              <w:t>.</w:t>
            </w:r>
            <w:r>
              <w:rPr>
                <w:strike w:val="false"/>
                <w:dstrike w:val="false"/>
                <w:highlight w:val="yellow"/>
              </w:rPr>
              <w:t>91</w:t>
            </w:r>
          </w:p>
          <w:p>
            <w:pPr>
              <w:pStyle w:val="TCTableBody"/>
              <w:spacing w:before="0" w:after="200"/>
              <w:rPr/>
            </w:pPr>
            <w:r>
              <w:rPr>
                <w:strike/>
              </w:rPr>
              <w:t>1.39*10</w:t>
            </w:r>
            <w:r>
              <w:rPr>
                <w:strike/>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trike w:val="false"/>
                <w:dstrike w:val="false"/>
                <w:highlight w:val="yellow"/>
              </w:rPr>
              <w:t>18</w:t>
            </w:r>
            <w:r>
              <w:rPr>
                <w:strike w:val="false"/>
                <w:dstrike w:val="false"/>
                <w:highlight w:val="yellow"/>
              </w:rPr>
              <w:t>.</w:t>
            </w:r>
            <w:r>
              <w:rPr>
                <w:strike w:val="false"/>
                <w:dstrike w:val="false"/>
                <w:highlight w:val="yellow"/>
              </w:rPr>
              <w:t>75</w:t>
            </w:r>
          </w:p>
          <w:p>
            <w:pPr>
              <w:pStyle w:val="TCTableBody"/>
              <w:spacing w:before="0" w:after="200"/>
              <w:rPr/>
            </w:pPr>
            <w:r>
              <w:rPr>
                <w:strike/>
              </w:rPr>
              <w:t>5.33*10</w:t>
            </w:r>
            <w:r>
              <w:rPr>
                <w:strike/>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rFonts w:cs="Liberation Serif"/>
              </w:rPr>
              <w:t>140.3</w:t>
            </w:r>
          </w:p>
        </w:tc>
      </w:tr>
    </w:tbl>
    <w:p>
      <w:pPr>
        <w:pStyle w:val="FETableFootnote"/>
        <w:bidi w:val="0"/>
        <w:spacing w:before="0" w:after="170"/>
        <w:jc w:val="left"/>
        <w:rPr/>
      </w:pPr>
      <w:r>
        <w:rPr>
          <w:color w:val="000000"/>
        </w:rPr>
        <w:t>k</w:t>
      </w:r>
      <w:r>
        <w:rPr>
          <w:color w:val="000000"/>
          <w:vertAlign w:val="subscript"/>
        </w:rPr>
        <w:t>298</w:t>
      </w:r>
      <w:r>
        <w:rPr>
          <w:color w:val="000000"/>
        </w:rPr>
        <w:t xml:space="preserve"> – rate constant at 298 </w:t>
      </w:r>
      <w:r>
        <w:rPr>
          <w:color w:val="000000"/>
          <w:vertAlign w:val="superscript"/>
        </w:rPr>
        <w:t>о</w:t>
      </w:r>
      <w:r>
        <w:rPr>
          <w:color w:val="000000"/>
        </w:rPr>
        <w:t>K;  Ea — activation energy</w:t>
      </w:r>
    </w:p>
    <w:p>
      <w:pPr>
        <w:pStyle w:val="TAMainText"/>
        <w:rPr/>
      </w:pPr>
      <w:r>
        <w:rPr/>
        <w:drawing>
          <wp:inline distT="0" distB="0" distL="0" distR="0">
            <wp:extent cx="5545455" cy="5469890"/>
            <wp:effectExtent l="0" t="0" r="0" b="0"/>
            <wp:docPr id="1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descr=""/>
                    <pic:cNvPicPr>
                      <a:picLocks noChangeAspect="1" noChangeArrowheads="1"/>
                    </pic:cNvPicPr>
                  </pic:nvPicPr>
                  <pic:blipFill>
                    <a:blip r:embed="rId13"/>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4"/>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15"/>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1 and 2.</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w:t>
      </w:r>
      <w:bookmarkStart w:id="8" w:name="__DdeLink__3850_1463606234"/>
      <w:r>
        <w:rPr>
          <w:bCs/>
        </w:rPr>
        <w:t>Scheme</w:t>
      </w:r>
      <w:bookmarkEnd w:id="8"/>
      <w:r>
        <w:rPr>
          <w:bCs/>
        </w:rPr>
        <w:t xml:space="preserve"> 1).</w:t>
      </w:r>
    </w:p>
    <w:p>
      <w:pPr>
        <w:pStyle w:val="TAMainText"/>
        <w:jc w:val="center"/>
        <w:rPr>
          <w:rFonts w:ascii="FreeSans" w:hAnsi="FreeSans"/>
          <w:sz w:val="22"/>
          <w:szCs w:val="22"/>
          <w:lang w:eastAsia="ru-RU"/>
        </w:rPr>
      </w:pPr>
      <w:r>
        <w:rPr/>
        <w:drawing>
          <wp:inline distT="0" distB="0" distL="0" distR="0">
            <wp:extent cx="4448175" cy="74993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6"/>
                    <a:stretch>
                      <a:fillRect/>
                    </a:stretch>
                  </pic:blipFill>
                  <pic:spPr bwMode="auto">
                    <a:xfrm>
                      <a:off x="0" y="0"/>
                      <a:ext cx="4448175" cy="749935"/>
                    </a:xfrm>
                    <a:prstGeom prst="rect">
                      <a:avLst/>
                    </a:prstGeom>
                  </pic:spPr>
                </pic:pic>
              </a:graphicData>
            </a:graphic>
          </wp:inline>
        </w:drawing>
      </w:r>
    </w:p>
    <w:p>
      <w:pPr>
        <w:pStyle w:val="VCSchemeTitle"/>
        <w:rPr/>
      </w:pPr>
      <w:r>
        <w:rPr>
          <w:b/>
        </w:rPr>
        <w:t>Scheme 1.</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2.</w:t>
      </w:r>
    </w:p>
    <w:p>
      <w:pPr>
        <w:pStyle w:val="TAMainText"/>
        <w:jc w:val="center"/>
        <w:rPr/>
      </w:pPr>
      <w:r>
        <w:rPr/>
        <w:drawing>
          <wp:inline distT="0" distB="0" distL="0" distR="0">
            <wp:extent cx="4014470" cy="186182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7"/>
                    <a:stretch>
                      <a:fillRect/>
                    </a:stretch>
                  </pic:blipFill>
                  <pic:spPr bwMode="auto">
                    <a:xfrm>
                      <a:off x="0" y="0"/>
                      <a:ext cx="4014470" cy="1861820"/>
                    </a:xfrm>
                    <a:prstGeom prst="rect">
                      <a:avLst/>
                    </a:prstGeom>
                  </pic:spPr>
                </pic:pic>
              </a:graphicData>
            </a:graphic>
          </wp:inline>
        </w:drawing>
      </w:r>
    </w:p>
    <w:p>
      <w:pPr>
        <w:pStyle w:val="VCSchemeTitle"/>
        <w:rPr/>
      </w:pPr>
      <w:r>
        <w:rPr>
          <w:b/>
        </w:rPr>
        <w:t>Scheme 2.</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2. </w:t>
      </w:r>
      <w:r>
        <w:rPr/>
        <w:t xml:space="preserve">Previously, the appearance of polymer products during the thermal decomposition of </w:t>
      </w:r>
      <w:r>
        <w:rPr>
          <w:i/>
        </w:rPr>
        <w:t>ortho-</w:t>
      </w:r>
      <w:r>
        <w:rPr/>
        <w:t>carboxybenzenediazonium chloride was also explained by the intermediate formation of didehydrobenzene and naphthalene.</w:t>
      </w:r>
      <w:r>
        <w:rPr>
          <w:color w:val="0000CC"/>
          <w:vertAlign w:val="superscript"/>
        </w:rPr>
        <w:t>2h,2i</w:t>
      </w:r>
    </w:p>
    <w:p>
      <w:pPr>
        <w:pStyle w:val="TAMainText"/>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1). Indeed, the 2-nitrobenzene-1-ylium cation that would be formed in this case is much less stable and energetically unfavorable comparing to </w:t>
      </w:r>
      <w:r>
        <w:rPr>
          <w:color w:val="000000"/>
          <w:shd w:fill="FFC000" w:val="clear"/>
        </w:rPr>
        <w:t xml:space="preserve">aryl </w:t>
      </w:r>
      <w:r>
        <w:rPr>
          <w:color w:val="000000"/>
        </w:rPr>
        <w:t>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CE181E"/>
                <w:highlight w:val="yellow"/>
              </w:rPr>
            </w:pPr>
            <w:r>
              <w:rPr>
                <w:color w:val="CE181E"/>
                <w:highlight w:val="yellow"/>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CE181E"/>
                <w:highlight w:val="yellow"/>
              </w:rPr>
            </w:pPr>
            <w:r>
              <w:rPr>
                <w:color w:val="CE181E"/>
                <w:highlight w:val="yellow"/>
              </w:rPr>
              <w:t>4-NO</w:t>
            </w:r>
            <w:r>
              <w:rPr>
                <w:color w:val="CE181E"/>
                <w:highlight w:val="yellow"/>
                <w:vertAlign w:val="subscript"/>
              </w:rPr>
              <w:t>2</w:t>
            </w:r>
            <w:r>
              <w:rPr>
                <w:color w:val="CE181E"/>
                <w:highlight w:val="yellow"/>
              </w:rPr>
              <w:t>C</w:t>
            </w:r>
            <w:r>
              <w:rPr>
                <w:color w:val="CE181E"/>
                <w:highlight w:val="yellow"/>
                <w:vertAlign w:val="subscript"/>
              </w:rPr>
              <w:t>6</w:t>
            </w:r>
            <w:r>
              <w:rPr>
                <w:color w:val="CE181E"/>
                <w:highlight w:val="yellow"/>
              </w:rPr>
              <w:t>H</w:t>
            </w:r>
            <w:r>
              <w:rPr>
                <w:color w:val="CE181E"/>
                <w:highlight w:val="yellow"/>
                <w:vertAlign w:val="subscript"/>
              </w:rPr>
              <w:t>4</w:t>
            </w:r>
            <w:r>
              <w:rPr>
                <w:color w:val="CE181E"/>
                <w:highlight w:val="yellow"/>
              </w:rPr>
              <w:t>N</w:t>
            </w:r>
            <w:r>
              <w:rPr>
                <w:color w:val="CE181E"/>
                <w:highlight w:val="yellow"/>
                <w:vertAlign w:val="subscript"/>
              </w:rPr>
              <w:t>2</w:t>
            </w:r>
            <w:r>
              <w:rPr>
                <w:color w:val="CE181E"/>
                <w:highlight w:val="yellow"/>
                <w:vertAlign w:val="superscript"/>
              </w:rPr>
              <w:t>+-</w:t>
            </w:r>
            <w:r>
              <w:rPr>
                <w:color w:val="CE181E"/>
                <w:highlight w:val="yellow"/>
              </w:rPr>
              <w:t>BF</w:t>
            </w:r>
            <w:r>
              <w:rPr>
                <w:color w:val="CE181E"/>
                <w:highlight w:val="yellow"/>
                <w:vertAlign w:val="subscript"/>
              </w:rPr>
              <w:t>4</w:t>
            </w:r>
            <w:r>
              <w:rPr>
                <w:rFonts w:ascii="Times New Roman" w:hAnsi="Times New Roman"/>
                <w:color w:val="CE181E"/>
                <w:highlight w:val="yellow"/>
              </w:rPr>
              <w:t>→</w:t>
            </w:r>
            <w:r>
              <w:rPr>
                <w:color w:val="CE181E"/>
                <w:highlight w:val="yellow"/>
              </w:rPr>
              <w:t xml:space="preserve"> 4-NO</w:t>
            </w:r>
            <w:r>
              <w:rPr>
                <w:color w:val="CE181E"/>
                <w:highlight w:val="yellow"/>
                <w:vertAlign w:val="subscript"/>
              </w:rPr>
              <w:t>2</w:t>
            </w:r>
            <w:r>
              <w:rPr>
                <w:color w:val="CE181E"/>
                <w:highlight w:val="yellow"/>
              </w:rPr>
              <w:t>C</w:t>
            </w:r>
            <w:r>
              <w:rPr>
                <w:color w:val="CE181E"/>
                <w:highlight w:val="yellow"/>
                <w:vertAlign w:val="subscript"/>
              </w:rPr>
              <w:t>6</w:t>
            </w:r>
            <w:r>
              <w:rPr>
                <w:color w:val="CE181E"/>
                <w:highlight w:val="yellow"/>
              </w:rPr>
              <w:t>H</w:t>
            </w:r>
            <w:r>
              <w:rPr>
                <w:color w:val="CE181E"/>
                <w:highlight w:val="yellow"/>
                <w:vertAlign w:val="subscript"/>
              </w:rPr>
              <w:t>4</w:t>
            </w:r>
            <w:r>
              <w:rPr>
                <w:color w:val="CE181E"/>
                <w:highlight w:val="yellow"/>
              </w:rPr>
              <w:t>N</w:t>
            </w:r>
            <w:r>
              <w:rPr>
                <w:color w:val="CE181E"/>
                <w:highlight w:val="yellow"/>
                <w:vertAlign w:val="subscript"/>
              </w:rPr>
              <w:t>2</w:t>
            </w:r>
            <w:r>
              <w:rPr>
                <w:color w:val="CE181E"/>
                <w:highlight w:val="yellow"/>
              </w:rPr>
              <w:t>F + BF</w:t>
            </w:r>
            <w:r>
              <w:rPr>
                <w:color w:val="CE181E"/>
                <w:highlight w:val="yellow"/>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CE181E"/>
                <w:highlight w:val="yellow"/>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CE181E"/>
                <w:highlight w:val="yellow"/>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color w:val="000000"/>
              </w:rPr>
            </w:pPr>
            <w:r>
              <w:rPr>
                <w:color w:val="CE181E"/>
                <w:highlight w:val="yellow"/>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CE181E"/>
                <w:highlight w:val="yellow"/>
              </w:rPr>
            </w:pPr>
            <w:r>
              <w:rPr>
                <w:color w:val="CE181E"/>
                <w:highlight w:val="yellow"/>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CE181E"/>
                <w:highlight w:val="yellow"/>
              </w:rPr>
            </w:pPr>
            <w:r>
              <w:rPr>
                <w:color w:val="CE181E"/>
                <w:highlight w:val="yellow"/>
              </w:rPr>
              <w:t>4-NO</w:t>
            </w:r>
            <w:r>
              <w:rPr>
                <w:color w:val="CE181E"/>
                <w:highlight w:val="yellow"/>
                <w:vertAlign w:val="subscript"/>
              </w:rPr>
              <w:t>2</w:t>
            </w:r>
            <w:r>
              <w:rPr>
                <w:color w:val="CE181E"/>
                <w:highlight w:val="yellow"/>
              </w:rPr>
              <w:t>C</w:t>
            </w:r>
            <w:r>
              <w:rPr>
                <w:color w:val="CE181E"/>
                <w:highlight w:val="yellow"/>
                <w:vertAlign w:val="subscript"/>
              </w:rPr>
              <w:t>6</w:t>
            </w:r>
            <w:r>
              <w:rPr>
                <w:color w:val="CE181E"/>
                <w:highlight w:val="yellow"/>
              </w:rPr>
              <w:t>H</w:t>
            </w:r>
            <w:r>
              <w:rPr>
                <w:color w:val="CE181E"/>
                <w:highlight w:val="yellow"/>
                <w:vertAlign w:val="subscript"/>
              </w:rPr>
              <w:t>4</w:t>
            </w:r>
            <w:r>
              <w:rPr>
                <w:color w:val="CE181E"/>
                <w:highlight w:val="yellow"/>
              </w:rPr>
              <w:t>N</w:t>
            </w:r>
            <w:r>
              <w:rPr>
                <w:color w:val="CE181E"/>
                <w:highlight w:val="yellow"/>
                <w:vertAlign w:val="subscript"/>
              </w:rPr>
              <w:t>2</w:t>
            </w:r>
            <w:r>
              <w:rPr>
                <w:color w:val="CE181E"/>
                <w:highlight w:val="yellow"/>
              </w:rPr>
              <w:t>F</w:t>
            </w:r>
            <w:r>
              <w:rPr>
                <w:color w:val="CE181E"/>
                <w:highlight w:val="yellow"/>
                <w:vertAlign w:val="superscript"/>
              </w:rPr>
              <w:t>-</w:t>
            </w:r>
            <w:r>
              <w:rPr>
                <w:rFonts w:ascii="Times New Roman" w:hAnsi="Times New Roman"/>
                <w:color w:val="CE181E"/>
                <w:highlight w:val="yellow"/>
              </w:rPr>
              <w:t xml:space="preserve">→ </w:t>
            </w:r>
            <w:r>
              <w:rPr>
                <w:color w:val="CE181E"/>
                <w:highlight w:val="yellow"/>
              </w:rPr>
              <w:t>4-NO</w:t>
            </w:r>
            <w:r>
              <w:rPr>
                <w:color w:val="CE181E"/>
                <w:highlight w:val="yellow"/>
                <w:vertAlign w:val="subscript"/>
              </w:rPr>
              <w:t>2</w:t>
            </w:r>
            <w:r>
              <w:rPr>
                <w:color w:val="CE181E"/>
                <w:highlight w:val="yellow"/>
              </w:rPr>
              <w:t>C</w:t>
            </w:r>
            <w:r>
              <w:rPr>
                <w:color w:val="CE181E"/>
                <w:highlight w:val="yellow"/>
                <w:vertAlign w:val="subscript"/>
              </w:rPr>
              <w:t>6</w:t>
            </w:r>
            <w:r>
              <w:rPr>
                <w:color w:val="CE181E"/>
                <w:highlight w:val="yellow"/>
              </w:rPr>
              <w:t>H</w:t>
            </w:r>
            <w:r>
              <w:rPr>
                <w:color w:val="CE181E"/>
                <w:highlight w:val="yellow"/>
                <w:vertAlign w:val="subscript"/>
              </w:rPr>
              <w:t>4</w:t>
            </w:r>
            <w:r>
              <w:rPr>
                <w:color w:val="CE181E"/>
                <w:highlight w:val="yellow"/>
              </w:rPr>
              <w:t>F + N</w:t>
            </w:r>
            <w:r>
              <w:rPr>
                <w:color w:val="CE181E"/>
                <w:highlight w:val="yellow"/>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CE181E"/>
                <w:highlight w:val="yellow"/>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color w:val="000000"/>
              </w:rPr>
            </w:pPr>
            <w:r>
              <w:rPr>
                <w:color w:val="CE181E"/>
                <w:highlight w:val="yellow"/>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color w:val="000000"/>
              </w:rPr>
            </w:pPr>
            <w:r>
              <w:rPr>
                <w:color w:val="CE181E"/>
                <w:highlight w:val="yellow"/>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rFonts w:ascii="Times" w:hAnsi="Times"/>
              </w:rPr>
            </w:pPr>
            <w:bookmarkStart w:id="9" w:name="__DdeLink__2925_236759401"/>
            <w:r>
              <w:rPr>
                <w:rFonts w:cs="Standard Symbols L" w:ascii="Times" w:hAnsi="Times"/>
              </w:rPr>
              <w:t>Δ</w:t>
            </w:r>
            <w:bookmarkEnd w:id="9"/>
            <w:r>
              <w:rPr>
                <w:rFonts w:ascii="Times" w:hAnsi="Times"/>
              </w:rPr>
              <w:t>H</w:t>
            </w:r>
            <w:r>
              <w:rPr>
                <w:rFonts w:ascii="Times" w:hAnsi="Times"/>
                <w:vertAlign w:val="subscript"/>
              </w:rPr>
              <w:t>298</w:t>
            </w:r>
            <w:r>
              <w:rPr>
                <w:rFonts w:ascii="Times" w:hAnsi="Times"/>
              </w:rPr>
              <w:t>, (</w:t>
            </w:r>
            <w:r>
              <w:rPr>
                <w:rFonts w:cs="Standard Symbols L" w:ascii="Times" w:hAnsi="Times"/>
              </w:rPr>
              <w:t>Δ</w:t>
            </w:r>
            <w:r>
              <w:rPr>
                <w:rFonts w:ascii="Times" w:hAnsi="Times"/>
              </w:rPr>
              <w:t>H</w:t>
            </w:r>
            <w:r>
              <w:rPr>
                <w:rFonts w:ascii="Times" w:hAnsi="Times"/>
                <w:vertAlign w:val="subscript"/>
              </w:rPr>
              <w:t>353</w:t>
            </w:r>
            <w:r>
              <w:rPr>
                <w:rFonts w:ascii="Times" w:hAnsi="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rFonts w:ascii="Times" w:hAnsi="Times"/>
              </w:rPr>
            </w:pPr>
            <w:r>
              <w:rPr>
                <w:rFonts w:cs="Standard Symbols L" w:ascii="Times" w:hAnsi="Times"/>
              </w:rPr>
              <w:t>Δ</w:t>
            </w:r>
            <w:r>
              <w:rPr>
                <w:rFonts w:ascii="Times" w:hAnsi="Times"/>
              </w:rPr>
              <w:t>H</w:t>
            </w:r>
            <w:r>
              <w:rPr>
                <w:rFonts w:ascii="Times" w:hAnsi="Times"/>
                <w:vertAlign w:val="subscript"/>
              </w:rPr>
              <w:t>348</w:t>
            </w:r>
            <w:r>
              <w:rPr>
                <w:rFonts w:ascii="Times" w:hAnsi="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rFonts w:ascii="Times" w:hAnsi="Times"/>
              </w:rPr>
            </w:pPr>
            <w:r>
              <w:rPr>
                <w:rFonts w:cs="Standard Symbols L" w:ascii="Times" w:hAnsi="Times"/>
              </w:rPr>
              <w:t>Δ</w:t>
            </w:r>
            <w:r>
              <w:rPr>
                <w:rFonts w:ascii="Times" w:hAnsi="Times"/>
              </w:rPr>
              <w:t>H</w:t>
            </w:r>
            <w:r>
              <w:rPr>
                <w:rFonts w:ascii="Times" w:hAnsi="Times"/>
                <w:vertAlign w:val="subscript"/>
              </w:rPr>
              <w:t>353</w:t>
            </w:r>
            <w:r>
              <w:rPr>
                <w:rFonts w:ascii="Times" w:hAnsi="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rFonts w:ascii="Times" w:hAnsi="Times"/>
              </w:rPr>
            </w:pPr>
            <w:r>
              <w:rPr>
                <w:rFonts w:cs="Standard Symbols L" w:ascii="Times" w:hAnsi="Times"/>
              </w:rPr>
              <w:t>Δ</w:t>
            </w:r>
            <w:r>
              <w:rPr>
                <w:rFonts w:ascii="Times" w:hAnsi="Times"/>
              </w:rPr>
              <w:t>H</w:t>
            </w:r>
            <w:r>
              <w:rPr>
                <w:rFonts w:ascii="Times" w:hAnsi="Times"/>
                <w:vertAlign w:val="subscript"/>
              </w:rPr>
              <w:t>358</w:t>
            </w:r>
            <w:r>
              <w:rPr>
                <w:rFonts w:ascii="Times" w:hAnsi="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jc w:val="left"/>
              <w:rPr>
                <w:rFonts w:ascii="Times" w:hAnsi="Times"/>
              </w:rPr>
            </w:pPr>
            <w:r>
              <w:rPr>
                <w:rFonts w:cs="Standard Symbols L" w:ascii="Times" w:hAnsi="Times"/>
              </w:rPr>
              <w:t>Δ</w:t>
            </w:r>
            <w:r>
              <w:rPr>
                <w:rFonts w:ascii="Times" w:hAnsi="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Times" w:hAnsi="Times"/>
              </w:rPr>
            </w:pPr>
            <w:r>
              <w:rPr>
                <w:rFonts w:ascii="Times" w:hAnsi="Times"/>
              </w:rPr>
              <w:t>2</w:t>
              <w:noBreakHyphen/>
              <w:t>NO</w:t>
            </w:r>
            <w:r>
              <w:rPr>
                <w:rFonts w:ascii="Times" w:hAnsi="Times"/>
                <w:vertAlign w:val="subscript"/>
              </w:rPr>
              <w:t>2</w:t>
            </w:r>
            <w:r>
              <w:rPr>
                <w:rFonts w:ascii="Times" w:hAnsi="Times"/>
              </w:rPr>
              <w:t>C</w:t>
            </w:r>
            <w:r>
              <w:rPr>
                <w:rFonts w:ascii="Times" w:hAnsi="Times"/>
                <w:vertAlign w:val="subscript"/>
              </w:rPr>
              <w:t>6</w:t>
            </w:r>
            <w:r>
              <w:rPr>
                <w:rFonts w:ascii="Times" w:hAnsi="Times"/>
              </w:rPr>
              <w:t>H</w:t>
            </w:r>
            <w:r>
              <w:rPr>
                <w:rFonts w:ascii="Times" w:hAnsi="Times"/>
                <w:vertAlign w:val="subscript"/>
              </w:rPr>
              <w:t>4</w:t>
            </w:r>
            <w:r>
              <w:rPr>
                <w:rFonts w:ascii="Times" w:hAnsi="Times"/>
              </w:rPr>
              <w:t>N</w:t>
            </w:r>
            <w:r>
              <w:rPr>
                <w:rFonts w:ascii="Times" w:hAnsi="Times"/>
                <w:vertAlign w:val="subscript"/>
              </w:rPr>
              <w:t>2</w:t>
            </w:r>
            <w:r>
              <w:rPr>
                <w:rFonts w:ascii="Times" w:hAnsi="Times"/>
                <w:vertAlign w:val="superscript"/>
              </w:rPr>
              <w:t>+</w:t>
            </w:r>
            <w:r>
              <w:rPr>
                <w:rFonts w:ascii="Times" w:hAnsi="Times"/>
              </w:rPr>
              <w:t> Tf</w:t>
            </w:r>
            <w:r>
              <w:rPr>
                <w:rFonts w:ascii="Times" w:hAnsi="Times"/>
                <w:vertAlign w:val="superscript"/>
              </w:rPr>
              <w:t>-</w:t>
            </w:r>
            <w:r>
              <w:rPr>
                <w:rFonts w:ascii="Times" w:hAnsi="Times"/>
              </w:rPr>
              <w:t> → 2</w:t>
              <w:noBreakHyphen/>
              <w:t>NO</w:t>
            </w:r>
            <w:r>
              <w:rPr>
                <w:rFonts w:ascii="Times" w:hAnsi="Times"/>
                <w:vertAlign w:val="subscript"/>
              </w:rPr>
              <w:t>2</w:t>
            </w:r>
            <w:r>
              <w:rPr>
                <w:rFonts w:ascii="Times" w:hAnsi="Times"/>
              </w:rPr>
              <w:t>C</w:t>
            </w:r>
            <w:r>
              <w:rPr>
                <w:rFonts w:ascii="Times" w:hAnsi="Times"/>
                <w:vertAlign w:val="subscript"/>
              </w:rPr>
              <w:t>6</w:t>
            </w:r>
            <w:r>
              <w:rPr>
                <w:rFonts w:ascii="Times" w:hAnsi="Times"/>
              </w:rPr>
              <w:t>H</w:t>
            </w:r>
            <w:r>
              <w:rPr>
                <w:rFonts w:ascii="Times" w:hAnsi="Times"/>
                <w:vertAlign w:val="subscript"/>
              </w:rPr>
              <w:t>4</w:t>
            </w:r>
            <w:r>
              <w:rPr>
                <w:rFonts w:ascii="Times" w:hAnsi="Times"/>
              </w:rPr>
              <w:t>OTf + N</w:t>
            </w:r>
            <w:r>
              <w:rPr>
                <w:rFonts w:ascii="Times" w:hAnsi="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Times" w:hAnsi="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Times" w:hAnsi="Times"/>
              </w:rPr>
            </w:pPr>
            <w:r>
              <w:rPr>
                <w:rFonts w:ascii="Times" w:hAnsi="Times"/>
              </w:rPr>
              <w:t>3</w:t>
              <w:noBreakHyphen/>
              <w:t>NO</w:t>
            </w:r>
            <w:r>
              <w:rPr>
                <w:rFonts w:ascii="Times" w:hAnsi="Times"/>
                <w:vertAlign w:val="subscript"/>
              </w:rPr>
              <w:t>2</w:t>
            </w:r>
            <w:r>
              <w:rPr>
                <w:rFonts w:ascii="Times" w:hAnsi="Times"/>
              </w:rPr>
              <w:t>C</w:t>
            </w:r>
            <w:r>
              <w:rPr>
                <w:rFonts w:ascii="Times" w:hAnsi="Times"/>
                <w:vertAlign w:val="subscript"/>
              </w:rPr>
              <w:t>6</w:t>
            </w:r>
            <w:r>
              <w:rPr>
                <w:rFonts w:ascii="Times" w:hAnsi="Times"/>
              </w:rPr>
              <w:t>H</w:t>
            </w:r>
            <w:r>
              <w:rPr>
                <w:rFonts w:ascii="Times" w:hAnsi="Times"/>
                <w:vertAlign w:val="subscript"/>
              </w:rPr>
              <w:t>4</w:t>
            </w:r>
            <w:r>
              <w:rPr>
                <w:rFonts w:ascii="Times" w:hAnsi="Times"/>
              </w:rPr>
              <w:t>N</w:t>
            </w:r>
            <w:r>
              <w:rPr>
                <w:rFonts w:ascii="Times" w:hAnsi="Times"/>
                <w:vertAlign w:val="subscript"/>
              </w:rPr>
              <w:t>2</w:t>
            </w:r>
            <w:r>
              <w:rPr>
                <w:rFonts w:ascii="Times" w:hAnsi="Times"/>
                <w:vertAlign w:val="superscript"/>
              </w:rPr>
              <w:t>+</w:t>
            </w:r>
            <w:r>
              <w:rPr>
                <w:rFonts w:ascii="Times" w:hAnsi="Times"/>
              </w:rPr>
              <w:t> TfO</w:t>
            </w:r>
            <w:r>
              <w:rPr>
                <w:rFonts w:ascii="Times" w:hAnsi="Times"/>
                <w:vertAlign w:val="superscript"/>
              </w:rPr>
              <w:t>-</w:t>
            </w:r>
            <w:r>
              <w:rPr>
                <w:rFonts w:ascii="Times" w:hAnsi="Times"/>
              </w:rPr>
              <w:t> → 3</w:t>
              <w:noBreakHyphen/>
              <w:t>NO</w:t>
            </w:r>
            <w:r>
              <w:rPr>
                <w:rFonts w:ascii="Times" w:hAnsi="Times"/>
                <w:vertAlign w:val="subscript"/>
              </w:rPr>
              <w:t>2</w:t>
            </w:r>
            <w:r>
              <w:rPr>
                <w:rFonts w:ascii="Times" w:hAnsi="Times"/>
              </w:rPr>
              <w:noBreakHyphen/>
              <w:t>C</w:t>
            </w:r>
            <w:r>
              <w:rPr>
                <w:rFonts w:ascii="Times" w:hAnsi="Times"/>
                <w:vertAlign w:val="subscript"/>
              </w:rPr>
              <w:t>6</w:t>
            </w:r>
            <w:r>
              <w:rPr>
                <w:rFonts w:ascii="Times" w:hAnsi="Times"/>
              </w:rPr>
              <w:t>H</w:t>
            </w:r>
            <w:r>
              <w:rPr>
                <w:rFonts w:ascii="Times" w:hAnsi="Times"/>
                <w:vertAlign w:val="subscript"/>
              </w:rPr>
              <w:t>4</w:t>
            </w:r>
            <w:r>
              <w:rPr>
                <w:rFonts w:ascii="Times" w:hAnsi="Times"/>
              </w:rPr>
              <w:t>OTf + N</w:t>
            </w:r>
            <w:r>
              <w:rPr>
                <w:rFonts w:ascii="Times" w:hAnsi="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Times" w:hAnsi="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Times" w:hAnsi="Times"/>
              </w:rPr>
            </w:pPr>
            <w:r>
              <w:rPr>
                <w:rFonts w:ascii="Times" w:hAnsi="Times"/>
              </w:rPr>
              <w:t>4</w:t>
              <w:noBreakHyphen/>
              <w:t>NO</w:t>
            </w:r>
            <w:r>
              <w:rPr>
                <w:rFonts w:ascii="Times" w:hAnsi="Times"/>
                <w:vertAlign w:val="subscript"/>
              </w:rPr>
              <w:t>2</w:t>
            </w:r>
            <w:r>
              <w:rPr>
                <w:rFonts w:ascii="Times" w:hAnsi="Times"/>
              </w:rPr>
              <w:t>C</w:t>
            </w:r>
            <w:r>
              <w:rPr>
                <w:rFonts w:ascii="Times" w:hAnsi="Times"/>
                <w:vertAlign w:val="subscript"/>
              </w:rPr>
              <w:t>6</w:t>
            </w:r>
            <w:r>
              <w:rPr>
                <w:rFonts w:ascii="Times" w:hAnsi="Times"/>
              </w:rPr>
              <w:t>H</w:t>
            </w:r>
            <w:r>
              <w:rPr>
                <w:rFonts w:ascii="Times" w:hAnsi="Times"/>
                <w:vertAlign w:val="subscript"/>
              </w:rPr>
              <w:t>4</w:t>
            </w:r>
            <w:r>
              <w:rPr>
                <w:rFonts w:ascii="Times" w:hAnsi="Times"/>
              </w:rPr>
              <w:t>N</w:t>
            </w:r>
            <w:r>
              <w:rPr>
                <w:rFonts w:ascii="Times" w:hAnsi="Times"/>
                <w:vertAlign w:val="subscript"/>
              </w:rPr>
              <w:t>2</w:t>
            </w:r>
            <w:r>
              <w:rPr>
                <w:rFonts w:ascii="Times" w:hAnsi="Times"/>
                <w:vertAlign w:val="superscript"/>
              </w:rPr>
              <w:t>+</w:t>
            </w:r>
            <w:r>
              <w:rPr>
                <w:rFonts w:ascii="Times" w:hAnsi="Times"/>
              </w:rPr>
              <w:t> TfO</w:t>
            </w:r>
            <w:r>
              <w:rPr>
                <w:rFonts w:ascii="Times" w:hAnsi="Times"/>
                <w:vertAlign w:val="superscript"/>
              </w:rPr>
              <w:t>-</w:t>
            </w:r>
            <w:r>
              <w:rPr>
                <w:rFonts w:ascii="Times" w:hAnsi="Times"/>
              </w:rPr>
              <w:t> → 4</w:t>
              <w:noBreakHyphen/>
              <w:t>NO</w:t>
            </w:r>
            <w:r>
              <w:rPr>
                <w:rFonts w:ascii="Times" w:hAnsi="Times"/>
                <w:vertAlign w:val="subscript"/>
              </w:rPr>
              <w:t>2</w:t>
            </w:r>
            <w:r>
              <w:rPr>
                <w:rFonts w:ascii="Times" w:hAnsi="Times"/>
              </w:rPr>
              <w:noBreakHyphen/>
              <w:t>C6H4OTf + N</w:t>
            </w:r>
            <w:r>
              <w:rPr>
                <w:rFonts w:ascii="Times" w:hAnsi="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Times" w:hAnsi="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Times" w:hAnsi="Times"/>
              </w:rPr>
            </w:pPr>
            <w:r>
              <w:rPr>
                <w:rFonts w:ascii="Times" w:hAnsi="Times"/>
              </w:rPr>
              <w:t>4-MeOC</w:t>
            </w:r>
            <w:r>
              <w:rPr>
                <w:rFonts w:ascii="Times" w:hAnsi="Times"/>
                <w:vertAlign w:val="subscript"/>
              </w:rPr>
              <w:t>6</w:t>
            </w:r>
            <w:r>
              <w:rPr>
                <w:rFonts w:ascii="Times" w:hAnsi="Times"/>
              </w:rPr>
              <w:t>H</w:t>
            </w:r>
            <w:r>
              <w:rPr>
                <w:rFonts w:ascii="Times" w:hAnsi="Times"/>
                <w:vertAlign w:val="subscript"/>
              </w:rPr>
              <w:t>4</w:t>
            </w:r>
            <w:r>
              <w:rPr>
                <w:rFonts w:ascii="Times" w:hAnsi="Times"/>
              </w:rPr>
              <w:t>N</w:t>
            </w:r>
            <w:r>
              <w:rPr>
                <w:rFonts w:ascii="Times" w:hAnsi="Times"/>
                <w:vertAlign w:val="subscript"/>
              </w:rPr>
              <w:t>2</w:t>
            </w:r>
            <w:r>
              <w:rPr>
                <w:rFonts w:ascii="Times" w:hAnsi="Times"/>
                <w:vertAlign w:val="superscript"/>
              </w:rPr>
              <w:t>+</w:t>
            </w:r>
            <w:r>
              <w:rPr>
                <w:rFonts w:ascii="Times" w:hAnsi="Times"/>
              </w:rPr>
              <w:t> TfO</w:t>
            </w:r>
            <w:r>
              <w:rPr>
                <w:rFonts w:ascii="Times" w:hAnsi="Times"/>
                <w:vertAlign w:val="superscript"/>
              </w:rPr>
              <w:t>-</w:t>
            </w:r>
            <w:r>
              <w:rPr>
                <w:rFonts w:ascii="Times" w:hAnsi="Times"/>
              </w:rPr>
              <w:t> → 4</w:t>
              <w:noBreakHyphen/>
              <w:t>MeOC</w:t>
            </w:r>
            <w:r>
              <w:rPr>
                <w:rFonts w:ascii="Times" w:hAnsi="Times"/>
                <w:vertAlign w:val="subscript"/>
              </w:rPr>
              <w:t>6</w:t>
            </w:r>
            <w:r>
              <w:rPr>
                <w:rFonts w:ascii="Times" w:hAnsi="Times"/>
              </w:rPr>
              <w:t>H</w:t>
            </w:r>
            <w:r>
              <w:rPr>
                <w:rFonts w:ascii="Times" w:hAnsi="Times"/>
                <w:vertAlign w:val="subscript"/>
              </w:rPr>
              <w:t>4</w:t>
            </w:r>
            <w:r>
              <w:rPr>
                <w:rFonts w:ascii="Times" w:hAnsi="Times"/>
              </w:rPr>
              <w:t>OTf + N</w:t>
            </w:r>
            <w:r>
              <w:rPr>
                <w:rFonts w:ascii="Times" w:hAnsi="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Times" w:hAnsi="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Times" w:hAnsi="Times"/>
              </w:rPr>
            </w:pPr>
            <w:r>
              <w:rPr>
                <w:rFonts w:ascii="Times" w:hAnsi="Times"/>
              </w:rPr>
              <w:t>4-NO</w:t>
            </w:r>
            <w:r>
              <w:rPr>
                <w:rFonts w:ascii="Times" w:hAnsi="Times"/>
                <w:vertAlign w:val="subscript"/>
              </w:rPr>
              <w:t>2</w:t>
            </w:r>
            <w:r>
              <w:rPr>
                <w:rFonts w:ascii="Times" w:hAnsi="Times"/>
              </w:rPr>
              <w:t>C</w:t>
            </w:r>
            <w:r>
              <w:rPr>
                <w:rFonts w:ascii="Times" w:hAnsi="Times"/>
                <w:vertAlign w:val="subscript"/>
              </w:rPr>
              <w:t>6</w:t>
            </w:r>
            <w:r>
              <w:rPr>
                <w:rFonts w:ascii="Times" w:hAnsi="Times"/>
              </w:rPr>
              <w:t>H</w:t>
            </w:r>
            <w:r>
              <w:rPr>
                <w:rFonts w:ascii="Times" w:hAnsi="Times"/>
                <w:vertAlign w:val="subscript"/>
              </w:rPr>
              <w:t>4</w:t>
            </w:r>
            <w:r>
              <w:rPr>
                <w:rFonts w:ascii="Times" w:hAnsi="Times"/>
              </w:rPr>
              <w:t>N</w:t>
            </w:r>
            <w:r>
              <w:rPr>
                <w:rFonts w:ascii="Times" w:hAnsi="Times"/>
                <w:vertAlign w:val="subscript"/>
              </w:rPr>
              <w:t>2</w:t>
            </w:r>
            <w:r>
              <w:rPr>
                <w:rFonts w:ascii="Times" w:hAnsi="Times"/>
                <w:vertAlign w:val="superscript"/>
              </w:rPr>
              <w:t>+</w:t>
            </w:r>
            <w:r>
              <w:rPr>
                <w:rFonts w:ascii="Times" w:hAnsi="Times"/>
              </w:rPr>
              <w:t> TfO</w:t>
            </w:r>
            <w:r>
              <w:rPr>
                <w:rFonts w:ascii="Times" w:hAnsi="Times"/>
                <w:vertAlign w:val="superscript"/>
              </w:rPr>
              <w:t>-</w:t>
            </w:r>
            <w:r>
              <w:rPr>
                <w:rFonts w:ascii="Times" w:hAnsi="Times"/>
              </w:rPr>
              <w:t> → 4</w:t>
              <w:noBreakHyphen/>
              <w:t>NO</w:t>
            </w:r>
            <w:r>
              <w:rPr>
                <w:rFonts w:ascii="Times" w:hAnsi="Times"/>
                <w:vertAlign w:val="subscript"/>
              </w:rPr>
              <w:t>2</w:t>
            </w:r>
            <w:r>
              <w:rPr>
                <w:rFonts w:ascii="Times" w:hAnsi="Times"/>
              </w:rPr>
              <w:t>C</w:t>
            </w:r>
            <w:r>
              <w:rPr>
                <w:rFonts w:ascii="Times" w:hAnsi="Times"/>
                <w:vertAlign w:val="subscript"/>
              </w:rPr>
              <w:t>6</w:t>
            </w:r>
            <w:r>
              <w:rPr>
                <w:rFonts w:ascii="Times" w:hAnsi="Times"/>
              </w:rPr>
              <w:t>H</w:t>
            </w:r>
            <w:r>
              <w:rPr>
                <w:rFonts w:ascii="Times" w:hAnsi="Times"/>
                <w:vertAlign w:val="subscript"/>
              </w:rPr>
              <w:t>4</w:t>
            </w:r>
            <w:r>
              <w:rPr>
                <w:rFonts w:ascii="Times" w:hAnsi="Times"/>
              </w:rPr>
              <w:t>OTs + N</w:t>
            </w:r>
            <w:r>
              <w:rPr>
                <w:rFonts w:ascii="Times" w:hAnsi="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Times" w:hAnsi="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lang w:val="es-ES"/>
              </w:rPr>
            </w:pPr>
            <w:r>
              <w:rPr>
                <w:rFonts w:ascii="Times" w:hAnsi="Times"/>
                <w:lang w:val="es-ES"/>
              </w:rPr>
              <w:t>4-NO</w:t>
            </w:r>
            <w:r>
              <w:rPr>
                <w:rFonts w:ascii="Times" w:hAnsi="Times"/>
                <w:vertAlign w:val="subscript"/>
                <w:lang w:val="es-ES"/>
              </w:rPr>
              <w:t>2</w:t>
            </w:r>
            <w:r>
              <w:rPr>
                <w:rFonts w:ascii="Times" w:hAnsi="Times"/>
                <w:lang w:val="es-ES"/>
              </w:rPr>
              <w:t>C</w:t>
            </w:r>
            <w:r>
              <w:rPr>
                <w:rFonts w:ascii="Times" w:hAnsi="Times"/>
                <w:vertAlign w:val="subscript"/>
                <w:lang w:val="es-ES"/>
              </w:rPr>
              <w:t>6</w:t>
            </w:r>
            <w:r>
              <w:rPr>
                <w:rFonts w:ascii="Times" w:hAnsi="Times"/>
                <w:lang w:val="es-ES"/>
              </w:rPr>
              <w:t>H</w:t>
            </w:r>
            <w:r>
              <w:rPr>
                <w:rFonts w:ascii="Times" w:hAnsi="Times"/>
                <w:vertAlign w:val="subscript"/>
                <w:lang w:val="es-ES"/>
              </w:rPr>
              <w:t>4</w:t>
            </w:r>
            <w:r>
              <w:rPr>
                <w:rFonts w:ascii="Times" w:hAnsi="Times"/>
                <w:lang w:val="es-ES"/>
              </w:rPr>
              <w:t>N</w:t>
            </w:r>
            <w:r>
              <w:rPr>
                <w:rFonts w:ascii="Times" w:hAnsi="Times"/>
                <w:vertAlign w:val="subscript"/>
                <w:lang w:val="es-ES"/>
              </w:rPr>
              <w:t>2</w:t>
            </w:r>
            <w:r>
              <w:rPr>
                <w:rFonts w:ascii="Times" w:hAnsi="Times"/>
                <w:vertAlign w:val="superscript"/>
                <w:lang w:val="es-ES"/>
              </w:rPr>
              <w:t>+</w:t>
            </w:r>
            <w:r>
              <w:rPr>
                <w:rFonts w:ascii="Times" w:hAnsi="Times"/>
              </w:rPr>
              <w:t> </w:t>
            </w:r>
            <w:r>
              <w:rPr>
                <w:rFonts w:ascii="Times" w:hAnsi="Times"/>
                <w:lang w:val="es-ES"/>
              </w:rPr>
              <w:t>BF</w:t>
            </w:r>
            <w:r>
              <w:rPr>
                <w:rFonts w:ascii="Times" w:hAnsi="Times"/>
                <w:vertAlign w:val="subscript"/>
                <w:lang w:val="es-ES"/>
              </w:rPr>
              <w:t>4</w:t>
            </w:r>
            <w:r>
              <w:rPr>
                <w:rFonts w:ascii="Times" w:hAnsi="Times"/>
                <w:vertAlign w:val="superscript"/>
                <w:lang w:val="es-ES"/>
              </w:rPr>
              <w:t>-</w:t>
            </w:r>
            <w:r>
              <w:rPr>
                <w:rFonts w:ascii="Times" w:hAnsi="Times"/>
              </w:rPr>
              <w:t> </w:t>
            </w:r>
            <w:r>
              <w:rPr>
                <w:rFonts w:ascii="Times" w:hAnsi="Times"/>
                <w:lang w:val="es-ES"/>
              </w:rPr>
              <w:t>→ 4</w:t>
            </w:r>
            <w:r>
              <w:rPr>
                <w:rFonts w:ascii="Times" w:hAnsi="Times"/>
              </w:rPr>
              <w:noBreakHyphen/>
            </w:r>
            <w:r>
              <w:rPr>
                <w:rFonts w:ascii="Times" w:hAnsi="Times"/>
                <w:lang w:val="es-ES"/>
              </w:rPr>
              <w:t>NO</w:t>
            </w:r>
            <w:r>
              <w:rPr>
                <w:rFonts w:ascii="Times" w:hAnsi="Times"/>
                <w:vertAlign w:val="subscript"/>
                <w:lang w:val="es-ES"/>
              </w:rPr>
              <w:t>2</w:t>
            </w:r>
            <w:r>
              <w:rPr>
                <w:rFonts w:ascii="Times" w:hAnsi="Times"/>
                <w:lang w:val="es-ES"/>
              </w:rPr>
              <w:t>C</w:t>
            </w:r>
            <w:r>
              <w:rPr>
                <w:rFonts w:ascii="Times" w:hAnsi="Times"/>
                <w:vertAlign w:val="subscript"/>
                <w:lang w:val="es-ES"/>
              </w:rPr>
              <w:t>6</w:t>
            </w:r>
            <w:r>
              <w:rPr>
                <w:rFonts w:ascii="Times" w:hAnsi="Times"/>
                <w:lang w:val="es-ES"/>
              </w:rPr>
              <w:t>H</w:t>
            </w:r>
            <w:r>
              <w:rPr>
                <w:rFonts w:ascii="Times" w:hAnsi="Times"/>
                <w:vertAlign w:val="subscript"/>
                <w:lang w:val="es-ES"/>
              </w:rPr>
              <w:t>4</w:t>
            </w:r>
            <w:r>
              <w:rPr>
                <w:rFonts w:ascii="Times" w:hAnsi="Times"/>
                <w:lang w:val="es-ES"/>
              </w:rPr>
              <w:t>F + BF</w:t>
            </w:r>
            <w:r>
              <w:rPr>
                <w:rFonts w:ascii="Times" w:hAnsi="Times"/>
                <w:vertAlign w:val="subscript"/>
                <w:lang w:val="es-ES"/>
              </w:rPr>
              <w:t>3</w:t>
            </w:r>
            <w:r>
              <w:rPr>
                <w:rFonts w:ascii="Times" w:hAnsi="Times"/>
                <w:lang w:val="es-ES"/>
              </w:rPr>
              <w:t xml:space="preserve"> + N</w:t>
            </w:r>
            <w:r>
              <w:rPr>
                <w:rFonts w:ascii="Times" w:hAnsi="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rFonts w:ascii="Free Times" w:hAnsi="Free Times"/>
              </w:rPr>
            </w:pPr>
            <w:r>
              <w:rPr>
                <w:rFonts w:ascii="Times" w:hAnsi="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rFonts w:ascii="Free Times" w:hAnsi="Free Times"/>
              </w:rPr>
            </w:pPr>
            <w:r>
              <w:rPr>
                <w:rFonts w:ascii="Times" w:hAnsi="Times"/>
              </w:rPr>
              <w:t>-54.3</w:t>
            </w:r>
          </w:p>
        </w:tc>
      </w:tr>
    </w:tbl>
    <w:p>
      <w:pPr>
        <w:pStyle w:val="TAMainText"/>
        <w:rPr>
          <w:color w:val="000000"/>
        </w:rPr>
      </w:pPr>
      <w:r>
        <w:rPr>
          <w:color w:val="000000"/>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2)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Results of modeling and deconvolution of heat flow experimental kinetic curves acquired in isothermal conditions as well as r</w:t>
      </w:r>
      <w:r>
        <w:rPr>
          <w:bCs/>
        </w:rPr>
        <w:t>esults of quantum chemical calculations can be found in Supporting.</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ascii="Times New Roman" w:hAnsi="Times New Roman"/>
          <w:szCs w:val="24"/>
        </w:rPr>
        <w:t>filimonov@tpu.ru</w:t>
      </w:r>
    </w:p>
    <w:p>
      <w:pPr>
        <w:pStyle w:val="FACorrespondingAuthorFootnote"/>
        <w:spacing w:before="0" w:after="240"/>
        <w:jc w:val="left"/>
        <w:rPr/>
      </w:pPr>
      <w:r>
        <w:rPr/>
        <w:t xml:space="preserve">* Alexander.A.Bondarev, </w:t>
      </w:r>
      <w:bookmarkStart w:id="10" w:name="__DdeLink__14103_2062433773"/>
      <w:r>
        <w:rPr/>
        <w:t>Alexander.A.Bondarev</w:t>
      </w:r>
      <w:bookmarkEnd w:id="10"/>
      <w:r>
        <w:rPr/>
        <w:t>@gmail.com</w:t>
      </w:r>
    </w:p>
    <w:p>
      <w:pPr>
        <w:pStyle w:val="FAAuthorInfoSubtitle"/>
        <w:rPr/>
      </w:pPr>
      <w:r>
        <w:rPr/>
        <w:t>ORCID</w:t>
      </w:r>
    </w:p>
    <w:p>
      <w:pPr>
        <w:pStyle w:val="FAAuthorInfoSubtitle"/>
        <w:rPr>
          <w:b w:val="false"/>
          <w:b w:val="false"/>
        </w:rPr>
      </w:pPr>
      <w:r>
        <w:rPr>
          <w:b w:val="false"/>
        </w:rPr>
        <w:t>Prof. Victor D. Filimonov: 0000-0003-4729-8871</w:t>
      </w:r>
    </w:p>
    <w:p>
      <w:pPr>
        <w:pStyle w:val="FAAuthorInfoSubtitle"/>
        <w:rPr>
          <w:b w:val="false"/>
          <w:b w:val="false"/>
        </w:rPr>
      </w:pPr>
      <w:r>
        <w:rPr>
          <w:b w:val="false"/>
        </w:rPr>
        <w:t>Ksenia S. Stankevich: 0000-0002-6701-7582</w:t>
      </w:r>
    </w:p>
    <w:p>
      <w:pPr>
        <w:pStyle w:val="FAAuthorInfoSubtitle"/>
        <w:rPr>
          <w:b w:val="false"/>
          <w:b w:val="false"/>
        </w:rPr>
      </w:pPr>
      <w:r>
        <w:rPr>
          <w:b w:val="false"/>
        </w:rPr>
        <w:t>Assia Zh. Kassanova: 0000-0002-9563-5521</w:t>
      </w:r>
    </w:p>
    <w:p>
      <w:pPr>
        <w:pStyle w:val="FAAuthorInfoSubtitle"/>
        <w:rPr>
          <w:b w:val="false"/>
          <w:b w:val="false"/>
        </w:rPr>
      </w:pPr>
      <w:r>
        <w:rPr>
          <w:b w:val="false"/>
        </w:rPr>
        <w:t>Alexander A. Bondarev: 0000-0002-8707-2394</w:t>
      </w:r>
    </w:p>
    <w:p>
      <w:pPr>
        <w:pStyle w:val="FAAuthorInfoSubtitle"/>
        <w:rPr>
          <w:b w:val="false"/>
          <w:b w:val="false"/>
        </w:rPr>
      </w:pPr>
      <w:r>
        <w:rPr>
          <w:b w:val="false"/>
        </w:rPr>
        <w:t>Evgeny V. Naumov: 0000-0002-9109-1109</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 xml:space="preserve">The manuscript was written through contributions of all authors. All authors have given approval to the final version of the manuscript. </w:t>
      </w:r>
    </w:p>
    <w:p>
      <w:pPr>
        <w:pStyle w:val="FAAuthorInfoSubtitle"/>
        <w:rPr/>
      </w:pPr>
      <w:r>
        <w:rPr/>
        <w:t>Funding Sources</w:t>
      </w:r>
    </w:p>
    <w:p>
      <w:pPr>
        <w:pStyle w:val="TDAcknowledgments"/>
        <w:spacing w:before="0" w:after="240"/>
        <w:jc w:val="left"/>
        <w:rPr>
          <w:rFonts w:ascii="Calibri" w:hAnsi="Calibri" w:asciiTheme="minorHAnsi" w:hAnsiTheme="minorHAnsi"/>
        </w:rPr>
      </w:pPr>
      <w:r>
        <w:rPr/>
        <w:t>The research was funded by RFBR grant 17-03-01097.</w:t>
      </w:r>
    </w:p>
    <w:p>
      <w:pPr>
        <w:pStyle w:val="TDAcknowledgments"/>
        <w:spacing w:before="0" w:after="0"/>
        <w:ind w:hanging="0"/>
        <w:jc w:val="left"/>
        <w:rPr/>
      </w:pPr>
      <w:bookmarkStart w:id="11" w:name="__DdeLink__3470_24425287"/>
      <w:bookmarkEnd w:id="11"/>
      <w:r>
        <w:rPr>
          <w:b/>
          <w:bCs/>
        </w:rPr>
        <w:t>ACKNOWLEDGMENT</w:t>
      </w:r>
    </w:p>
    <w:p>
      <w:pPr>
        <w:pStyle w:val="TDAcknowledgments"/>
        <w:spacing w:before="0" w:after="240"/>
        <w:jc w:val="left"/>
        <w:rPr>
          <w:rFonts w:ascii="Calibri" w:hAnsi="Calibri" w:asciiTheme="minorHAnsi" w:hAnsiTheme="minorHAnsi"/>
        </w:rPr>
      </w:pPr>
      <w:r>
        <w:rPr/>
        <w:t>The research was funded by RFBR grant 17-03-01097.</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numPr>
          <w:ilvl w:val="0"/>
          <w:numId w:val="2"/>
        </w:numPr>
        <w:ind w:left="1020" w:hanging="454"/>
        <w:rPr/>
      </w:pPr>
      <w:r>
        <w:rPr>
          <w:rFonts w:ascii="FreeSerif" w:hAnsi="FreeSerif"/>
        </w:rPr>
        <w:t xml:space="preserve">(a) Zollinger, H. Diazo Chemistry I: Aromatic and Heteroaromatic Compounds; VCH, Weinheim, </w:t>
      </w:r>
      <w:r>
        <w:rPr>
          <w:rFonts w:ascii="FreeSerif" w:hAnsi="FreeSerif"/>
          <w:b/>
          <w:bCs/>
        </w:rPr>
        <w:t>1994</w:t>
      </w:r>
      <w:r>
        <w:rPr>
          <w:rFonts w:ascii="FreeSerif" w:hAnsi="FreeSerif"/>
        </w:rPr>
        <w:t xml:space="preserve">. (b) Roglans, A.; Pla-Quintana, A.; Moreno-Mañas, M. Diazonium Salts as Substrates in Palladium-Catalyzed Cross-Coupling Reactions. Chemical Reviews </w:t>
      </w:r>
      <w:r>
        <w:rPr>
          <w:rFonts w:ascii="FreeSerif" w:hAnsi="FreeSerif"/>
          <w:b/>
          <w:bCs/>
        </w:rPr>
        <w:t>2006</w:t>
      </w:r>
      <w:r>
        <w:rPr>
          <w:rFonts w:ascii="FreeSerif" w:hAnsi="FreeSerif"/>
        </w:rPr>
        <w:t xml:space="preserve">, 106 (11), 4622–4643. </w:t>
      </w:r>
      <w:hyperlink r:id="rId18">
        <w:r>
          <w:rPr>
            <w:rStyle w:val="Style11"/>
            <w:rFonts w:ascii="FreeSerif" w:hAnsi="FreeSerif"/>
          </w:rPr>
          <w:t>https://doi.org/10.1021/cr0509861</w:t>
        </w:r>
      </w:hyperlink>
      <w:r>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19">
        <w:r>
          <w:rPr>
            <w:rStyle w:val="Style11"/>
            <w:rFonts w:ascii="FreeSerif" w:hAnsi="FreeSerif"/>
          </w:rPr>
          <w:t>https://doi.org/10.1002/adsc.201100531</w:t>
        </w:r>
      </w:hyperlink>
      <w:r>
        <w:rPr>
          <w:rFonts w:ascii="FreeSerif" w:hAnsi="FreeSerif"/>
        </w:rPr>
        <w:t xml:space="preserve">. (d) Mo, F.; Dong, G.; Zhang, Y.; Wang, J. Recent Applications of Arene Diazonium Salts in Organic Synthesis. Organic &amp; Biomolecular Chemistry 2013, 11 (10), 1582. </w:t>
      </w:r>
      <w:hyperlink r:id="rId20">
        <w:r>
          <w:rPr>
            <w:rStyle w:val="Style11"/>
            <w:rFonts w:ascii="FreeSerif" w:hAnsi="FreeSerif"/>
          </w:rPr>
          <w:t>https://doi.org/10.1039/c3ob27366k</w:t>
        </w:r>
      </w:hyperlink>
      <w:r>
        <w:rPr>
          <w:rFonts w:ascii="FreeSerif" w:hAnsi="FreeSerif"/>
        </w:rPr>
        <w:t xml:space="preserve">. (e) Kölmel, D. K.; Jung, N.; Bräse, S. Azides – Diazonium Ions – Triazenes: Versatile Nitrogen-Rich Functional Groups. Australian Journal of Chemistry 2014, 67 (3), 328. </w:t>
      </w:r>
      <w:hyperlink r:id="rId21">
        <w:r>
          <w:rPr>
            <w:rStyle w:val="Style11"/>
            <w:rFonts w:ascii="FreeSerif" w:hAnsi="FreeSerif"/>
          </w:rPr>
          <w:t>https://doi.org/10.1071/ch13533</w:t>
        </w:r>
      </w:hyperlink>
      <w:r>
        <w:rPr>
          <w:rFonts w:ascii="FreeSerif" w:hAnsi="FreeSerif"/>
        </w:rPr>
        <w:t xml:space="preserve">. (f) Deadman, B. J.; Collins, S. G.; Maguire, A. R. Taming Hazardous Chemistry in Flow: The Continuous Processing of Diazo and Diazonium Compounds. Chemistry - A European Journal 2014, 21 (6), 2298–2308. </w:t>
      </w:r>
      <w:hyperlink r:id="rId22">
        <w:r>
          <w:rPr>
            <w:rStyle w:val="Style11"/>
            <w:rFonts w:ascii="FreeSerif" w:hAnsi="FreeSerif"/>
          </w:rPr>
          <w:t>https://doi.org/10.1002/chem.201404348</w:t>
        </w:r>
      </w:hyperlink>
      <w:r>
        <w:rPr>
          <w:rFonts w:ascii="FreeSerif" w:hAnsi="FreeSerif"/>
        </w:rPr>
        <w:t xml:space="preserve">. (g) Idowu, O.S.; Kolawole, A.O.; Abegoke, O.A.; Kolade, Y.T.; Fasanmade, A.A.; Olaniyi, A.A. </w:t>
      </w:r>
      <w:r>
        <w:rPr>
          <w:rFonts w:ascii="FreeSerif" w:hAnsi="FreeSerif"/>
          <w:i/>
        </w:rPr>
        <w:t>J. AOAC International</w:t>
      </w:r>
      <w:r>
        <w:rPr>
          <w:rFonts w:ascii="FreeSerif" w:hAnsi="FreeSerif"/>
        </w:rPr>
        <w:t xml:space="preserve"> </w:t>
      </w:r>
      <w:r>
        <w:rPr>
          <w:rFonts w:ascii="FreeSerif" w:hAnsi="FreeSerif"/>
          <w:b/>
        </w:rPr>
        <w:t>2005</w:t>
      </w:r>
      <w:r>
        <w:rPr>
          <w:rFonts w:ascii="FreeSerif" w:hAnsi="FreeSerif"/>
        </w:rPr>
        <w:t xml:space="preserve">, </w:t>
      </w:r>
      <w:r>
        <w:rPr>
          <w:rFonts w:ascii="FreeSerif" w:hAnsi="FreeSerif"/>
          <w:i/>
        </w:rPr>
        <w:t>88</w:t>
      </w:r>
      <w:r>
        <w:rPr>
          <w:rFonts w:ascii="FreeSerif" w:hAnsi="FreeSerif"/>
        </w:rPr>
        <w:t>, 1108-1113.</w:t>
      </w:r>
    </w:p>
    <w:p>
      <w:pPr>
        <w:pStyle w:val="TFReferencesSection"/>
        <w:numPr>
          <w:ilvl w:val="0"/>
          <w:numId w:val="2"/>
        </w:numPr>
        <w:ind w:left="1020" w:hanging="454"/>
        <w:rPr/>
      </w:pPr>
      <w:r>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23">
        <w:r>
          <w:rPr>
            <w:rStyle w:val="Style11"/>
            <w:rFonts w:ascii="FreeSerif" w:hAnsi="FreeSerif"/>
          </w:rPr>
          <w:t>https://doi.org/10.1039/c0cs00179a</w:t>
        </w:r>
      </w:hyperlink>
      <w:r>
        <w:rPr>
          <w:rFonts w:ascii="FreeSerif" w:hAnsi="FreeSerif"/>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4">
        <w:r>
          <w:rPr>
            <w:rStyle w:val="Style11"/>
          </w:rPr>
          <w:t>https://doi.org/10.1016/j.jlp.2015.09.004</w:t>
        </w:r>
      </w:hyperlink>
      <w:r>
        <w:rPr/>
        <w:t xml:space="preserve">. </w:t>
      </w:r>
      <w:r>
        <w:rPr>
          <w:rFonts w:ascii="FreeSerif" w:hAnsi="FreeSerif"/>
        </w:rPr>
        <w:t xml:space="preserve">(c) Bondarchuk, S. V. Impact Sensitivity of Crystalline Phenyl Diazonium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25">
        <w:r>
          <w:rPr>
            <w:rStyle w:val="Style11"/>
            <w:rFonts w:ascii="FreeSerif" w:hAnsi="FreeSerif"/>
          </w:rPr>
          <w:t>https://doi.org/10.1002/qua.25430</w:t>
        </w:r>
      </w:hyperlink>
      <w:r>
        <w:rPr>
          <w:rFonts w:ascii="FreeSerif" w:hAnsi="FreeSerif"/>
        </w:rPr>
        <w:t xml:space="preserve">. (d) Bondarchuk, S. V. Impact Sensitivity of Aryl Diazonium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26">
        <w:r>
          <w:rPr>
            <w:rStyle w:val="Style11"/>
            <w:rFonts w:ascii="FreeSerif" w:hAnsi="FreeSerif"/>
          </w:rPr>
          <w:t>https://doi.org/10.1016/j.jmgm.2019.03.008</w:t>
        </w:r>
      </w:hyperlink>
      <w:r>
        <w:rPr>
          <w:rFonts w:ascii="FreeSerif" w:hAnsi="FreeSerif"/>
        </w:rPr>
        <w:t xml:space="preserve">. (e) Bräse, S.; Dahmen, S.; Popescu, C.; Schroen, M.; Wortmann, F.-J. The Structural Influence in the Stability of Polymer-Bound Diazonium Salts. Chemistry - A European Journal </w:t>
      </w:r>
      <w:r>
        <w:rPr>
          <w:rFonts w:ascii="FreeSerif" w:hAnsi="FreeSerif"/>
          <w:b/>
          <w:bCs/>
        </w:rPr>
        <w:t>2004</w:t>
      </w:r>
      <w:r>
        <w:rPr>
          <w:rFonts w:ascii="FreeSerif" w:hAnsi="FreeSerif"/>
        </w:rPr>
        <w:t xml:space="preserve">, 10 (21), 5285–5296. </w:t>
      </w:r>
      <w:hyperlink r:id="rId27">
        <w:r>
          <w:rPr>
            <w:rStyle w:val="Style11"/>
            <w:rFonts w:ascii="FreeSerif" w:hAnsi="FreeSerif"/>
          </w:rPr>
          <w:t>https://doi.org/10.1002/chem.200400386</w:t>
        </w:r>
      </w:hyperlink>
      <w:r>
        <w:rPr>
          <w:rFonts w:ascii="FreeSerif" w:hAnsi="FreeSerif"/>
        </w:rPr>
        <w:t xml:space="preserve">. (f) Thon, D.; Fürst, M. C. D.; Altmann, L.-M.; Heinrich, M. R. Frozen Aryldiazonium Chlorides in Radical Reactions with Alkenes and Arenes. Tetrahedron </w:t>
      </w:r>
      <w:r>
        <w:rPr>
          <w:rFonts w:ascii="FreeSerif" w:hAnsi="FreeSerif"/>
          <w:b/>
          <w:bCs/>
        </w:rPr>
        <w:t>2018</w:t>
      </w:r>
      <w:r>
        <w:rPr>
          <w:rFonts w:ascii="FreeSerif" w:hAnsi="FreeSerif"/>
        </w:rPr>
        <w:t xml:space="preserve">, 74 (38), 5289–5294. </w:t>
      </w:r>
      <w:hyperlink r:id="rId28">
        <w:r>
          <w:rPr>
            <w:rStyle w:val="Style11"/>
            <w:rFonts w:ascii="FreeSerif" w:hAnsi="FreeSerif"/>
          </w:rPr>
          <w:t>https://doi.org/10.1016/j.tet.2018.05.089</w:t>
        </w:r>
      </w:hyperlink>
      <w:r>
        <w:rPr>
          <w:rFonts w:ascii="FreeSerif" w:hAnsi="FreeSerif"/>
        </w:rPr>
        <w:t xml:space="preserve">. (g) Oger, N.; Le Grognec, E.; Felpin, F.-X. Handling Diazonium Salts in Flow for Organic and Material Chemistry. Organic Chemistry Frontiers </w:t>
      </w:r>
      <w:r>
        <w:rPr>
          <w:rFonts w:ascii="FreeSerif" w:hAnsi="FreeSerif"/>
          <w:b/>
          <w:bCs/>
        </w:rPr>
        <w:t>2015</w:t>
      </w:r>
      <w:r>
        <w:rPr>
          <w:rFonts w:ascii="FreeSerif" w:hAnsi="FreeSerif"/>
        </w:rPr>
        <w:t xml:space="preserve">, 2 (5), 590–614. </w:t>
      </w:r>
      <w:hyperlink r:id="rId29">
        <w:r>
          <w:rPr>
            <w:rStyle w:val="Style11"/>
            <w:rFonts w:ascii="FreeSerif" w:hAnsi="FreeSerif"/>
          </w:rPr>
          <w:t>https://doi.org/10.1039/c5qo00037h</w:t>
        </w:r>
      </w:hyperlink>
      <w:r>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Pr>
          <w:rFonts w:ascii="FreeSerif" w:hAnsi="FreeSerif"/>
          <w:b/>
          <w:bCs/>
        </w:rPr>
        <w:t>1970</w:t>
      </w:r>
      <w:r>
        <w:rPr>
          <w:rFonts w:ascii="FreeSerif" w:hAnsi="FreeSerif"/>
        </w:rPr>
        <w:t xml:space="preserve">, 35 (10), 3328–3332. </w:t>
      </w:r>
      <w:hyperlink r:id="rId30">
        <w:r>
          <w:rPr>
            <w:rStyle w:val="Style11"/>
            <w:rFonts w:ascii="FreeSerif" w:hAnsi="FreeSerif"/>
          </w:rPr>
          <w:t>https://doi.org/10.1021/jo00835a031</w:t>
        </w:r>
      </w:hyperlink>
      <w:r>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Pr>
          <w:rFonts w:ascii="FreeSerif" w:hAnsi="FreeSerif"/>
          <w:b/>
          <w:bCs/>
        </w:rPr>
        <w:t>1970</w:t>
      </w:r>
      <w:r>
        <w:rPr>
          <w:rFonts w:ascii="FreeSerif" w:hAnsi="FreeSerif"/>
        </w:rPr>
        <w:t xml:space="preserve">, 35 (10), 3332–3338. </w:t>
      </w:r>
      <w:hyperlink r:id="rId31">
        <w:r>
          <w:rPr>
            <w:rStyle w:val="Style11"/>
            <w:rFonts w:ascii="FreeSerif" w:hAnsi="FreeSerif"/>
          </w:rPr>
          <w:t>https://doi.org/10.1021/jo00835a032</w:t>
        </w:r>
      </w:hyperlink>
      <w:r>
        <w:rPr>
          <w:rFonts w:ascii="FreeSerif" w:hAnsi="FreeSerif"/>
        </w:rPr>
        <w:t xml:space="preserve">. (k) </w:t>
      </w:r>
      <w:r>
        <w:rPr>
          <w:rFonts w:cs="Arial" w:ascii="Arial" w:hAnsi="Arial"/>
          <w:color w:val="000000" w:themeColor="text1"/>
          <w:sz w:val="21"/>
          <w:szCs w:val="21"/>
          <w:shd w:fill="EEEEEE" w:val="clear"/>
        </w:rPr>
        <w:t xml:space="preserve">Swain, C. G.; Rogers, R. J. Mechanism of Formation of Aryl Fluorides from Arenediazonium Fluoborates. Journal of the American Chemical Society 1975, 97 (4), 799–800. </w:t>
      </w:r>
      <w:hyperlink r:id="rId32">
        <w:r>
          <w:rPr>
            <w:rStyle w:val="Style11"/>
            <w:rFonts w:cs="Arial" w:ascii="Arial" w:hAnsi="Arial"/>
            <w:color w:val="000000" w:themeColor="text1"/>
            <w:sz w:val="21"/>
            <w:szCs w:val="21"/>
            <w:highlight w:val="white"/>
          </w:rPr>
          <w:t>https://doi.org/10.1021/ja00837a019</w:t>
        </w:r>
      </w:hyperlink>
      <w:r>
        <w:rPr>
          <w:rFonts w:cs="Arial" w:ascii="Arial" w:hAnsi="Arial"/>
          <w:color w:val="000000" w:themeColor="text1"/>
          <w:sz w:val="21"/>
          <w:szCs w:val="21"/>
          <w:shd w:fill="EEEEEE" w:val="clear"/>
        </w:rPr>
        <w:t xml:space="preserve"> </w:t>
      </w:r>
    </w:p>
    <w:p>
      <w:pPr>
        <w:pStyle w:val="TFReferencesSection"/>
        <w:numPr>
          <w:ilvl w:val="0"/>
          <w:numId w:val="2"/>
        </w:numPr>
        <w:rPr/>
      </w:pPr>
      <w:r>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3">
        <w:r>
          <w:rPr>
            <w:rStyle w:val="Style11"/>
            <w:rFonts w:ascii="FreeSerif" w:hAnsi="FreeSerif"/>
          </w:rPr>
          <w:t>https://doi.org/10.1021/ol8013528</w:t>
        </w:r>
      </w:hyperlink>
      <w:r>
        <w:rPr>
          <w:rFonts w:ascii="FreeSerif" w:hAnsi="FreeSerif"/>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4">
        <w:r>
          <w:rPr>
            <w:rStyle w:val="Style11"/>
            <w:rFonts w:ascii="FreeSerif" w:hAnsi="FreeSerif"/>
          </w:rPr>
          <w:t>https://doi.org/10.1002/ejoc.201800887</w:t>
        </w:r>
      </w:hyperlink>
      <w:r>
        <w:rPr>
          <w:rFonts w:ascii="FreeSerif" w:hAnsi="FreeSerif"/>
        </w:rPr>
        <w:t>.</w:t>
      </w:r>
    </w:p>
    <w:p>
      <w:pPr>
        <w:pStyle w:val="TFReferencesSection"/>
        <w:numPr>
          <w:ilvl w:val="0"/>
          <w:numId w:val="2"/>
        </w:numPr>
        <w:rPr/>
      </w:pPr>
      <w:r>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35">
        <w:r>
          <w:rPr>
            <w:rStyle w:val="Style11"/>
            <w:rFonts w:ascii="FreeSerif" w:hAnsi="FreeSerif"/>
          </w:rPr>
          <w:t>https://doi.org/10.1055/s-2006-958936</w:t>
        </w:r>
      </w:hyperlink>
      <w:r>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36">
        <w:r>
          <w:rPr>
            <w:rStyle w:val="Style11"/>
            <w:rFonts w:ascii="FreeSerif" w:hAnsi="FreeSerif"/>
          </w:rPr>
          <w:t>https://doi.org/10.1055/s-2007-990950</w:t>
        </w:r>
      </w:hyperlink>
      <w:r>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37">
        <w:r>
          <w:rPr>
            <w:rStyle w:val="Style11"/>
            <w:rFonts w:ascii="FreeSerif" w:hAnsi="FreeSerif"/>
          </w:rPr>
          <w:t>https://doi.org/10.1016/j.tetlet.2007.11.192</w:t>
        </w:r>
      </w:hyperlink>
      <w:r>
        <w:rPr>
          <w:rFonts w:ascii="FreeSerif" w:hAnsi="FreeSerif"/>
        </w:rPr>
        <w:t xml:space="preserve">. (d) Lee, Y. M.; Moon, M. E.; Vajpayee, V.; Filimonov, V. D.; Chi, K.-W. Efficient and Economic Halogenation of Aryl Amines via Arenediazonium Tosylate Salts. Tetrahedron 2010, 66 (37), 7418–7422. </w:t>
      </w:r>
      <w:hyperlink r:id="rId38">
        <w:r>
          <w:rPr>
            <w:rStyle w:val="Style11"/>
            <w:rFonts w:ascii="FreeSerif" w:hAnsi="FreeSerif"/>
          </w:rPr>
          <w:t>https://doi.org/10.1016/j.tet.2010.07.005</w:t>
        </w:r>
      </w:hyperlink>
      <w:r>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39">
        <w:r>
          <w:rPr>
            <w:rStyle w:val="Style11"/>
            <w:rFonts w:ascii="FreeSerif" w:hAnsi="FreeSerif"/>
          </w:rPr>
          <w:t>https://doi.org/10.1016/j.tetlet.2010.10.099</w:t>
        </w:r>
      </w:hyperlink>
      <w:r>
        <w:rPr>
          <w:rFonts w:ascii="FreeSerif" w:hAnsi="FreeSerif"/>
        </w:rPr>
        <w:t xml:space="preserve">. (f) Chi, K.-W.; Filimonov, V.; Trusova, M.; Krasnokutskaya, E.; Postnikov, P.; Choi, Y. A Green Procedure for the Diazotization-Iodination of Aromatic Amines under Aqueous, Strong-Acid-Free Conditions. Synthesis 2011, 2011 (13), 2154–2158. </w:t>
      </w:r>
      <w:hyperlink r:id="rId40">
        <w:r>
          <w:rPr>
            <w:rStyle w:val="Style11"/>
            <w:rFonts w:ascii="FreeSerif" w:hAnsi="FreeSerif"/>
          </w:rPr>
          <w:t>https://doi.org/10.1055/s-0030-1260046</w:t>
        </w:r>
      </w:hyperlink>
      <w:r>
        <w:rPr>
          <w:rFonts w:ascii="FreeSerif" w:hAnsi="FreeSerif"/>
        </w:rPr>
        <w:t xml:space="preserve">. (g) Filimonov, V.; Parello, J.; Kutonova, K.; Trusova, M.; Postnikov, P. A Simple and Effective Synthesis of Aryl Azides via Arenediazonium Tosylates. Synthesis 2013, 45 (19), 2706–2710. </w:t>
      </w:r>
      <w:hyperlink r:id="rId41">
        <w:r>
          <w:rPr>
            <w:rStyle w:val="Style11"/>
            <w:rFonts w:ascii="FreeSerif" w:hAnsi="FreeSerif"/>
          </w:rPr>
          <w:t>https://doi.org/10.1055/s-0033-1339648</w:t>
        </w:r>
      </w:hyperlink>
      <w:r>
        <w:rPr>
          <w:rFonts w:ascii="FreeSerif" w:hAnsi="FreeSerif"/>
        </w:rPr>
        <w:t xml:space="preserve">. (h) Kutonova, K. V.; Trusova, M. E.; Stankevich, A. V.; Postnikov, P. S.; Filimonov, V. D. Matsuda–Heck Reaction with Arenediazonium Tosylates in Water. Beilstein Journal of Organic Chemistry 2015, 11, 358–362. </w:t>
      </w:r>
      <w:hyperlink r:id="rId42">
        <w:r>
          <w:rPr>
            <w:rStyle w:val="Style11"/>
            <w:rFonts w:ascii="FreeSerif" w:hAnsi="FreeSerif"/>
          </w:rPr>
          <w:t>https://doi.org/10.3762/bjoc.11.41</w:t>
        </w:r>
      </w:hyperlink>
      <w:r>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43">
        <w:r>
          <w:rPr>
            <w:rStyle w:val="Style11"/>
            <w:rFonts w:ascii="FreeSerif" w:hAnsi="FreeSerif"/>
          </w:rPr>
          <w:t>https://doi.org/10.1055/s-0036-1588919</w:t>
        </w:r>
      </w:hyperlink>
      <w:r>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44">
        <w:r>
          <w:rPr>
            <w:rStyle w:val="Style11"/>
            <w:rFonts w:ascii="FreeSerif" w:hAnsi="FreeSerif"/>
          </w:rPr>
          <w:t>https://doi.org/10.5012/BKCS.2011.32.8.2970</w:t>
        </w:r>
      </w:hyperlink>
      <w:r>
        <w:rPr>
          <w:rFonts w:ascii="FreeSerif" w:hAnsi="FreeSerif"/>
        </w:rPr>
        <w:t>.</w:t>
      </w:r>
    </w:p>
    <w:p>
      <w:pPr>
        <w:pStyle w:val="TFReferencesSection"/>
        <w:numPr>
          <w:ilvl w:val="0"/>
          <w:numId w:val="2"/>
        </w:numPr>
        <w:ind w:left="1020" w:hanging="454"/>
        <w:rPr/>
      </w:pPr>
      <w:r>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45">
        <w:r>
          <w:rPr>
            <w:rStyle w:val="Style11"/>
            <w:rFonts w:ascii="FreeSerif" w:hAnsi="FreeSerif"/>
            <w:color w:val="00000A"/>
          </w:rPr>
          <w:t>https://doi.org/10.1016/j.tetlet.2012.01.082</w:t>
        </w:r>
      </w:hyperlink>
      <w:r>
        <w:rPr>
          <w:rFonts w:ascii="FreeSerif" w:hAnsi="FreeSerif"/>
        </w:rPr>
        <w:t xml:space="preserve">. (b)  Velikorodov, A. V.; Ionova, V. A.; Temirbulatova, S. I.; Suvorova, M. A. Some Chemical Transformations of Alkyl (4-Aminophenyl)carbamates. Russian Journal of Organic Chemistry 2013, 49 (7), 1004–1009. </w:t>
      </w:r>
      <w:hyperlink r:id="rId46">
        <w:r>
          <w:rPr>
            <w:rStyle w:val="Style11"/>
            <w:rFonts w:ascii="FreeSerif" w:hAnsi="FreeSerif"/>
            <w:color w:val="00000A"/>
          </w:rPr>
          <w:t>https://doi.org/10.1134/s1070428013070087</w:t>
        </w:r>
      </w:hyperlink>
      <w:r>
        <w:rPr>
          <w:rFonts w:ascii="FreeSerif" w:hAnsi="FreeSerif"/>
        </w:rPr>
        <w:t xml:space="preserve">. (c) Wang, W.; Tang, Z.; Zhang, Y.; Wang, T. Rhodium(I)-Catalyzed Synthesis of Aryltriethoxysilanes from Arenediazonium Tosylate Salts with Triethoxysilane. Synlett 2010, 2010 (5), 804–808. </w:t>
      </w:r>
      <w:hyperlink r:id="rId47">
        <w:r>
          <w:rPr>
            <w:rStyle w:val="Style11"/>
            <w:rFonts w:ascii="FreeSerif" w:hAnsi="FreeSerif"/>
            <w:color w:val="00000A"/>
          </w:rPr>
          <w:t>https://doi.org/10.1055/s-0029-1219090</w:t>
        </w:r>
      </w:hyperlink>
      <w:r>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48">
        <w:r>
          <w:rPr>
            <w:rStyle w:val="Style11"/>
            <w:rFonts w:ascii="FreeSerif" w:hAnsi="FreeSerif"/>
            <w:color w:val="00000A"/>
          </w:rPr>
          <w:t>https://doi.org/10.1134/s1995078010070037</w:t>
        </w:r>
      </w:hyperlink>
      <w:r>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49">
        <w:r>
          <w:rPr>
            <w:rStyle w:val="Style11"/>
            <w:rFonts w:ascii="FreeSerif" w:hAnsi="FreeSerif"/>
            <w:color w:val="00000A"/>
          </w:rPr>
          <w:t>https://doi.org/10.1039/c3cc42591f</w:t>
        </w:r>
      </w:hyperlink>
      <w:r>
        <w:rPr>
          <w:rFonts w:ascii="FreeSerif" w:hAnsi="FreeSerif"/>
        </w:rPr>
        <w:t>.</w:t>
      </w:r>
    </w:p>
    <w:p>
      <w:pPr>
        <w:pStyle w:val="TFReferencesSection"/>
        <w:numPr>
          <w:ilvl w:val="0"/>
          <w:numId w:val="2"/>
        </w:numPr>
        <w:ind w:left="1020" w:hanging="454"/>
        <w:rPr/>
      </w:pPr>
      <w:hyperlink r:id="rId50">
        <w:r>
          <w:rPr>
            <w:rStyle w:val="Style11"/>
            <w:rFonts w:eastAsia="Calibri" w:cs="Calibri" w:ascii="FreeSerif" w:hAnsi="FreeSerif"/>
            <w:color w:val="0000FF"/>
          </w:rPr>
          <w:t>http://www.unece.org/trans/danger/danger.html</w:t>
        </w:r>
      </w:hyperlink>
    </w:p>
    <w:p>
      <w:pPr>
        <w:pStyle w:val="TFReferencesSection"/>
        <w:numPr>
          <w:ilvl w:val="0"/>
          <w:numId w:val="2"/>
        </w:numPr>
        <w:rPr/>
      </w:pPr>
      <w:r>
        <w:rPr>
          <w:rFonts w:ascii="FreeSerif" w:hAnsi="FreeSerif"/>
        </w:rPr>
        <w:t xml:space="preserve">(a) Ullrich, R.; Grewer, T. Decomposition of Aromatic Diazonium Compounds. Thermochimica Acta 1993, 225 (2), 201–211. </w:t>
      </w:r>
      <w:hyperlink r:id="rId51">
        <w:r>
          <w:rPr>
            <w:rStyle w:val="Style11"/>
            <w:rFonts w:ascii="FreeSerif" w:hAnsi="FreeSerif"/>
          </w:rPr>
          <w:t>https://doi.org/10.1016/0040-6031(93)80188-g</w:t>
        </w:r>
      </w:hyperlink>
      <w:r>
        <w:rPr>
          <w:rFonts w:ascii="FreeSerif" w:hAnsi="FreeSerif"/>
        </w:rPr>
        <w:t xml:space="preserve">. (b) Brown, L. L.; Drury, J. S. Nitrogen Isotope Effects in the Decomposition of Diazonium Salts. The Journal of Chemical Physics 1965, 43 (5), 1688–1691. </w:t>
      </w:r>
      <w:hyperlink r:id="rId52">
        <w:r>
          <w:rPr>
            <w:rStyle w:val="Style11"/>
            <w:rFonts w:ascii="FreeSerif" w:hAnsi="FreeSerif"/>
          </w:rPr>
          <w:t>https://doi.org/10.1063/1.1696991</w:t>
        </w:r>
      </w:hyperlink>
      <w:r>
        <w:rPr>
          <w:rFonts w:ascii="FreeSerif" w:hAnsi="FreeSerif"/>
        </w:rPr>
        <w:t xml:space="preserve">. (c) Storey, P.D. Calorimetric Studies of the Thermal Explosion Properties of Aromatic Diazonium Salts, Institution. Chem. Eng. Symposium Series. </w:t>
      </w:r>
      <w:r>
        <w:rPr>
          <w:rFonts w:ascii="FreeSerif" w:hAnsi="FreeSerif"/>
          <w:b/>
          <w:bCs/>
        </w:rPr>
        <w:t>1981</w:t>
      </w:r>
      <w:r>
        <w:rPr>
          <w:rFonts w:ascii="FreeSerif" w:hAnsi="FreeSerif"/>
        </w:rPr>
        <w:t xml:space="preserve">, </w:t>
      </w:r>
      <w:r>
        <w:rPr>
          <w:rFonts w:ascii="FreeSerif" w:hAnsi="FreeSerif"/>
          <w:color w:val="FF0000"/>
        </w:rPr>
        <w:t xml:space="preserve">No. 68. P.1-3.P.9. </w:t>
      </w:r>
    </w:p>
    <w:p>
      <w:pPr>
        <w:pStyle w:val="TFReferencesSection"/>
        <w:numPr>
          <w:ilvl w:val="0"/>
          <w:numId w:val="2"/>
        </w:numPr>
        <w:rPr/>
      </w:pPr>
      <w:r>
        <w:rPr/>
        <w:t xml:space="preserve">(a) Ticmanis, U.; Wilker, S.; Pantel, G.; Guillaume, P.; Balès, C.; van der Meer, N. Principles of a STANAG for the estimation of the chemical stability of propellants by Heat Flow Calorimetry, Proc. Int Annu. Conf. ICT </w:t>
      </w:r>
      <w:r>
        <w:rPr>
          <w:b/>
          <w:bCs/>
        </w:rPr>
        <w:t>2000</w:t>
      </w:r>
      <w:r>
        <w:rPr/>
        <w:t xml:space="preserve">, 31, 2. (b) Guillaume, P.; Rat, M.; Wilker, S.; Pantel, G. Microcalorimetric and Chemical Studies of Propellants.  Proc. Int Annu. Conf. ICT </w:t>
      </w:r>
      <w:r>
        <w:rPr>
          <w:b/>
          <w:bCs/>
        </w:rPr>
        <w:t>1998</w:t>
      </w:r>
      <w:r>
        <w:rPr/>
        <w:t>, 29, 133.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pPr>
        <w:pStyle w:val="TFReferencesSection"/>
        <w:numPr>
          <w:ilvl w:val="0"/>
          <w:numId w:val="2"/>
        </w:numPr>
        <w:rPr/>
      </w:pPr>
      <w:r>
        <w:rPr>
          <w:rFonts w:ascii="FreeSerif" w:hAnsi="FreeSerif"/>
        </w:rPr>
        <w:t>(a) Williams, T.; Kelley, C. Gnuplot 4.5: an interactive plotting program. URL http://gnuplot.info.</w:t>
      </w:r>
      <w:r>
        <w:rPr>
          <w:rFonts w:ascii="FreeSerif" w:hAnsi="FreeSerif"/>
          <w:b/>
          <w:bCs/>
        </w:rPr>
        <w:t xml:space="preserve"> </w:t>
      </w:r>
      <w:r>
        <w:rPr>
          <w:rFonts w:ascii="FreeSerif" w:hAnsi="FreeSerif"/>
        </w:rPr>
        <w:t xml:space="preserve">(Last accessed: </w:t>
      </w:r>
      <w:r>
        <w:rPr>
          <w:rFonts w:ascii="FreeSerif" w:hAnsi="FreeSerif"/>
          <w:b/>
          <w:bCs/>
        </w:rPr>
        <w:t>2011</w:t>
      </w:r>
      <w:r>
        <w:rPr>
          <w:rFonts w:ascii="FreeSerif" w:hAnsi="FreeSerif"/>
        </w:rPr>
        <w:t xml:space="preserve"> June 7). (b) R Core Team. R: A language and environment for statistical computing. R Foundation for Statistical / Computing, Vienna, Austria. </w:t>
      </w:r>
      <w:r>
        <w:rPr>
          <w:rFonts w:ascii="FreeSerif" w:hAnsi="FreeSerif"/>
          <w:b/>
          <w:bCs/>
        </w:rPr>
        <w:t>2017</w:t>
      </w:r>
      <w:r>
        <w:rPr>
          <w:rFonts w:ascii="FreeSerif" w:hAnsi="FreeSerif"/>
        </w:rPr>
        <w:t>,</w:t>
      </w:r>
      <w:r>
        <w:rPr>
          <w:rFonts w:ascii="FreeSerif" w:hAnsi="FreeSerif"/>
          <w:b/>
          <w:bCs/>
        </w:rPr>
        <w:t xml:space="preserve"> </w:t>
      </w:r>
      <w:r>
        <w:rPr>
          <w:rFonts w:ascii="FreeSerif" w:hAnsi="FreeSerif"/>
        </w:rPr>
        <w:t xml:space="preserve">URL </w:t>
      </w:r>
      <w:hyperlink r:id="rId53">
        <w:r>
          <w:rPr>
            <w:rStyle w:val="Style11"/>
            <w:rFonts w:ascii="FreeSerif" w:hAnsi="FreeSerif"/>
            <w:color w:val="00000A"/>
          </w:rPr>
          <w:t>https://www.R-project.org/</w:t>
        </w:r>
      </w:hyperlink>
    </w:p>
    <w:p>
      <w:pPr>
        <w:pStyle w:val="TFReferencesSection"/>
        <w:numPr>
          <w:ilvl w:val="0"/>
          <w:numId w:val="2"/>
        </w:numPr>
        <w:ind w:left="1020" w:hanging="454"/>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4">
        <w:r>
          <w:rPr>
            <w:rStyle w:val="Style11"/>
          </w:rPr>
          <w:t>https://doi.org/10.1186/1471-2105-9-163</w:t>
        </w:r>
      </w:hyperlink>
      <w:r>
        <w:rPr/>
        <w:t>.</w:t>
      </w:r>
    </w:p>
    <w:p>
      <w:pPr>
        <w:pStyle w:val="TFReferencesSection"/>
        <w:numPr>
          <w:ilvl w:val="0"/>
          <w:numId w:val="2"/>
        </w:numPr>
        <w:ind w:left="1020" w:hanging="454"/>
        <w:rPr/>
      </w:pPr>
      <w:r>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AIReceivedDate"/>
        <w:numPr>
          <w:ilvl w:val="0"/>
          <w:numId w:val="2"/>
        </w:numPr>
        <w:ind w:left="1020" w:hanging="454"/>
        <w:rPr>
          <w:b w:val="false"/>
          <w:b w:val="false"/>
          <w:bCs w:val="false"/>
        </w:rPr>
      </w:pPr>
      <w:r>
        <w:rPr>
          <w:b w:val="false"/>
          <w:bCs w:val="false"/>
          <w:highlight w:val="green"/>
          <w:lang w:val="ru-RU"/>
        </w:rPr>
        <w:t>Koval’chuk, E. P.; Reshetnyak, O. V.; Kozlovs’ka, Z. Y.; Błażejowski, J.; Gladyshevs’kyj, R. Y.; Obushak, M. D. Mechanism of the Benzenediazonium Tetrafluoroborate Thermolysis in the Solid State. Thermochimica Acta 2006, 444 (1), 1–5. https://doi.org/10.1016/j.tca.2006.02.002</w:t>
      </w:r>
    </w:p>
    <w:p>
      <w:pPr>
        <w:pStyle w:val="AIReceivedDate"/>
        <w:numPr>
          <w:ilvl w:val="0"/>
          <w:numId w:val="2"/>
        </w:numPr>
        <w:ind w:left="1020" w:hanging="454"/>
        <w:rPr/>
      </w:pPr>
      <w:r>
        <w:rPr>
          <w:rFonts w:ascii="FreeSerif" w:hAnsi="FreeSerif"/>
          <w:b w:val="false"/>
          <w:bCs w:val="false"/>
          <w:color w:val="auto"/>
          <w:highlight w:val="green"/>
          <w:lang w:val="ru-RU"/>
        </w:rPr>
        <w:t xml:space="preserve">Cai, J.; Liu, R. Kinetic Analysis of Solid-State Reactions: A General Empirical Kinetic Model. Industrial &amp; Engineering Chemistry Research 2009, 48 (6), 3249–3253. </w:t>
      </w:r>
      <w:hyperlink r:id="rId55">
        <w:r>
          <w:rPr>
            <w:rStyle w:val="Style11"/>
            <w:rFonts w:ascii="FreeSerif" w:hAnsi="FreeSerif"/>
            <w:b w:val="false"/>
            <w:bCs w:val="false"/>
            <w:color w:val="auto"/>
            <w:highlight w:val="green"/>
            <w:lang w:val="ru-RU"/>
          </w:rPr>
          <w:t>https://doi.org/10.1021/ie8018615</w:t>
        </w:r>
      </w:hyperlink>
      <w:r>
        <w:rPr>
          <w:rFonts w:ascii="FreeSerif" w:hAnsi="FreeSerif"/>
          <w:b w:val="false"/>
          <w:bCs w:val="false"/>
          <w:color w:val="FF0000"/>
          <w:highlight w:val="green"/>
          <w:lang w:val="ru-RU"/>
        </w:rPr>
        <w:t>.</w:t>
      </w:r>
    </w:p>
    <w:p>
      <w:pPr>
        <w:pStyle w:val="AIReceivedDate"/>
        <w:numPr>
          <w:ilvl w:val="0"/>
          <w:numId w:val="2"/>
        </w:numPr>
        <w:ind w:left="1020" w:hanging="454"/>
        <w:rPr/>
      </w:pPr>
      <w:r>
        <w:rPr>
          <w:b w:val="false"/>
          <w:bCs w:val="false"/>
          <w:highlight w:val="green"/>
        </w:rPr>
        <w:t>a) Bondarchuk, S. V.; Minaev, B. F. Density Functional Study of Ortho-Substituted Phenyl Cations in Polar Medium and in the Gas Phase. Chemical Physics 2011, 389 (1–3), 68–74. https://doi.org/10.1016/j.chemphys.2011.08.005 (b) Bondarchuk, S. V.; Minaev, B. F. State-Dependent Global and Local Electrophilicity of the Aryl Cations. The Journal of Physical Chemistry A 2014, 118 (17), 3201–3210. https://doi.org/10.1021/jp501740p</w:t>
      </w:r>
    </w:p>
    <w:p>
      <w:pPr>
        <w:pStyle w:val="AIReceivedDate"/>
        <w:rPr/>
      </w:pPr>
      <w:r>
        <w:rPr/>
      </w:r>
    </w:p>
    <w:p>
      <w:pPr>
        <w:pStyle w:val="SNSynopsisTOC"/>
        <w:spacing w:before="0" w:after="240"/>
        <w:jc w:val="left"/>
        <w:rPr/>
      </w:pPr>
      <w:r>
        <w:rPr/>
      </w:r>
    </w:p>
    <w:sectPr>
      <w:footerReference w:type="default" r:id="rId56"/>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Arial">
    <w:charset w:val="01"/>
    <w:family w:val="roman"/>
    <w:pitch w:val="variable"/>
  </w:font>
  <w:font w:name="Symbol">
    <w:charset w:val="01"/>
    <w:family w:val="roman"/>
    <w:pitch w:val="variable"/>
  </w:font>
  <w:font w:name="MathJax Math">
    <w:charset w:val="01"/>
    <w:family w:val="roman"/>
    <w:pitch w:val="variable"/>
  </w:font>
  <w:font w:name="FreeSans">
    <w:charset w:val="01"/>
    <w:family w:val="roman"/>
    <w:pitch w:val="variable"/>
  </w:font>
  <w:font w:name="Times">
    <w:altName w:val="Times New Roman"/>
    <w:charset w:val="01"/>
    <w:family w:val="roman"/>
    <w:pitch w:val="default"/>
  </w:font>
  <w:font w:name="Free Times">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spacing w:before="0" w:after="200"/>
      <w:ind w:right="360" w:hanging="0"/>
      <w:rPr/>
    </w:pPr>
    <w:r>
      <w:rPr/>
      <mc:AlternateContent>
        <mc:Choice Requires="wps">
          <w:drawing>
            <wp:anchor behindDoc="1" distT="0" distB="0" distL="0" distR="0" simplePos="0" locked="0" layoutInCell="1" allowOverlap="1" relativeHeight="65">
              <wp:simplePos x="0" y="0"/>
              <wp:positionH relativeFrom="margin">
                <wp:align>right</wp:align>
              </wp:positionH>
              <wp:positionV relativeFrom="paragraph">
                <wp:posOffset>635</wp:posOffset>
              </wp:positionV>
              <wp:extent cx="162560" cy="203200"/>
              <wp:effectExtent l="0" t="0" r="0" b="0"/>
              <wp:wrapSquare wrapText="largest"/>
              <wp:docPr id="17" name="Врезка1"/>
              <a:graphic xmlns:a="http://schemas.openxmlformats.org/drawingml/2006/main">
                <a:graphicData uri="http://schemas.microsoft.com/office/word/2010/wordprocessingShape">
                  <wps:wsp>
                    <wps:cNvSpPr/>
                    <wps:spPr>
                      <a:xfrm>
                        <a:off x="0" y="0"/>
                        <a:ext cx="162000" cy="202680"/>
                      </a:xfrm>
                      <a:prstGeom prst="rect">
                        <a:avLst/>
                      </a:prstGeom>
                      <a:noFill/>
                      <a:ln>
                        <a:noFill/>
                      </a:ln>
                    </wps:spPr>
                    <wps:style>
                      <a:lnRef idx="0"/>
                      <a:fillRef idx="0"/>
                      <a:effectRef idx="0"/>
                      <a:fontRef idx="minor"/>
                    </wps:style>
                    <wps:txbx>
                      <w:txbxContent>
                        <w:p>
                          <w:pPr>
                            <w:pStyle w:val="Style29"/>
                            <w:spacing w:before="0" w:after="200"/>
                            <w:rPr>
                              <w:color w:val="000000"/>
                            </w:rPr>
                          </w:pPr>
                          <w:r>
                            <w:rPr>
                              <w:color w:val="000000"/>
                            </w:rPr>
                            <w:fldChar w:fldCharType="begin"/>
                          </w:r>
                          <w:r>
                            <w:rPr/>
                            <w:instrText> PAGE </w:instrText>
                          </w:r>
                          <w:r>
                            <w:rPr/>
                            <w:fldChar w:fldCharType="separate"/>
                          </w:r>
                          <w:r>
                            <w:rPr/>
                            <w:t>1</w:t>
                          </w:r>
                          <w:r>
                            <w:rPr/>
                            <w:fldChar w:fldCharType="end"/>
                          </w:r>
                        </w:p>
                      </w:txbxContent>
                    </wps:txbx>
                    <wps:bodyPr lIns="0" rIns="0" tIns="0" bIns="0">
                      <a:spAutoFit/>
                    </wps:bodyPr>
                  </wps:wsp>
                </a:graphicData>
              </a:graphic>
            </wp:anchor>
          </w:drawing>
        </mc:Choice>
        <mc:Fallback>
          <w:pict>
            <v:rect id="shape_0" ID="Врезка1" stroked="f" style="position:absolute;margin-left:455.2pt;margin-top:0.05pt;width:12.7pt;height:15.9pt;mso-position-horizontal:right;mso-position-horizontal-relative:margin">
              <w10:wrap type="square"/>
              <v:fill o:detectmouseclick="t" on="false"/>
              <v:stroke color="#3465a4" joinstyle="round" endcap="flat"/>
              <v:textbox>
                <w:txbxContent>
                  <w:p>
                    <w:pPr>
                      <w:pStyle w:val="Style29"/>
                      <w:spacing w:before="0" w:after="200"/>
                      <w:rPr>
                        <w:color w:val="000000"/>
                      </w:rPr>
                    </w:pPr>
                    <w:r>
                      <w:rPr>
                        <w:color w:val="000000"/>
                      </w:rPr>
                      <w:fldChar w:fldCharType="begin"/>
                    </w:r>
                    <w:r>
                      <w:rPr/>
                      <w:instrText> PAGE </w:instrText>
                    </w:r>
                    <w:r>
                      <w:rPr/>
                      <w:fldChar w:fldCharType="separate"/>
                    </w:r>
                    <w:r>
                      <w:rPr/>
                      <w:t>1</w:t>
                    </w:r>
                    <w: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Hyperlink" w:uiPriority="99"/>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kern w:val="0"/>
      <w:sz w:val="24"/>
      <w:szCs w:val="20"/>
      <w:lang w:val="en-US" w:eastAsia="en-US" w:bidi="ar-SA"/>
    </w:rPr>
  </w:style>
  <w:style w:type="paragraph" w:styleId="1">
    <w:name w:val="Heading 1"/>
    <w:basedOn w:val="Style27"/>
    <w:link w:val="10"/>
    <w:qFormat/>
    <w:rsid w:val="00335422"/>
    <w:pPr>
      <w:numPr>
        <w:ilvl w:val="0"/>
        <w:numId w:val="1"/>
      </w:numPr>
      <w:spacing w:before="170" w:after="113"/>
      <w:outlineLvl w:val="0"/>
    </w:pPr>
    <w:rPr>
      <w:rFonts w:ascii="Times New Roman" w:hAnsi="Times New Roman"/>
      <w:b/>
      <w:caps/>
      <w:color w:val="669900"/>
      <w:szCs w:val="36"/>
      <w:lang w:eastAsia="ru-RU"/>
    </w:rPr>
  </w:style>
  <w:style w:type="paragraph" w:styleId="2">
    <w:name w:val="Heading 2"/>
    <w:basedOn w:val="Style27"/>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Style27"/>
    <w:link w:val="30"/>
    <w:qFormat/>
    <w:rsid w:val="00335422"/>
    <w:pPr>
      <w:numPr>
        <w:ilvl w:val="2"/>
        <w:numId w:val="1"/>
      </w:numPr>
      <w:spacing w:before="142" w:after="0"/>
      <w:ind w:firstLine="567"/>
      <w:outlineLvl w:val="2"/>
    </w:pPr>
    <w:rPr>
      <w:rFonts w:ascii="Times New Roman" w:hAnsi="Times New Roman"/>
      <w:b/>
      <w:bCs/>
      <w:lang w:eastAsia="ru-RU"/>
    </w:rPr>
  </w:style>
  <w:style w:type="character" w:styleId="DefaultParagraphFont" w:default="1">
    <w:name w:val="Default Paragraph Font"/>
    <w:uiPriority w:val="1"/>
    <w:semiHidden/>
    <w:unhideWhenUsed/>
    <w:qFormat/>
    <w:rPr/>
  </w:style>
  <w:style w:type="character" w:styleId="FollowedHyperlink">
    <w:name w:val="FollowedHyperlink"/>
    <w:qFormat/>
    <w:rsid w:val="00a65d8d"/>
    <w:rPr>
      <w:color w:val="800080"/>
      <w:u w:val="single"/>
    </w:rPr>
  </w:style>
  <w:style w:type="character" w:styleId="Style11">
    <w:name w:val="Интернет-ссылка"/>
    <w:basedOn w:val="DefaultParagraphFont"/>
    <w:uiPriority w:val="99"/>
    <w:unhideWhenUsed/>
    <w:rsid w:val="00ed13ad"/>
    <w:rPr>
      <w:color w:val="0000FF"/>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32" w:customStyle="1">
    <w:name w:val="Текст примечания Знак3"/>
    <w:link w:val="a8"/>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qFormat/>
    <w:rsid w:val="00335422"/>
    <w:rPr>
      <w:rFonts w:ascii="Liberation Serif" w:hAnsi="Liberation Serif" w:eastAsia="0" w:cs="Liberation Serif"/>
      <w:b/>
      <w:color w:val="000000"/>
      <w:sz w:val="24"/>
      <w:szCs w:val="24"/>
      <w:lang w:val="ru-RU" w:eastAsia="ar-SA" w:bidi="hi-IN"/>
    </w:rPr>
  </w:style>
  <w:style w:type="character" w:styleId="17" w:customStyle="1">
    <w:name w:val="Верхний колонтитул Знак1"/>
    <w:basedOn w:val="DefaultParagraphFont"/>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qFormat/>
    <w:rsid w:val="002b0771"/>
    <w:rPr>
      <w:rFonts w:ascii="Times" w:hAnsi="Times"/>
      <w:b/>
      <w:sz w:val="40"/>
    </w:rPr>
  </w:style>
  <w:style w:type="character" w:styleId="ListLabel37" w:customStyle="1">
    <w:name w:val="ListLabel 37"/>
    <w:qFormat/>
    <w:rPr>
      <w:rFonts w:eastAsia="Times New Roman" w:cs="Times"/>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Times New Roman" w:cs="Times"/>
    </w:rPr>
  </w:style>
  <w:style w:type="character" w:styleId="ListLabel42" w:customStyle="1">
    <w:name w:val="ListLabel 42"/>
    <w:qFormat/>
    <w:rPr>
      <w:rFonts w:eastAsia="Times New Roman" w:cs="Times"/>
    </w:rPr>
  </w:style>
  <w:style w:type="character" w:styleId="ListLabel43">
    <w:name w:val="ListLabel 43"/>
    <w:qFormat/>
    <w:rPr>
      <w:rFonts w:ascii="FreeSerif" w:hAnsi="FreeSerif"/>
    </w:rPr>
  </w:style>
  <w:style w:type="character" w:styleId="ListLabel44">
    <w:name w:val="ListLabel 44"/>
    <w:qFormat/>
    <w:rPr/>
  </w:style>
  <w:style w:type="character" w:styleId="ListLabel45">
    <w:name w:val="ListLabel 45"/>
    <w:qFormat/>
    <w:rPr>
      <w:rFonts w:ascii="Arial" w:hAnsi="Arial" w:cs="Arial"/>
      <w:color w:val="000000" w:themeColor="text1"/>
      <w:sz w:val="21"/>
      <w:szCs w:val="21"/>
      <w:shd w:fill="EEEEEE" w:val="clear"/>
    </w:rPr>
  </w:style>
  <w:style w:type="character" w:styleId="ListLabel46">
    <w:name w:val="ListLabel 46"/>
    <w:qFormat/>
    <w:rPr>
      <w:rFonts w:ascii="FreeSerif" w:hAnsi="FreeSerif"/>
      <w:color w:val="00000A"/>
    </w:rPr>
  </w:style>
  <w:style w:type="character" w:styleId="ListLabel47">
    <w:name w:val="ListLabel 47"/>
    <w:qFormat/>
    <w:rPr>
      <w:rFonts w:ascii="FreeSerif" w:hAnsi="FreeSerif" w:eastAsia="Calibri" w:cs="Calibri"/>
      <w:color w:val="0000FF"/>
    </w:rPr>
  </w:style>
  <w:style w:type="character" w:styleId="ListLabel48">
    <w:name w:val="ListLabel 48"/>
    <w:qFormat/>
    <w:rPr>
      <w:rFonts w:ascii="FreeSerif" w:hAnsi="FreeSerif"/>
    </w:rPr>
  </w:style>
  <w:style w:type="character" w:styleId="ListLabel49">
    <w:name w:val="ListLabel 49"/>
    <w:qFormat/>
    <w:rPr/>
  </w:style>
  <w:style w:type="character" w:styleId="ListLabel50">
    <w:name w:val="ListLabel 50"/>
    <w:qFormat/>
    <w:rPr>
      <w:rFonts w:ascii="Arial" w:hAnsi="Arial" w:cs="Arial"/>
      <w:color w:val="000000" w:themeColor="text1"/>
      <w:sz w:val="21"/>
      <w:szCs w:val="21"/>
      <w:highlight w:val="white"/>
    </w:rPr>
  </w:style>
  <w:style w:type="character" w:styleId="ListLabel51">
    <w:name w:val="ListLabel 51"/>
    <w:qFormat/>
    <w:rPr>
      <w:rFonts w:ascii="FreeSerif" w:hAnsi="FreeSerif"/>
      <w:color w:val="00000A"/>
    </w:rPr>
  </w:style>
  <w:style w:type="character" w:styleId="ListLabel52">
    <w:name w:val="ListLabel 52"/>
    <w:qFormat/>
    <w:rPr>
      <w:rFonts w:ascii="FreeSerif" w:hAnsi="FreeSerif" w:eastAsia="Calibri" w:cs="Calibri"/>
      <w:color w:val="0000FF"/>
    </w:rPr>
  </w:style>
  <w:style w:type="character" w:styleId="ListLabel53">
    <w:name w:val="ListLabel 53"/>
    <w:qFormat/>
    <w:rPr>
      <w:color w:val="auto"/>
      <w:highlight w:val="yellow"/>
    </w:rPr>
  </w:style>
  <w:style w:type="character" w:styleId="ListLabel54">
    <w:name w:val="ListLabel 54"/>
    <w:qFormat/>
    <w:rPr>
      <w:rFonts w:ascii="FreeSerif" w:hAnsi="FreeSerif"/>
    </w:rPr>
  </w:style>
  <w:style w:type="character" w:styleId="ListLabel55">
    <w:name w:val="ListLabel 55"/>
    <w:qFormat/>
    <w:rPr/>
  </w:style>
  <w:style w:type="character" w:styleId="ListLabel56">
    <w:name w:val="ListLabel 56"/>
    <w:qFormat/>
    <w:rPr>
      <w:rFonts w:ascii="Arial" w:hAnsi="Arial" w:cs="Arial"/>
      <w:color w:val="000000" w:themeColor="text1"/>
      <w:sz w:val="21"/>
      <w:szCs w:val="21"/>
      <w:highlight w:val="white"/>
    </w:rPr>
  </w:style>
  <w:style w:type="character" w:styleId="ListLabel57">
    <w:name w:val="ListLabel 57"/>
    <w:qFormat/>
    <w:rPr>
      <w:rFonts w:ascii="FreeSerif" w:hAnsi="FreeSerif"/>
      <w:color w:val="00000A"/>
    </w:rPr>
  </w:style>
  <w:style w:type="character" w:styleId="ListLabel58">
    <w:name w:val="ListLabel 58"/>
    <w:qFormat/>
    <w:rPr>
      <w:rFonts w:ascii="FreeSerif" w:hAnsi="FreeSerif" w:eastAsia="Calibri" w:cs="Calibri"/>
      <w:color w:val="0000FF"/>
    </w:rPr>
  </w:style>
  <w:style w:type="character" w:styleId="ListLabel59">
    <w:name w:val="ListLabel 59"/>
    <w:qFormat/>
    <w:rPr>
      <w:rFonts w:ascii="FreeSerif" w:hAnsi="FreeSerif"/>
      <w:b w:val="false"/>
      <w:bCs w:val="false"/>
      <w:color w:val="auto"/>
      <w:highlight w:val="green"/>
      <w:lang w:val="ru-RU"/>
    </w:rPr>
  </w:style>
  <w:style w:type="paragraph" w:styleId="Style22" w:customStyle="1">
    <w:name w:val="Заголовок"/>
    <w:basedOn w:val="Normal"/>
    <w:next w:val="Style23"/>
    <w:qFormat/>
    <w:pPr>
      <w:keepNext w:val="true"/>
      <w:spacing w:before="240" w:after="120"/>
    </w:pPr>
    <w:rPr>
      <w:rFonts w:ascii="Liberation Sans" w:hAnsi="Liberation Sans" w:eastAsia="Noto Sans CJK SC Regular" w:cs="FreeSans"/>
      <w:sz w:val="28"/>
      <w:szCs w:val="28"/>
    </w:rPr>
  </w:style>
  <w:style w:type="paragraph" w:styleId="Style23">
    <w:name w:val="Body Text"/>
    <w:basedOn w:val="Normal"/>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rsid w:val="00335422"/>
    <w:pPr>
      <w:widowControl w:val="false"/>
      <w:jc w:val="left"/>
    </w:pPr>
    <w:rPr>
      <w:rFonts w:ascii="New York" w:hAnsi="New York" w:eastAsia="Times New Roman" w:cs="Times New Roman"/>
      <w:sz w:val="24"/>
      <w:szCs w:val="20"/>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szCs w:val="24"/>
      <w:lang w:val="ru-RU" w:eastAsia="hi-IN" w:bidi="hi-IN"/>
    </w:rPr>
  </w:style>
  <w:style w:type="paragraph" w:styleId="Style28">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9">
    <w:name w:val="Footer"/>
    <w:basedOn w:val="Normal"/>
    <w:rsid w:val="00a65d8d"/>
    <w:pPr>
      <w:tabs>
        <w:tab w:val="clear" w:pos="720"/>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kern w:val="0"/>
      <w:sz w:val="24"/>
      <w:szCs w:val="24"/>
      <w:lang w:val="en-US" w:eastAsia="en-US" w:bidi="ar-SA"/>
    </w:rPr>
  </w:style>
  <w:style w:type="paragraph" w:styleId="Index1">
    <w:name w:val="index 1"/>
    <w:basedOn w:val="Normal"/>
    <w:autoRedefine/>
    <w:qFormat/>
    <w:rsid w:val="00335422"/>
    <w:pPr>
      <w:spacing w:before="0" w:after="0"/>
      <w:ind w:left="240" w:hanging="240"/>
    </w:pPr>
    <w:rPr/>
  </w:style>
  <w:style w:type="paragraph" w:styleId="18" w:customStyle="1">
    <w:name w:val="Заголовок1"/>
    <w:basedOn w:val="Normal"/>
    <w:qFormat/>
    <w:rsid w:val="00335422"/>
    <w:pPr>
      <w:keepNext w:val="true"/>
      <w:suppressAutoHyphens w:val="true"/>
      <w:spacing w:lineRule="auto" w:line="312" w:before="240" w:after="120"/>
      <w:ind w:firstLine="397"/>
    </w:pPr>
    <w:rPr>
      <w:rFonts w:ascii="Liberation Sans" w:hAnsi="Liberation Sans" w:eastAsia="Noto Sans CJK SC Regular" w:cs="FreeSans"/>
      <w:sz w:val="28"/>
      <w:szCs w:val="28"/>
      <w:lang w:val="ru-RU" w:eastAsia="zh-CN" w:bidi="hi-IN"/>
    </w:rPr>
  </w:style>
  <w:style w:type="paragraph" w:styleId="22" w:customStyle="1">
    <w:name w:val="Текст примечания Знак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19"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Style30"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1" w:customStyle="1">
    <w:name w:val="Заголовок таблицы"/>
    <w:basedOn w:val="Style30"/>
    <w:qFormat/>
    <w:rsid w:val="00335422"/>
    <w:pPr>
      <w:jc w:val="center"/>
    </w:pPr>
    <w:rPr>
      <w:b/>
      <w:bCs/>
    </w:rPr>
  </w:style>
  <w:style w:type="paragraph" w:styleId="110" w:customStyle="1">
    <w:name w:val="Текст выноски1"/>
    <w:basedOn w:val="Normal"/>
    <w:qFormat/>
    <w:rsid w:val="00335422"/>
    <w:pPr>
      <w:suppressAutoHyphens w:val="true"/>
      <w:spacing w:before="0" w:after="0"/>
      <w:ind w:firstLine="397"/>
      <w:jc w:val="left"/>
    </w:pPr>
    <w:rPr>
      <w:rFonts w:ascii="Tahoma" w:hAnsi="Tahoma" w:eastAsia="Tahoma" w:cs="FreeSans"/>
      <w:sz w:val="16"/>
      <w:szCs w:val="24"/>
      <w:lang w:val="ru-RU" w:eastAsia="zh-CN" w:bidi="hi-IN"/>
    </w:rPr>
  </w:style>
  <w:style w:type="paragraph" w:styleId="Style32"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3">
    <w:name w:val="Subtitle"/>
    <w:basedOn w:val="18"/>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szCs w:val="21"/>
      <w:lang w:val="ru-RU" w:eastAsia="zh-CN" w:bidi="hi-IN"/>
    </w:rPr>
  </w:style>
  <w:style w:type="paragraph" w:styleId="Annotationtext">
    <w:name w:val="annotation text"/>
    <w:basedOn w:val="Normal"/>
    <w:link w:val="31"/>
    <w:qFormat/>
    <w:rsid w:val="00335422"/>
    <w:pPr>
      <w:suppressAutoHyphens w:val="true"/>
      <w:spacing w:before="0" w:after="0"/>
      <w:ind w:firstLine="567"/>
    </w:pPr>
    <w:rPr>
      <w:rFonts w:ascii="Liberation Serif" w:hAnsi="Liberation Serif" w:eastAsia="FreeSans" w:cs="FreeSans"/>
      <w:sz w:val="20"/>
      <w:szCs w:val="24"/>
      <w:lang w:val="ru-RU" w:eastAsia="hi-IN" w:bidi="hi-IN"/>
    </w:rPr>
  </w:style>
  <w:style w:type="paragraph" w:styleId="Annotationsubject">
    <w:name w:val="annotation subject"/>
    <w:qFormat/>
    <w:rsid w:val="00335422"/>
    <w:pPr>
      <w:widowControl/>
      <w:suppressAutoHyphens w:val="true"/>
      <w:bidi w:val="0"/>
      <w:ind w:firstLine="567"/>
      <w:jc w:val="both"/>
    </w:pPr>
    <w:rPr>
      <w:rFonts w:ascii="Liberation Serif" w:hAnsi="Liberation Serif" w:eastAsia="0" w:cs="Liberation Serif"/>
      <w:b/>
      <w:color w:val="000000"/>
      <w:kern w:val="0"/>
      <w:sz w:val="24"/>
      <w:szCs w:val="24"/>
      <w:lang w:val="ru-RU" w:eastAsia="ar-SA" w:bidi="ar-SA"/>
    </w:rPr>
  </w:style>
  <w:style w:type="paragraph" w:styleId="Style34">
    <w:name w:val="Header"/>
    <w:basedOn w:val="Normal"/>
    <w:uiPriority w:val="99"/>
    <w:unhideWhenUsed/>
    <w:rsid w:val="00335422"/>
    <w:pPr>
      <w:tabs>
        <w:tab w:val="clear" w:pos="720"/>
        <w:tab w:val="center" w:pos="4677" w:leader="none"/>
        <w:tab w:val="right" w:pos="9355" w:leader="none"/>
      </w:tabs>
      <w:suppressAutoHyphens w:val="true"/>
      <w:spacing w:before="0" w:after="0"/>
      <w:ind w:firstLine="397"/>
    </w:pPr>
    <w:rPr>
      <w:rFonts w:ascii="Liberation Serif" w:hAnsi="Liberation Serif" w:eastAsia="Noto Sans CJK SC Regular" w:cs="Mangal"/>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szCs w:val="24"/>
      <w:lang w:val="ru-RU" w:eastAsia="ru-RU"/>
    </w:rPr>
  </w:style>
  <w:style w:type="paragraph" w:styleId="Style35" w:customStyle="1">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doi.org/10.1021/cr0509861" TargetMode="External"/><Relationship Id="rId19" Type="http://schemas.openxmlformats.org/officeDocument/2006/relationships/hyperlink" Target="https://doi.org/10.1002/adsc.201100531" TargetMode="External"/><Relationship Id="rId20" Type="http://schemas.openxmlformats.org/officeDocument/2006/relationships/hyperlink" Target="https://doi.org/10.1039/c3ob27366k" TargetMode="External"/><Relationship Id="rId21" Type="http://schemas.openxmlformats.org/officeDocument/2006/relationships/hyperlink" Target="https://doi.org/10.1071/ch13533" TargetMode="External"/><Relationship Id="rId22" Type="http://schemas.openxmlformats.org/officeDocument/2006/relationships/hyperlink" Target="https://doi.org/10.1002/chem.201404348" TargetMode="External"/><Relationship Id="rId23" Type="http://schemas.openxmlformats.org/officeDocument/2006/relationships/hyperlink" Target="https://doi.org/10.1039/c0cs00179a" TargetMode="External"/><Relationship Id="rId24" Type="http://schemas.openxmlformats.org/officeDocument/2006/relationships/hyperlink" Target="https://doi.org/10.1016/j.jlp.2015.09.004" TargetMode="External"/><Relationship Id="rId25" Type="http://schemas.openxmlformats.org/officeDocument/2006/relationships/hyperlink" Target="https://doi.org/10.1002/qua.25430" TargetMode="External"/><Relationship Id="rId26" Type="http://schemas.openxmlformats.org/officeDocument/2006/relationships/hyperlink" Target="https://doi.org/10.1016/j.jmgm.2019.03.008" TargetMode="External"/><Relationship Id="rId27" Type="http://schemas.openxmlformats.org/officeDocument/2006/relationships/hyperlink" Target="https://doi.org/10.1002/chem.200400386" TargetMode="External"/><Relationship Id="rId28" Type="http://schemas.openxmlformats.org/officeDocument/2006/relationships/hyperlink" Target="https://doi.org/10.1016/j.tet.2018.05.089" TargetMode="External"/><Relationship Id="rId29" Type="http://schemas.openxmlformats.org/officeDocument/2006/relationships/hyperlink" Target="https://doi.org/10.1039/c5qo00037h" TargetMode="External"/><Relationship Id="rId30" Type="http://schemas.openxmlformats.org/officeDocument/2006/relationships/hyperlink" Target="https://doi.org/10.1021/jo00835a031" TargetMode="External"/><Relationship Id="rId31" Type="http://schemas.openxmlformats.org/officeDocument/2006/relationships/hyperlink" Target="https://doi.org/10.1021/jo00835a032" TargetMode="External"/><Relationship Id="rId32" Type="http://schemas.openxmlformats.org/officeDocument/2006/relationships/hyperlink" Target="https://doi.org/10.1021/ja00837a019" TargetMode="External"/><Relationship Id="rId33" Type="http://schemas.openxmlformats.org/officeDocument/2006/relationships/hyperlink" Target="https://doi.org/10.1021/ol8013528" TargetMode="External"/><Relationship Id="rId34" Type="http://schemas.openxmlformats.org/officeDocument/2006/relationships/hyperlink" Target="https://doi.org/10.1002/ejoc.201800887" TargetMode="External"/><Relationship Id="rId35" Type="http://schemas.openxmlformats.org/officeDocument/2006/relationships/hyperlink" Target="https://doi.org/10.1055/s-2006-958936" TargetMode="External"/><Relationship Id="rId36" Type="http://schemas.openxmlformats.org/officeDocument/2006/relationships/hyperlink" Target="https://doi.org/10.1055/s-2007-990950" TargetMode="External"/><Relationship Id="rId37" Type="http://schemas.openxmlformats.org/officeDocument/2006/relationships/hyperlink" Target="https://doi.org/10.1016/j.tetlet.2007.11.192" TargetMode="External"/><Relationship Id="rId38" Type="http://schemas.openxmlformats.org/officeDocument/2006/relationships/hyperlink" Target="https://doi.org/10.1016/j.tet.2010.07.005" TargetMode="External"/><Relationship Id="rId39" Type="http://schemas.openxmlformats.org/officeDocument/2006/relationships/hyperlink" Target="https://doi.org/10.1016/j.tetlet.2010.10.099" TargetMode="External"/><Relationship Id="rId40" Type="http://schemas.openxmlformats.org/officeDocument/2006/relationships/hyperlink" Target="https://doi.org/10.1055/s-0030-1260046" TargetMode="External"/><Relationship Id="rId41" Type="http://schemas.openxmlformats.org/officeDocument/2006/relationships/hyperlink" Target="https://doi.org/10.1055/s-0033-1339648" TargetMode="External"/><Relationship Id="rId42" Type="http://schemas.openxmlformats.org/officeDocument/2006/relationships/hyperlink" Target="https://doi.org/10.3762/bjoc.11.41" TargetMode="External"/><Relationship Id="rId43" Type="http://schemas.openxmlformats.org/officeDocument/2006/relationships/hyperlink" Target="https://doi.org/10.1055/s-0036-1588919" TargetMode="External"/><Relationship Id="rId44" Type="http://schemas.openxmlformats.org/officeDocument/2006/relationships/hyperlink" Target="https://doi.org/10.5012/BKCS.2011.32.8.2970" TargetMode="External"/><Relationship Id="rId45" Type="http://schemas.openxmlformats.org/officeDocument/2006/relationships/hyperlink" Target="https://doi.org/10.1016/j.tetlet.2012.01.082" TargetMode="External"/><Relationship Id="rId46" Type="http://schemas.openxmlformats.org/officeDocument/2006/relationships/hyperlink" Target="https://doi.org/10.1134/s1070428013070087" TargetMode="External"/><Relationship Id="rId47" Type="http://schemas.openxmlformats.org/officeDocument/2006/relationships/hyperlink" Target="https://doi.org/10.1055/s-0029-1219090" TargetMode="External"/><Relationship Id="rId48" Type="http://schemas.openxmlformats.org/officeDocument/2006/relationships/hyperlink" Target="https://doi.org/10.1134/s1995078010070037" TargetMode="External"/><Relationship Id="rId49" Type="http://schemas.openxmlformats.org/officeDocument/2006/relationships/hyperlink" Target="https://doi.org/10.1039/c3cc42591f" TargetMode="External"/><Relationship Id="rId50" Type="http://schemas.openxmlformats.org/officeDocument/2006/relationships/hyperlink" Target="http://www.unece.org/trans/danger/danger.html" TargetMode="External"/><Relationship Id="rId51" Type="http://schemas.openxmlformats.org/officeDocument/2006/relationships/hyperlink" Target="https://doi.org/10.1016/0040-6031(93)80188-g" TargetMode="External"/><Relationship Id="rId52" Type="http://schemas.openxmlformats.org/officeDocument/2006/relationships/hyperlink" Target="https://doi.org/10.1063/1.1696991" TargetMode="External"/><Relationship Id="rId53" Type="http://schemas.openxmlformats.org/officeDocument/2006/relationships/hyperlink" Target="https://www.R-project.org/" TargetMode="External"/><Relationship Id="rId54" Type="http://schemas.openxmlformats.org/officeDocument/2006/relationships/hyperlink" Target="https://doi.org/10.1186/1471-2105-9-163" TargetMode="External"/><Relationship Id="rId55" Type="http://schemas.openxmlformats.org/officeDocument/2006/relationships/hyperlink" Target="https://doi.org/10.1021/ie8018615" TargetMode="Externa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29C96-1CAF-4218-9068-9AA2D576C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Application>LibreOffice/6.1.5.2$Linux_X86_64 LibreOffice_project/10$Build-2</Application>
  <Pages>48</Pages>
  <Words>7935</Words>
  <Characters>46873</Characters>
  <CharactersWithSpaces>54317</CharactersWithSpaces>
  <Paragraphs>525</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2019-08-22T04:26:00Z</dcterms:created>
  <dc:creator>alex</dc:creator>
  <dc:description/>
  <dc:language>ru-RU</dc:language>
  <cp:lastModifiedBy/>
  <cp:lastPrinted>2019-08-21T03:17:00Z</cp:lastPrinted>
  <dcterms:modified xsi:type="dcterms:W3CDTF">2019-08-30T17:35:21Z</dcterms:modified>
  <cp:revision>30</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