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r>
        <w:rPr>
          <w:color w:val="0000CC"/>
          <w:highlight w:val="yellow"/>
          <w:vertAlign w:val="superscript"/>
        </w:rPr>
        <w:t>a</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strike/>
          <w:color w:val="0000CC"/>
          <w:vertAlign w:val="superscript"/>
        </w:rPr>
        <w:t>1a,2b,2c</w:t>
      </w:r>
      <w:r>
        <w:rPr>
          <w:color w:val="0000CC"/>
          <w:vertAlign w:val="superscript"/>
        </w:rPr>
        <w:t>,</w:t>
      </w:r>
      <w:r>
        <w:rPr>
          <w:color w:val="0000CC"/>
          <w:highlight w:val="yellow"/>
          <w:vertAlign w:val="superscript"/>
        </w:rPr>
        <w:t>2d, (1a, 2b-d)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 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 xml:space="preserve">The thermal decomposition energies of some ADTs and ADTfs, determined by DSC/TGA, in most cases were found to be below 800 J/g. </w:t>
      </w:r>
      <w:r>
        <w:rPr>
          <w:highlight w:val="yellow"/>
          <w:vertAlign w:val="superscript"/>
        </w:rPr>
        <w:t>3a,b, 4g</w:t>
      </w:r>
      <w:r>
        <w:rPr/>
        <w:t xml:space="preserve">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w:t>
      </w:r>
      <w:r>
        <w:rPr>
          <w:highlight w:val="yellow"/>
        </w:rPr>
        <w:t>elevated and high ??</w:t>
      </w:r>
      <w:r>
        <w:rPr/>
        <w:t xml:space="preserve">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strike/>
          <w:color w:val="0000CC"/>
          <w:vertAlign w:val="superscript"/>
        </w:rPr>
        <w:t>3a,3b,3g</w:t>
      </w:r>
      <w:r>
        <w:rPr/>
        <w:t xml:space="preserve"> </w:t>
      </w:r>
      <w:r>
        <w:rPr>
          <w:highlight w:val="yellow"/>
          <w:vertAlign w:val="superscript"/>
        </w:rPr>
        <w:t>3a,b, 4g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strike/>
          <w:color w:val="0000CC"/>
          <w:vertAlign w:val="superscript"/>
        </w:rPr>
        <w:t>3a,3b</w:t>
      </w:r>
      <w:r>
        <w:rPr/>
        <w:t xml:space="preserve"> </w:t>
      </w:r>
      <w:r>
        <w:rPr>
          <w:highlight w:val="yellow"/>
          <w:vertAlign w:val="superscript"/>
        </w:rPr>
        <w:t>3a,b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 xml:space="preserve">was carried out. The obtained results are valuable for both applied and theoretical field of diazonium chemistry. On the one hand, they allow </w:t>
      </w:r>
      <w:r>
        <w:rPr>
          <w:highlight w:val="green"/>
        </w:rPr>
        <w:t>to assess the stability, capabilities and limitations of DSs for industrial use</w:t>
      </w:r>
      <w:r>
        <w:rPr/>
        <w:t>.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strike/>
          <w:color w:val="0000CC"/>
          <w:vertAlign w:val="superscript"/>
        </w:rPr>
        <w:t>3a,3b</w:t>
      </w:r>
      <w:r>
        <w:rPr>
          <w:rFonts w:ascii="Times New Roman" w:hAnsi="Times New Roman"/>
        </w:rPr>
        <w:t xml:space="preserve"> </w:t>
      </w:r>
      <w:r>
        <w:rPr>
          <w:rFonts w:ascii="Times New Roman" w:hAnsi="Times New Roman"/>
          <w:highlight w:val="yellow"/>
          <w:vertAlign w:val="superscript"/>
        </w:rPr>
        <w:t>3a,b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w:t>
      </w:r>
      <w:r>
        <w:rPr>
          <w:highlight w:val="yellow"/>
          <w:shd w:fill="FFFF00" w:val="clear"/>
          <w:lang w:val="ru-RU"/>
        </w:rPr>
        <w:t>Мы проводили эти эксперименты в соответствии с подходом, принятым для калориметрических исследований безопасности высокоэнергетических материалов</w:t>
      </w:r>
      <w:r>
        <w:rPr>
          <w:shd w:fill="FFFF00" w:val="clear"/>
          <w:lang w:val="ru-RU"/>
        </w:rPr>
        <w:t xml:space="preserve">. </w:t>
      </w:r>
      <w:r>
        <w:rPr>
          <w:color w:val="0000CC"/>
          <w:vertAlign w:val="superscript"/>
        </w:rPr>
        <w:t>8</w:t>
      </w:r>
      <w:r>
        <w:rPr/>
        <w:t xml:space="preserve">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w:t>
      </w:r>
      <w:r>
        <w:rPr>
          <w:highlight w:val="green"/>
        </w:rPr>
        <w:t>and sealed</w:t>
      </w:r>
      <w:r>
        <w:rPr/>
        <w:t xml:space="preserve">. The heat flow was measured at three different temperatures: 75, 80, and 85 °C. </w:t>
      </w:r>
      <w:r>
        <w:rPr>
          <w:highlight w:val="green"/>
        </w:rPr>
        <w:t>Все эксперименты потоковой калориметрии мы специально проводили при температурах значительно меньших температур плавления, чтобы адекватно аппроксимировать кинетические кривые на нормальные условия. Изотермический тест проводился до снижения теплового потока менее 2 микровата uW, что составляет величину менее 1% от максимального теплового потока и соответствует степени конверсии α&gt;0.99. Абсолютное время варьировалось от 1 дня до 50 дней, св зависимости от природы образца и температуры.</w:t>
      </w:r>
      <w:r>
        <w:rPr/>
        <w:t xml:space="preserve">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strike/>
          <w:color w:val="0000CC"/>
          <w:vertAlign w:val="superscript"/>
        </w:rPr>
        <w:t>3a,3b</w:t>
      </w:r>
      <w:r>
        <w:rPr/>
        <w:t xml:space="preserve"> </w:t>
      </w:r>
      <w:r>
        <w:rPr>
          <w:highlight w:val="yellow"/>
          <w:vertAlign w:val="superscript"/>
        </w:rPr>
        <w:t>3a,b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 : 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 xml:space="preserve">has begun </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w:t>
      </w:r>
      <w:bookmarkStart w:id="0" w:name="_GoBack"/>
      <w:bookmarkEnd w:id="0"/>
      <w:r>
        <w:rPr/>
        <w:t xml:space="preserv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w:t>
      </w:r>
      <w:r>
        <w:rPr>
          <w:color w:val="auto"/>
        </w:rPr>
        <w:t>58.7</w:t>
      </w:r>
      <w:r>
        <w:rPr/>
        <w:t xml:space="preserve">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FReferencesSection"/>
        <w:rPr/>
      </w:pPr>
      <w:r>
        <w:rPr/>
        <w:t xml:space="preserve">This indicates that 4-nitrobenzene diazonium fluoride </w:t>
      </w:r>
      <w:r>
        <w:rPr>
          <w:b/>
        </w:rPr>
        <w:t>3a</w:t>
      </w:r>
      <w:r>
        <w:rPr/>
        <w:t xml:space="preserve"> should undergo further decomposition at 146.5 ° C. Therefore, for the first time we have shown that the mechanism of arenediazonium tetrafluoroborate decomposition differs in condensed state and in solution. Thus, the study of arenediazonium tetrafluoroborate decomposition in solution demonstrated that fluoroarenes are formed as a result of interaction between intermediate Ar</w:t>
      </w:r>
      <w:r>
        <w:rPr>
          <w:vertAlign w:val="superscript"/>
        </w:rPr>
        <w:t>+</w:t>
      </w:r>
      <w:r>
        <w:rPr/>
        <w:t xml:space="preserve"> and BF</w:t>
      </w:r>
      <w:r>
        <w:rPr>
          <w:vertAlign w:val="subscript"/>
        </w:rPr>
        <w:t>4</w:t>
      </w:r>
      <w:r>
        <w:rPr>
          <w:vertAlign w:val="superscript"/>
        </w:rPr>
        <w:t>-</w:t>
      </w:r>
      <w:r>
        <w:rPr/>
        <w:t xml:space="preserve">. </w:t>
      </w:r>
      <w:r>
        <w:rPr>
          <w:color w:val="0000CC"/>
          <w:vertAlign w:val="superscript"/>
        </w:rPr>
        <w:t>2k</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 xml:space="preserve">TTable 1. Temperatures and decomposition energies of diazonium salts 1-3 according to DSC\TGA experiments data. </w:t>
      </w:r>
    </w:p>
    <w:tbl>
      <w:tblPr>
        <w:tblW w:w="5000" w:type="pct"/>
        <w:jc w:val="left"/>
        <w:tblInd w:w="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 w:type="dxa"/>
          <w:bottom w:w="0" w:type="dxa"/>
          <w:right w:w="108" w:type="dxa"/>
        </w:tblCellMar>
        <w:tblLook w:noVBand="0" w:val="0000" w:noHBand="0" w:lastColumn="0" w:firstColumn="0" w:lastRow="0" w:firstRow="0"/>
      </w:tblPr>
      <w:tblGrid>
        <w:gridCol w:w="2441"/>
        <w:gridCol w:w="953"/>
        <w:gridCol w:w="1876"/>
        <w:gridCol w:w="769"/>
        <w:gridCol w:w="2053"/>
        <w:gridCol w:w="1"/>
        <w:gridCol w:w="1266"/>
      </w:tblGrid>
      <w:tr>
        <w:trPr>
          <w:tblHeader w:val="true"/>
          <w:cantSplit w:val="true"/>
        </w:trPr>
        <w:tc>
          <w:tcPr>
            <w:tcW w:w="244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Diazonium salts</w:t>
            </w:r>
          </w:p>
        </w:tc>
        <w:tc>
          <w:tcPr>
            <w:tcW w:w="282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Endothermic process</w:t>
            </w:r>
          </w:p>
        </w:tc>
        <w:tc>
          <w:tcPr>
            <w:tcW w:w="28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Exothermic process</w:t>
            </w:r>
          </w:p>
        </w:tc>
        <w:tc>
          <w:tcPr>
            <w:tcW w:w="126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Mp, (° C)</w:t>
            </w:r>
          </w:p>
        </w:tc>
      </w:tr>
      <w:tr>
        <w:trPr>
          <w:tblHeader w:val="true"/>
          <w:cantSplit w:val="true"/>
        </w:trPr>
        <w:tc>
          <w:tcPr>
            <w:tcW w:w="244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Т, ° C</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rFonts w:ascii="Symbol" w:hAnsi="Symbol"/>
                <w:sz w:val="16"/>
                <w:szCs w:val="16"/>
              </w:rPr>
              <w:t></w:t>
            </w:r>
            <w:r>
              <w:rPr/>
              <w:t>Н,</w:t>
            </w:r>
            <w:r>
              <w:rPr>
                <w:sz w:val="22"/>
                <w:szCs w:val="22"/>
              </w:rPr>
              <w:t xml:space="preserve"> J/g (kJ/mol)</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Т, ° C</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Fonts w:ascii="Symbol" w:hAnsi="Symbol"/>
                <w:sz w:val="16"/>
                <w:szCs w:val="16"/>
              </w:rPr>
              <w:t></w:t>
            </w:r>
            <w:r>
              <w:rPr/>
              <w:t>Н</w:t>
            </w:r>
            <w:r>
              <w:rPr>
                <w:sz w:val="22"/>
                <w:szCs w:val="22"/>
              </w:rPr>
              <w:t>, J/g (kJ/mol)</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green"/>
              </w:rPr>
            </w:pPr>
            <w:r>
              <w:rPr>
                <w:highlight w:val="green"/>
              </w:rPr>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1" w:name="__DdeLink__2858_448124851"/>
            <w:r>
              <w:rPr>
                <w:szCs w:val="28"/>
              </w:rPr>
              <w:t xml:space="preserve">  </w:t>
            </w:r>
            <w:bookmarkEnd w:id="1"/>
            <w:r>
              <w:rPr>
                <w:b/>
                <w:szCs w:val="28"/>
              </w:rPr>
              <w:t>1a</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104.1</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73.49 (21.98)</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143.3</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-753.4 (-225.3)</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110</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102.5</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43.6 (10.04)</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111.2</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-840.4 (-251.3)</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108-109</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116.4</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-219.9 (-65.7)</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104</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88.4</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102.2 (29.05)</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136.6</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-328.9 (-93.5)</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94-97</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69.37</w:t>
            </w:r>
          </w:p>
          <w:p>
            <w:pPr>
              <w:pStyle w:val="TCTableBody"/>
              <w:spacing w:before="0" w:after="200"/>
              <w:rPr/>
            </w:pPr>
            <w:r>
              <w:rPr>
                <w:szCs w:val="28"/>
              </w:rPr>
              <w:t>146.6</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-24.47 (-7.8)</w:t>
            </w:r>
          </w:p>
          <w:p>
            <w:pPr>
              <w:pStyle w:val="TCTableBody"/>
              <w:spacing w:before="0" w:after="200"/>
              <w:rPr/>
            </w:pPr>
            <w:r>
              <w:rPr>
                <w:szCs w:val="28"/>
              </w:rPr>
              <w:t>-323.0 (-103.7)</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132</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9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yellow"/>
              </w:rPr>
            </w:pPr>
            <w:r>
              <w:rPr>
                <w:szCs w:val="28"/>
                <w:highlight w:val="yellow"/>
              </w:rPr>
              <w:t>58.7</w:t>
            </w:r>
          </w:p>
          <w:p>
            <w:pPr>
              <w:pStyle w:val="TCTableBody"/>
              <w:spacing w:before="0" w:after="200"/>
              <w:rPr>
                <w:strike/>
              </w:rPr>
            </w:pPr>
            <w:r>
              <w:rPr>
                <w:strike/>
                <w:szCs w:val="28"/>
              </w:rPr>
              <w:t>33.7</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jc w:val="left"/>
              <w:rPr/>
            </w:pPr>
            <w:r>
              <w:rPr>
                <w:szCs w:val="28"/>
              </w:rPr>
              <w:t xml:space="preserve">617.3 (146.3)   </w:t>
            </w:r>
            <w:r>
              <w:rPr>
                <w:b/>
                <w:bCs/>
                <w:color w:val="CE181E"/>
                <w:szCs w:val="28"/>
              </w:rPr>
              <w:t>Убрать?</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146.5</w:t>
            </w:r>
          </w:p>
        </w:tc>
        <w:tc>
          <w:tcPr>
            <w:tcW w:w="20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-229.2 (-54.3)</w:t>
            </w:r>
          </w:p>
        </w:tc>
        <w:tc>
          <w:tcPr>
            <w:tcW w:w="1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144</w:t>
            </w:r>
          </w:p>
        </w:tc>
      </w:tr>
    </w:tbl>
    <w:p>
      <w:pPr>
        <w:pStyle w:val="VDTableTitle"/>
        <w:rPr>
          <w:b/>
          <w:b/>
        </w:rPr>
      </w:pPr>
      <w:r>
        <w:rPr>
          <w:b/>
        </w:rPr>
      </w:r>
    </w:p>
    <w:p>
      <w:pPr>
        <w:pStyle w:val="TAMainText"/>
        <w:rPr>
          <w:highlight w:val="darkGreen"/>
        </w:rPr>
      </w:pPr>
      <w:r>
        <w:rPr>
          <w:highlight w:val="darkGreen"/>
        </w:rPr>
        <w:t xml:space="preserve"> </w:t>
      </w: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r>
        <w:rPr>
          <w:highlight w:val="darkGreen"/>
        </w:rPr>
        <w:t xml:space="preserve"> </w:t>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 xml:space="preserve">1a </w:t>
      </w:r>
      <w:r>
        <w:rPr>
          <w:b w:val="false"/>
          <w:bCs w:val="false"/>
          <w:color w:val="000000"/>
          <w:szCs w:val="28"/>
          <w:highlight w:val="green"/>
        </w:rPr>
        <w:t>(красная линия – температура, зеленым цветом – масса образца, синим – тепловой поток)</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 xml:space="preserve">Table 2. The reproducibility of the DS 2 thermal decomposition parameters measured at 85 ° </w:t>
      </w:r>
      <w:r>
        <w:rPr>
          <w:b/>
          <w:bCs/>
        </w:rPr>
        <w:t>C</w:t>
      </w:r>
      <w:r>
        <w:rPr>
          <w:b/>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31" w:type="dxa"/>
        </w:tblCellMar>
        <w:tblLook w:noVBand="0" w:val="0000" w:noHBand="0" w:lastColumn="0" w:firstColumn="0" w:lastRow="0" w:firstRow="0"/>
      </w:tblPr>
      <w:tblGrid>
        <w:gridCol w:w="4220"/>
        <w:gridCol w:w="1870"/>
        <w:gridCol w:w="1438"/>
        <w:gridCol w:w="1363"/>
      </w:tblGrid>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Sample</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bookmarkStart w:id="2" w:name="__DdeLink__8620_2955565741"/>
            <w:r>
              <w:rPr>
                <w:highlight w:val="yellow"/>
              </w:rPr>
              <w:t>k·10</w:t>
            </w:r>
            <w:r>
              <w:rPr>
                <w:highlight w:val="yellow"/>
                <w:vertAlign w:val="superscript"/>
              </w:rPr>
              <w:t>3</w:t>
            </w:r>
            <w:r>
              <w:rPr>
                <w:highlight w:val="yellow"/>
              </w:rPr>
              <w:t>, s</w:t>
            </w:r>
            <w:r>
              <w:rPr>
                <w:highlight w:val="yellow"/>
                <w:vertAlign w:val="superscript"/>
              </w:rPr>
              <w:t>-1</w:t>
            </w:r>
            <w:bookmarkEnd w:id="2"/>
          </w:p>
          <w:p>
            <w:pPr>
              <w:pStyle w:val="TCTableBody"/>
              <w:spacing w:before="0" w:after="200"/>
              <w:rPr/>
            </w:pPr>
            <w:r>
              <w:rPr>
                <w:strike/>
              </w:rPr>
              <w:t>k, g·mol</w:t>
            </w:r>
            <w:r>
              <w:rPr>
                <w:strike/>
                <w:vertAlign w:val="superscript"/>
              </w:rPr>
              <w:t>-1</w:t>
            </w:r>
            <w:r>
              <w:rPr>
                <w:strike/>
              </w:rPr>
              <w:t>·с</w:t>
            </w:r>
            <w:r>
              <w:rPr>
                <w:strike/>
                <w:vertAlign w:val="superscript"/>
              </w:rPr>
              <w:t>-1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rFonts w:ascii="Symbol" w:hAnsi="Symbol"/>
                <w:sz w:val="16"/>
                <w:szCs w:val="16"/>
              </w:rPr>
              <w:t></w:t>
            </w:r>
            <w:r>
              <w:rPr/>
              <w:t>H, kJ·mol</w:t>
            </w:r>
            <w:r>
              <w:rPr>
                <w:vertAlign w:val="superscript"/>
              </w:rPr>
              <w:t>-1</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1 Nitrogen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0.2726 ± 0.0364</w:t>
            </w:r>
          </w:p>
          <w:p>
            <w:pPr>
              <w:pStyle w:val="TCTableBody"/>
              <w:spacing w:before="0" w:after="200"/>
              <w:rPr/>
            </w:pPr>
            <w:r>
              <w:rPr>
                <w:strike/>
              </w:rPr>
              <w:t>0.0875 ± 0.0117</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234.2 ± 3.0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  </w:t>
            </w:r>
            <w:r>
              <w:rPr/>
              <w:t>31.2 ± 8.1</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strike/>
              </w:rPr>
            </w:pPr>
            <w:r>
              <w:rPr>
                <w:strike/>
              </w:rPr>
              <w:t>Sample 2 Nitrogen, (source,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strike/>
              </w:rPr>
            </w:pPr>
            <w:r>
              <w:rPr>
                <w:strike/>
                <w:highlight w:val="yellow"/>
              </w:rPr>
              <w:t>0.2570 ± 0.0371</w:t>
            </w:r>
          </w:p>
          <w:p>
            <w:pPr>
              <w:pStyle w:val="TCTableBody"/>
              <w:spacing w:before="0" w:after="200"/>
              <w:rPr>
                <w:strike/>
              </w:rPr>
            </w:pPr>
            <w:r>
              <w:rPr>
                <w:strike/>
              </w:rPr>
              <w:t>0.0825 ± 0.0119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243.6 ± 20.7</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12.7 ± 3.5</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Nitrogen, (source,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0.2641 ± 0.0283</w:t>
            </w:r>
          </w:p>
          <w:p>
            <w:pPr>
              <w:pStyle w:val="TCTableBody"/>
              <w:spacing w:before="0" w:after="200"/>
              <w:rPr/>
            </w:pPr>
            <w:r>
              <w:rPr>
                <w:strike/>
              </w:rPr>
              <w:t>0.0848 ± 0.0091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235.5 ± 7.0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highlight w:val="green"/>
              </w:rPr>
            </w:pPr>
            <w:r>
              <w:rPr>
                <w:sz w:val="4"/>
                <w:szCs w:val="4"/>
                <w:highlight w:val="green"/>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Air,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0.2528 ± 0.0333</w:t>
            </w:r>
          </w:p>
          <w:p>
            <w:pPr>
              <w:pStyle w:val="TCTableBody"/>
              <w:spacing w:before="0" w:after="200"/>
              <w:rPr/>
            </w:pPr>
            <w:r>
              <w:rPr>
                <w:strike/>
              </w:rPr>
              <w:t>0.081162 ± 0.0107</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229.0 ± 28.9</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8.7 ± 8.5</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Argon,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0.3121 ± 0.0352</w:t>
            </w:r>
          </w:p>
          <w:p>
            <w:pPr>
              <w:pStyle w:val="TCTableBody"/>
              <w:spacing w:before="0" w:after="200"/>
              <w:rPr/>
            </w:pPr>
            <w:r>
              <w:rPr>
                <w:strike/>
              </w:rPr>
              <w:t>0.1002 ± 0.0113</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242.3 ± 8.0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12.8 ± 2.4 </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0.2610 ± 0.0184</w:t>
            </w:r>
          </w:p>
          <w:p>
            <w:pPr>
              <w:pStyle w:val="TCTableBody"/>
              <w:spacing w:before="0" w:after="200"/>
              <w:rPr/>
            </w:pPr>
            <w:r>
              <w:rPr>
                <w:strike/>
              </w:rPr>
              <w:t>0.0838 ± 0.0059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238.9 ± 7.8</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source</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0.2592 ± 0.0340</w:t>
            </w:r>
          </w:p>
          <w:p>
            <w:pPr>
              <w:pStyle w:val="TCTableBody"/>
              <w:spacing w:before="0" w:after="200"/>
              <w:rPr/>
            </w:pPr>
            <w:r>
              <w:rPr>
                <w:strike/>
              </w:rPr>
              <w:t>0.0832 ± 0.0109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241.7 ± 16.2</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12.0 ± 2.0</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0.2610 ± 0.0492</w:t>
            </w:r>
          </w:p>
          <w:p>
            <w:pPr>
              <w:pStyle w:val="TCTableBody"/>
              <w:spacing w:before="0" w:after="200"/>
              <w:rPr/>
            </w:pPr>
            <w:r>
              <w:rPr>
                <w:strike/>
              </w:rPr>
              <w:t>0.0838 ± 0.0158</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235.1 ± 17.9</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10.2 ± 6.3</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0.2900 ± 0.0221</w:t>
            </w:r>
          </w:p>
          <w:p>
            <w:pPr>
              <w:pStyle w:val="TCTableBody"/>
              <w:spacing w:before="0" w:after="200"/>
              <w:rPr/>
            </w:pPr>
            <w:r>
              <w:rPr>
                <w:strike/>
              </w:rPr>
              <w:t>0.0931 ± 0.0071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238.1 ± 6.8</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General statistics</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0.2747 ± 0.0140</w:t>
            </w:r>
          </w:p>
          <w:p>
            <w:pPr>
              <w:pStyle w:val="TCTableBody"/>
              <w:spacing w:before="0" w:after="200"/>
              <w:rPr/>
            </w:pPr>
            <w:r>
              <w:rPr>
                <w:strike/>
              </w:rPr>
              <w:t>0.0882 ± 0.0045</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237.7 ± 4.6</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13.8 ± 3.3</w:t>
            </w:r>
          </w:p>
        </w:tc>
      </w:tr>
    </w:tbl>
    <w:p>
      <w:pPr>
        <w:pStyle w:val="FETableFootnote"/>
        <w:rPr/>
      </w:pPr>
      <w:r>
        <w:rPr>
          <w:highlight w:val="yellow"/>
        </w:rPr>
        <w:t xml:space="preserve">k – rate constant, </w:t>
      </w:r>
      <w:r>
        <w:rPr>
          <w:rFonts w:ascii="Symbol" w:hAnsi="Symbol"/>
          <w:sz w:val="16"/>
          <w:szCs w:val="16"/>
          <w:highlight w:val="yellow"/>
        </w:rPr>
        <w:t></w:t>
      </w:r>
      <w:r>
        <w:rPr>
          <w:highlight w:val="yellow"/>
        </w:rPr>
        <w:t>H - integral enthalpy, P</w:t>
      </w:r>
      <w:r>
        <w:rPr>
          <w:highlight w:val="yellow"/>
          <w:vertAlign w:val="subscript"/>
        </w:rPr>
        <w:t>0</w:t>
      </w:r>
      <w:r>
        <w:rPr>
          <w:highlight w:val="yellow"/>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b/>
                <w:b/>
                <w:bCs/>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rPr>
            </w:pPr>
            <w:r>
              <w:rPr>
                <w:strike w:val="false"/>
                <w:dstrike w:val="false"/>
                <w:highlight w:val="yellow"/>
              </w:rPr>
              <w:t>119.5</w:t>
            </w:r>
          </w:p>
          <w:p>
            <w:pPr>
              <w:pStyle w:val="TCTableBody"/>
              <w:spacing w:before="0" w:after="200"/>
              <w:rPr>
                <w:strike/>
              </w:rPr>
            </w:pPr>
            <w:r>
              <w:rPr>
                <w:strike/>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w:t>
      </w:r>
      <w:r>
        <w:rPr>
          <w:bCs/>
          <w:highlight w:val="yellow"/>
        </w:rPr>
        <w:t xml:space="preserve">The following kinetic equation for autocatalytic reactions that was applied: </w:t>
      </w:r>
      <w:r>
        <w:rPr>
          <w:bCs/>
          <w:color w:val="127622"/>
          <w:highlight w:val="yellow"/>
        </w:rPr>
        <w:t xml:space="preserve"> </w:t>
      </w:r>
      <w:r>
        <w:rPr>
          <w:b/>
          <w:bCs/>
          <w:i/>
          <w:iCs/>
          <w:color w:val="auto"/>
          <w:sz w:val="28"/>
          <w:szCs w:val="28"/>
          <w:highlight w:val="yellow"/>
        </w:rPr>
        <w:t>a A </w:t>
      </w:r>
      <w:r>
        <w:rPr>
          <w:rFonts w:eastAsia="Liberation Serif" w:cs="Liberation Serif"/>
          <w:b/>
          <w:bCs/>
          <w:i/>
          <w:iCs/>
          <w:color w:val="auto"/>
          <w:sz w:val="28"/>
          <w:szCs w:val="28"/>
          <w:highlight w:val="yellow"/>
        </w:rPr>
        <w:t>→ </w:t>
      </w:r>
      <w:r>
        <w:rPr>
          <w:b/>
          <w:bCs/>
          <w:i/>
          <w:iCs/>
          <w:color w:val="auto"/>
          <w:sz w:val="28"/>
          <w:szCs w:val="28"/>
          <w:highlight w:val="yellow"/>
        </w:rPr>
        <w:t>c C</w:t>
      </w:r>
    </w:p>
    <w:p>
      <w:pPr>
        <w:pStyle w:val="TAMainText"/>
        <w:jc w:val="center"/>
        <w:rPr/>
      </w:pPr>
      <w:r>
        <w:rPr/>
        <w:drawing>
          <wp:inline distT="0" distB="0" distL="0" distR="0">
            <wp:extent cx="3063875" cy="211455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tretch>
                      <a:fillRect/>
                    </a:stretch>
                  </pic:blipFill>
                  <pic:spPr bwMode="auto">
                    <a:xfrm>
                      <a:off x="0" y="0"/>
                      <a:ext cx="3063875" cy="2114550"/>
                    </a:xfrm>
                    <a:prstGeom prst="rect">
                      <a:avLst/>
                    </a:prstGeom>
                  </pic:spPr>
                </pic:pic>
              </a:graphicData>
            </a:graphic>
          </wp:inline>
        </w:drawing>
      </w:r>
      <w:r>
        <w:rPr>
          <w:color w:val="auto"/>
          <w:highlight w:val="yellow"/>
        </w:rPr>
        <w:t xml:space="preserve">   </w:t>
      </w:r>
      <w:r>
        <w:rPr>
          <w:rFonts w:eastAsia="Liberation Serif" w:cs="Liberation Serif"/>
          <w:color w:val="auto"/>
          <w:highlight w:val="yellow"/>
        </w:rPr>
        <w:t xml:space="preserve">    </w:t>
      </w:r>
    </w:p>
    <w:p>
      <w:pPr>
        <w:pStyle w:val="TAMainText"/>
        <w:rPr/>
      </w:pPr>
      <w:r>
        <w:rPr>
          <w:b w:val="false"/>
          <w:bCs w:val="false"/>
          <w:i w:val="false"/>
          <w:iCs w:val="false"/>
          <w:color w:val="auto"/>
          <w:sz w:val="24"/>
          <w:szCs w:val="24"/>
          <w:highlight w:val="yellow"/>
        </w:rPr>
        <w:t>Ф</w:t>
      </w:r>
      <w:r>
        <w:rPr>
          <w:b w:val="false"/>
          <w:bCs w:val="false"/>
          <w:i w:val="false"/>
          <w:iCs w:val="false"/>
          <w:color w:val="auto"/>
          <w:sz w:val="24"/>
          <w:szCs w:val="24"/>
          <w:highlight w:val="yellow"/>
        </w:rPr>
        <w:t xml:space="preserve">ормальное </w:t>
      </w:r>
      <w:r>
        <w:rPr>
          <w:b w:val="false"/>
          <w:bCs w:val="false"/>
          <w:i w:val="false"/>
          <w:iCs w:val="false"/>
          <w:color w:val="auto"/>
          <w:sz w:val="24"/>
          <w:szCs w:val="24"/>
          <w:highlight w:val="yellow"/>
          <w:lang w:val="ru-RU" w:eastAsia="en-US" w:bidi="ar-SA"/>
        </w:rPr>
        <w:t>кинетическое</w:t>
      </w:r>
      <w:r>
        <w:rPr>
          <w:b w:val="false"/>
          <w:bCs w:val="false"/>
          <w:i w:val="false"/>
          <w:iCs w:val="false"/>
          <w:color w:val="auto"/>
          <w:sz w:val="24"/>
          <w:szCs w:val="24"/>
          <w:highlight w:val="yellow"/>
        </w:rPr>
        <w:t xml:space="preserve"> уравнение </w:t>
      </w:r>
      <w:r>
        <w:rPr>
          <w:b w:val="false"/>
          <w:bCs w:val="false"/>
          <w:i w:val="false"/>
          <w:iCs w:val="false"/>
          <w:color w:val="auto"/>
          <w:sz w:val="24"/>
          <w:szCs w:val="24"/>
          <w:highlight w:val="yellow"/>
        </w:rPr>
        <w:t xml:space="preserve">2 используется </w:t>
      </w:r>
      <w:r>
        <w:rPr>
          <w:b w:val="false"/>
          <w:bCs w:val="false"/>
          <w:i w:val="false"/>
          <w:iCs w:val="false"/>
          <w:color w:val="auto"/>
          <w:sz w:val="24"/>
          <w:szCs w:val="24"/>
          <w:highlight w:val="yellow"/>
        </w:rPr>
        <w:t xml:space="preserve">для </w:t>
      </w:r>
      <w:r>
        <w:rPr>
          <w:b w:val="false"/>
          <w:bCs w:val="false"/>
          <w:i w:val="false"/>
          <w:iCs w:val="false"/>
          <w:color w:val="auto"/>
          <w:sz w:val="24"/>
          <w:szCs w:val="24"/>
          <w:highlight w:val="yellow"/>
        </w:rPr>
        <w:t xml:space="preserve">моделирования </w:t>
      </w:r>
      <w:r>
        <w:rPr>
          <w:b w:val="false"/>
          <w:bCs w:val="false"/>
          <w:i w:val="false"/>
          <w:iCs w:val="false"/>
          <w:color w:val="auto"/>
          <w:sz w:val="24"/>
          <w:szCs w:val="24"/>
          <w:highlight w:val="yellow"/>
        </w:rPr>
        <w:t xml:space="preserve">реакций в твердой фазе </w:t>
      </w:r>
      <w:r>
        <w:rPr>
          <w:b w:val="false"/>
          <w:bCs w:val="false"/>
          <w:i w:val="false"/>
          <w:iCs w:val="false"/>
          <w:color w:val="0000CC"/>
          <w:sz w:val="24"/>
          <w:szCs w:val="24"/>
          <w:highlight w:val="yellow"/>
          <w:vertAlign w:val="superscript"/>
        </w:rPr>
        <w:t>13</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 xml:space="preserve">и </w:t>
      </w:r>
      <w:r>
        <w:rPr>
          <w:b w:val="false"/>
          <w:bCs w:val="false"/>
          <w:i w:val="false"/>
          <w:iCs w:val="false"/>
          <w:color w:val="auto"/>
          <w:sz w:val="24"/>
          <w:szCs w:val="24"/>
          <w:highlight w:val="yellow"/>
          <w:lang w:val="ru-RU" w:eastAsia="en-US" w:bidi="ar-SA"/>
        </w:rPr>
        <w:t>выраж</w:t>
      </w:r>
      <w:r>
        <w:rPr>
          <w:b w:val="false"/>
          <w:bCs w:val="false"/>
          <w:i w:val="false"/>
          <w:iCs w:val="false"/>
          <w:color w:val="auto"/>
          <w:sz w:val="24"/>
          <w:szCs w:val="24"/>
          <w:highlight w:val="yellow"/>
          <w:lang w:val="ru-RU" w:eastAsia="en-US" w:bidi="ar-SA"/>
        </w:rPr>
        <w:t>ается</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lang w:val="ru-RU" w:eastAsia="en-US" w:bidi="ar-SA"/>
        </w:rPr>
        <w:t>через</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степень конверсии (</w:t>
      </w:r>
      <w:r>
        <w:rPr>
          <w:b w:val="false"/>
          <w:bCs w:val="false"/>
          <w:i w:val="false"/>
          <w:iCs w:val="false"/>
          <w:color w:val="auto"/>
          <w:sz w:val="24"/>
          <w:szCs w:val="24"/>
          <w:highlight w:val="yellow"/>
        </w:rPr>
        <w:t>conversion degree</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 </w:t>
      </w:r>
      <w:bookmarkStart w:id="3" w:name="MathJax-Span-17307"/>
      <w:bookmarkStart w:id="4" w:name="MathJax-Span-17306"/>
      <w:bookmarkStart w:id="5" w:name="MathJax-Span-17300"/>
      <w:bookmarkStart w:id="6" w:name="MathJax-Span-17299"/>
      <w:bookmarkStart w:id="7" w:name="MathJax-Element-621-Frame"/>
      <w:bookmarkEnd w:id="3"/>
      <w:bookmarkEnd w:id="4"/>
      <w:bookmarkEnd w:id="5"/>
      <w:bookmarkEnd w:id="6"/>
      <w:bookmarkEnd w:id="7"/>
      <w:r>
        <w:rPr>
          <w:rFonts w:ascii="MathJax Math" w:hAnsi="MathJax Math"/>
          <w:b w:val="false"/>
          <w:bCs w:val="false"/>
          <w:i w:val="false"/>
          <w:iCs w:val="false"/>
          <w:color w:val="auto"/>
          <w:sz w:val="24"/>
          <w:szCs w:val="24"/>
          <w:highlight w:val="yellow"/>
        </w:rPr>
        <w:t xml:space="preserve">α </w:t>
      </w:r>
      <w:r>
        <w:rPr>
          <w:b w:val="false"/>
          <w:bCs w:val="false"/>
          <w:i w:val="false"/>
          <w:iCs w:val="false"/>
          <w:color w:val="auto"/>
          <w:sz w:val="24"/>
          <w:szCs w:val="24"/>
          <w:highlight w:val="yellow"/>
        </w:rPr>
        <w:t>(уравнение 3).  f(</w:t>
      </w:r>
      <w:r>
        <w:rPr>
          <w:rFonts w:ascii="MathJax Math" w:hAnsi="MathJax Math"/>
          <w:b w:val="false"/>
          <w:bCs w:val="false"/>
          <w:i w:val="false"/>
          <w:iCs w:val="false"/>
          <w:color w:val="auto"/>
          <w:sz w:val="24"/>
          <w:szCs w:val="24"/>
          <w:highlight w:val="yellow"/>
        </w:rPr>
        <w:t>α</w:t>
      </w:r>
      <w:r>
        <w:rPr>
          <w:b w:val="false"/>
          <w:bCs w:val="false"/>
          <w:i w:val="false"/>
          <w:iCs w:val="false"/>
          <w:color w:val="auto"/>
          <w:sz w:val="24"/>
          <w:szCs w:val="24"/>
          <w:highlight w:val="yellow"/>
        </w:rPr>
        <w:t xml:space="preserve">) is the kinetic model in differential form (уравнение 4). </w:t>
      </w:r>
      <w:r>
        <w:rPr>
          <w:b w:val="false"/>
          <w:bCs w:val="false"/>
          <w:i w:val="false"/>
          <w:iCs w:val="false"/>
          <w:color w:val="auto"/>
          <w:sz w:val="24"/>
          <w:szCs w:val="24"/>
          <w:highlight w:val="yellow"/>
        </w:rPr>
        <w:t>К</w:t>
      </w:r>
      <w:r>
        <w:rPr>
          <w:b w:val="false"/>
          <w:bCs w:val="false"/>
          <w:i w:val="false"/>
          <w:iCs w:val="false"/>
          <w:color w:val="auto"/>
          <w:sz w:val="24"/>
          <w:szCs w:val="24"/>
          <w:highlight w:val="yellow"/>
        </w:rPr>
        <w:t>инетические кривые для исследуемых нами реакций лучше всего описывается уравнени</w:t>
      </w:r>
      <w:r>
        <w:rPr>
          <w:b w:val="false"/>
          <w:bCs w:val="false"/>
          <w:i w:val="false"/>
          <w:iCs w:val="false"/>
          <w:color w:val="auto"/>
          <w:sz w:val="24"/>
          <w:szCs w:val="24"/>
          <w:highlight w:val="yellow"/>
        </w:rPr>
        <w:t>ем 4 при</w:t>
      </w:r>
      <w:r>
        <w:rPr>
          <w:b w:val="false"/>
          <w:bCs w:val="false"/>
          <w:i w:val="false"/>
          <w:iCs w:val="false"/>
          <w:color w:val="auto"/>
          <w:sz w:val="24"/>
          <w:szCs w:val="24"/>
          <w:highlight w:val="yellow"/>
        </w:rPr>
        <w:t xml:space="preserve"> m=1, n=1. A</w:t>
      </w:r>
      <w:r>
        <w:rPr>
          <w:b w:val="false"/>
          <w:bCs w:val="false"/>
          <w:i w:val="false"/>
          <w:iCs w:val="false"/>
          <w:color w:val="auto"/>
          <w:sz w:val="24"/>
          <w:szCs w:val="24"/>
          <w:highlight w:val="yellow"/>
          <w:vertAlign w:val="subscript"/>
        </w:rPr>
        <w:t>0</w:t>
      </w:r>
      <w:r>
        <w:rPr>
          <w:b w:val="false"/>
          <w:bCs w:val="false"/>
          <w:i w:val="false"/>
          <w:iCs w:val="false"/>
          <w:color w:val="auto"/>
          <w:position w:val="0"/>
          <w:sz w:val="24"/>
          <w:sz w:val="24"/>
          <w:szCs w:val="24"/>
          <w:highlight w:val="yellow"/>
          <w:vertAlign w:val="baseline"/>
        </w:rPr>
        <w:t>, A</w:t>
      </w:r>
      <w:r>
        <w:rPr>
          <w:b w:val="false"/>
          <w:bCs w:val="false"/>
          <w:i w:val="false"/>
          <w:iCs w:val="false"/>
          <w:color w:val="auto"/>
          <w:sz w:val="24"/>
          <w:szCs w:val="24"/>
          <w:highlight w:val="yellow"/>
        </w:rPr>
        <w:t xml:space="preserve"> – initial  and current concentration of DS, which for solid-phase reactions is measured in в mol/g units; С</w:t>
      </w:r>
      <w:r>
        <w:rPr>
          <w:b w:val="false"/>
          <w:bCs w:val="false"/>
          <w:i w:val="false"/>
          <w:iCs w:val="false"/>
          <w:color w:val="auto"/>
          <w:sz w:val="24"/>
          <w:szCs w:val="24"/>
          <w:highlight w:val="yellow"/>
          <w:vertAlign w:val="subscript"/>
        </w:rPr>
        <w:t>0</w:t>
      </w:r>
      <w:r>
        <w:rPr>
          <w:b w:val="false"/>
          <w:bCs w:val="false"/>
          <w:i w:val="false"/>
          <w:iCs w:val="false"/>
          <w:color w:val="auto"/>
          <w:sz w:val="24"/>
          <w:szCs w:val="24"/>
          <w:highlight w:val="yellow"/>
        </w:rPr>
        <w:t>, С – initial and current concentrations of products, [mol/g]; k– rate constant, [c</w:t>
      </w:r>
      <w:r>
        <w:rPr>
          <w:b w:val="false"/>
          <w:bCs w:val="false"/>
          <w:i w:val="false"/>
          <w:iCs w:val="false"/>
          <w:color w:val="auto"/>
          <w:sz w:val="24"/>
          <w:szCs w:val="24"/>
          <w:highlight w:val="yellow"/>
          <w:vertAlign w:val="superscript"/>
        </w:rPr>
        <w:t>-1</w:t>
      </w:r>
      <w:r>
        <w:rPr>
          <w:b w:val="false"/>
          <w:bCs w:val="false"/>
          <w:i w:val="false"/>
          <w:iCs w:val="false"/>
          <w:color w:val="auto"/>
          <w:sz w:val="24"/>
          <w:szCs w:val="24"/>
          <w:highlight w:val="yellow"/>
        </w:rPr>
        <w:t>]; a, c - stoichiometric coefficients, for the processes studied a/c=1. Температурная зависимость скорости реакции выражается уравнением Аррениуса (5). P, P</w:t>
      </w:r>
      <w:r>
        <w:rPr>
          <w:b w:val="false"/>
          <w:bCs w:val="false"/>
          <w:i w:val="false"/>
          <w:iCs w:val="false"/>
          <w:color w:val="auto"/>
          <w:sz w:val="24"/>
          <w:szCs w:val="24"/>
          <w:highlight w:val="yellow"/>
          <w:vertAlign w:val="subscript"/>
        </w:rPr>
        <w:t>0</w:t>
      </w:r>
      <w:r>
        <w:rPr>
          <w:b w:val="false"/>
          <w:bCs w:val="false"/>
          <w:i w:val="false"/>
          <w:iCs w:val="false"/>
          <w:color w:val="auto"/>
          <w:sz w:val="24"/>
          <w:szCs w:val="24"/>
          <w:highlight w:val="yellow"/>
        </w:rPr>
        <w:t xml:space="preserve"> – current and initial heat flow). Энтальпия реакции рассчитывается </w:t>
      </w:r>
      <w:r>
        <w:rPr>
          <w:b w:val="false"/>
          <w:bCs w:val="false"/>
          <w:i w:val="false"/>
          <w:iCs w:val="false"/>
          <w:color w:val="auto"/>
          <w:sz w:val="24"/>
          <w:szCs w:val="24"/>
          <w:highlight w:val="yellow"/>
        </w:rPr>
        <w:t>путем</w:t>
      </w:r>
      <w:r>
        <w:rPr>
          <w:b w:val="false"/>
          <w:bCs w:val="false"/>
          <w:i w:val="false"/>
          <w:iCs w:val="false"/>
          <w:color w:val="auto"/>
          <w:sz w:val="24"/>
          <w:szCs w:val="24"/>
          <w:highlight w:val="yellow"/>
        </w:rPr>
        <w:t xml:space="preserve"> интегрирования </w:t>
      </w:r>
      <w:r>
        <w:rPr>
          <w:b w:val="false"/>
          <w:bCs w:val="false"/>
          <w:i w:val="false"/>
          <w:iCs w:val="false"/>
          <w:color w:val="auto"/>
          <w:sz w:val="24"/>
          <w:szCs w:val="24"/>
          <w:highlight w:val="yellow"/>
        </w:rPr>
        <w:t>функции</w:t>
      </w:r>
      <w:r>
        <w:rPr>
          <w:b w:val="false"/>
          <w:bCs w:val="false"/>
          <w:i w:val="false"/>
          <w:iCs w:val="false"/>
          <w:color w:val="auto"/>
          <w:sz w:val="24"/>
          <w:szCs w:val="24"/>
          <w:highlight w:val="yellow"/>
        </w:rPr>
        <w:t xml:space="preserve"> аппроксимирующей тепловой поток (уравнение 6) на интервале времени (0; Inf); Период полураспада соответствует времени когда степень конверсии </w:t>
      </w:r>
      <w:r>
        <w:rPr>
          <w:rFonts w:ascii="MathJax Math" w:hAnsi="MathJax Math"/>
          <w:b w:val="false"/>
          <w:bCs w:val="false"/>
          <w:i w:val="false"/>
          <w:iCs w:val="false"/>
          <w:color w:val="auto"/>
          <w:sz w:val="24"/>
          <w:szCs w:val="24"/>
          <w:highlight w:val="yellow"/>
        </w:rPr>
        <w:t>α</w:t>
      </w:r>
      <w:r>
        <w:rPr>
          <w:b w:val="false"/>
          <w:bCs w:val="false"/>
          <w:i w:val="false"/>
          <w:iCs w:val="false"/>
          <w:color w:val="auto"/>
          <w:sz w:val="24"/>
          <w:szCs w:val="24"/>
          <w:highlight w:val="yellow"/>
        </w:rPr>
        <w:t>=0.5, в следствие симметричности аппроксимирующей кинетической кривой 4, время полураспада совпадает с достижении максимального теплового потока (в случае более сложной кинетики, этот правило не выполняется).</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0"/>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highlight w:val="yellow"/>
              </w:rPr>
              <w:t>P</w:t>
            </w:r>
            <w:r>
              <w:rPr>
                <w:highlight w:val="yellow"/>
                <w:vertAlign w:val="subscript"/>
              </w:rPr>
              <w:t>0</w:t>
            </w:r>
            <w:r>
              <w:rPr>
                <w:highlight w:val="yellow"/>
              </w:rPr>
              <w:t>, mW/g</w:t>
            </w:r>
          </w:p>
          <w:p>
            <w:pPr>
              <w:pStyle w:val="TCTableBody"/>
              <w:spacing w:before="0" w:after="200"/>
              <w:rPr/>
            </w:pPr>
            <w:r>
              <w:rPr>
                <w:strike/>
              </w:rPr>
              <w:t>P</w:t>
            </w:r>
            <w:r>
              <w:rPr>
                <w:strike/>
                <w:vertAlign w:val="subscript"/>
              </w:rPr>
              <w:t>0</w:t>
            </w:r>
            <w:r>
              <w:rPr>
                <w:strike/>
              </w:rPr>
              <w:t>, mW (uW)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k·10</w:t>
            </w:r>
            <w:r>
              <w:rPr>
                <w:strike w:val="false"/>
                <w:dstrike w:val="false"/>
                <w:highlight w:val="yellow"/>
                <w:vertAlign w:val="superscript"/>
              </w:rPr>
              <w:t>3</w:t>
            </w:r>
            <w:r>
              <w:rPr>
                <w:strike w:val="false"/>
                <w:dstrike w:val="false"/>
                <w:highlight w:val="yellow"/>
              </w:rPr>
              <w:t>, s</w:t>
            </w:r>
            <w:r>
              <w:rPr>
                <w:strike w:val="false"/>
                <w:dstrike w:val="false"/>
                <w:highlight w:val="yellow"/>
                <w:vertAlign w:val="superscript"/>
              </w:rPr>
              <w:t>-1</w:t>
            </w:r>
          </w:p>
          <w:p>
            <w:pPr>
              <w:pStyle w:val="TCTableBody"/>
              <w:spacing w:before="0" w:after="200"/>
              <w:rPr/>
            </w:pPr>
            <w:r>
              <w:rPr>
                <w:strike/>
              </w:rPr>
              <w:t>k, g mol</w:t>
            </w:r>
            <w:r>
              <w:rPr>
                <w:strike/>
                <w:vertAlign w:val="superscript"/>
              </w:rPr>
              <w:t>-1</w:t>
            </w:r>
            <w:r>
              <w:rPr>
                <w:strike/>
              </w:rPr>
              <w:t xml:space="preserve"> с</w:t>
            </w:r>
            <w:r>
              <w:rPr>
                <w:strike/>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40.6</w:t>
            </w:r>
          </w:p>
          <w:p>
            <w:pPr>
              <w:pStyle w:val="TCTableBody"/>
              <w:spacing w:before="0" w:after="200"/>
              <w:rPr/>
            </w:pPr>
            <w:r>
              <w:rPr>
                <w:strike/>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88.2</w:t>
            </w:r>
          </w:p>
          <w:p>
            <w:pPr>
              <w:pStyle w:val="TCTableBody"/>
              <w:spacing w:before="0" w:after="200"/>
              <w:rPr/>
            </w:pPr>
            <w:r>
              <w:rPr>
                <w:strike/>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147.0</w:t>
            </w:r>
          </w:p>
          <w:p>
            <w:pPr>
              <w:pStyle w:val="TCTableBody"/>
              <w:spacing w:before="0" w:after="200"/>
              <w:rPr/>
            </w:pPr>
            <w:r>
              <w:rPr>
                <w:strike/>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0.94</w:t>
            </w:r>
          </w:p>
          <w:p>
            <w:pPr>
              <w:pStyle w:val="TCTableBody"/>
              <w:spacing w:before="0" w:after="200"/>
              <w:rPr/>
            </w:pPr>
            <w:r>
              <w:rPr>
                <w:strike/>
              </w:rPr>
              <w:t>0.094</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11.0</w:t>
            </w:r>
          </w:p>
          <w:p>
            <w:pPr>
              <w:pStyle w:val="TCTableBody"/>
              <w:spacing w:before="0" w:after="200"/>
              <w:rPr/>
            </w:pPr>
            <w:r>
              <w:rPr>
                <w:strike/>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44.6</w:t>
            </w:r>
          </w:p>
          <w:p>
            <w:pPr>
              <w:pStyle w:val="TCTableBody"/>
              <w:spacing w:before="0" w:after="200"/>
              <w:rPr/>
            </w:pPr>
            <w:r>
              <w:rPr>
                <w:strike/>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9.0</w:t>
            </w:r>
          </w:p>
          <w:p>
            <w:pPr>
              <w:pStyle w:val="TCTableBody"/>
              <w:spacing w:before="0" w:after="200"/>
              <w:rPr/>
            </w:pPr>
            <w:r>
              <w:rPr>
                <w:strike/>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13.1</w:t>
            </w:r>
          </w:p>
          <w:p>
            <w:pPr>
              <w:pStyle w:val="TCTableBody"/>
              <w:spacing w:before="0" w:after="200"/>
              <w:rPr/>
            </w:pPr>
            <w:r>
              <w:rPr>
                <w:strike/>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48.4</w:t>
            </w:r>
          </w:p>
          <w:p>
            <w:pPr>
              <w:pStyle w:val="TCTableBody"/>
              <w:spacing w:before="0" w:after="200"/>
              <w:rPr/>
            </w:pPr>
            <w:r>
              <w:rPr>
                <w:strike/>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14.78</w:t>
            </w:r>
          </w:p>
          <w:p>
            <w:pPr>
              <w:pStyle w:val="TCTableBody"/>
              <w:spacing w:before="0" w:after="200"/>
              <w:rPr/>
            </w:pPr>
            <w:r>
              <w:rPr>
                <w:strike/>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32.00</w:t>
            </w:r>
          </w:p>
          <w:p>
            <w:pPr>
              <w:pStyle w:val="TCTableBody"/>
              <w:spacing w:before="0" w:after="200"/>
              <w:rPr/>
            </w:pPr>
            <w:r>
              <w:rPr>
                <w:strike/>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113.8</w:t>
            </w:r>
          </w:p>
          <w:p>
            <w:pPr>
              <w:pStyle w:val="TCTableBody"/>
              <w:spacing w:before="0" w:after="200"/>
              <w:rPr/>
            </w:pPr>
            <w:r>
              <w:rPr>
                <w:strike/>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19.57</w:t>
            </w:r>
          </w:p>
          <w:p>
            <w:pPr>
              <w:pStyle w:val="TCTableBody"/>
              <w:spacing w:before="0" w:after="200"/>
              <w:rPr/>
            </w:pPr>
            <w:r>
              <w:rPr>
                <w:strike/>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27.5</w:t>
            </w:r>
          </w:p>
          <w:p>
            <w:pPr>
              <w:pStyle w:val="TCTableBody"/>
              <w:spacing w:before="0" w:after="200"/>
              <w:rPr/>
            </w:pPr>
            <w:r>
              <w:rPr>
                <w:strike/>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41.5</w:t>
            </w:r>
          </w:p>
          <w:p>
            <w:pPr>
              <w:pStyle w:val="TCTableBody"/>
              <w:spacing w:before="0" w:after="200"/>
              <w:rPr/>
            </w:pPr>
            <w:r>
              <w:rPr>
                <w:strike/>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392.4</w:t>
            </w:r>
          </w:p>
          <w:p>
            <w:pPr>
              <w:pStyle w:val="TCTableBody"/>
              <w:spacing w:before="0" w:after="200"/>
              <w:rPr/>
            </w:pPr>
            <w:r>
              <w:rPr>
                <w:strike/>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896.0</w:t>
            </w:r>
          </w:p>
          <w:p>
            <w:pPr>
              <w:pStyle w:val="TCTableBody"/>
              <w:spacing w:before="0" w:after="200"/>
              <w:rPr/>
            </w:pPr>
            <w:r>
              <w:rPr>
                <w:strike/>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1804.2</w:t>
            </w:r>
          </w:p>
          <w:p>
            <w:pPr>
              <w:pStyle w:val="TCTableBody"/>
              <w:spacing w:before="0" w:after="200"/>
              <w:rPr/>
            </w:pPr>
            <w:r>
              <w:rPr>
                <w:strike/>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rFonts w:cs="Liberation Serif"/>
                <w:strike/>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0.0721</w:t>
            </w:r>
          </w:p>
        </w:tc>
      </w:tr>
    </w:tbl>
    <w:p>
      <w:pPr>
        <w:pStyle w:val="TAMainText"/>
        <w:rPr>
          <w:color w:val="000000"/>
        </w:rPr>
      </w:pPr>
      <w:r>
        <w:rPr>
          <w:color w:val="000000"/>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1"/>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trike/>
                <w:highlight w:val="yellow"/>
              </w:rPr>
              <w:t>k</w:t>
            </w:r>
            <w:r>
              <w:rPr>
                <w:strike/>
                <w:highlight w:val="yellow"/>
                <w:vertAlign w:val="subscript"/>
              </w:rPr>
              <w:t>298</w:t>
            </w:r>
            <w:r>
              <w:rPr>
                <w:strike w:val="false"/>
                <w:dstrike w:val="false"/>
                <w:highlight w:val="yellow"/>
              </w:rPr>
              <w:t>. , s</w:t>
            </w:r>
            <w:r>
              <w:rPr>
                <w:strike w:val="false"/>
                <w:dstrike w:val="false"/>
                <w:highlight w:val="yellow"/>
                <w:vertAlign w:val="superscript"/>
              </w:rPr>
              <w:t>-1</w:t>
            </w:r>
          </w:p>
          <w:p>
            <w:pPr>
              <w:pStyle w:val="TCTableBody"/>
              <w:spacing w:before="0" w:after="200"/>
              <w:rPr/>
            </w:pPr>
            <w:r>
              <w:rPr>
                <w:strike/>
              </w:rPr>
              <w:t>k</w:t>
            </w:r>
            <w:r>
              <w:rPr>
                <w:strike/>
                <w:vertAlign w:val="subscript"/>
              </w:rPr>
              <w:t>298</w:t>
            </w:r>
            <w:r>
              <w:rPr>
                <w:strike/>
              </w:rPr>
              <w:t>, g·mol</w:t>
            </w:r>
            <w:r>
              <w:rPr>
                <w:strike/>
                <w:vertAlign w:val="superscript"/>
              </w:rPr>
              <w:t>-1</w:t>
            </w:r>
            <w:r>
              <w:rPr>
                <w:strike/>
              </w:rPr>
              <w:t>·с</w:t>
            </w:r>
            <w:r>
              <w:rPr>
                <w:strike/>
                <w:vertAlign w:val="superscript"/>
              </w:rPr>
              <w:t>-1</w:t>
            </w:r>
            <w:r>
              <w:rPr>
                <w:strike/>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4.17*10</w:t>
            </w:r>
            <w:r>
              <w:rPr>
                <w:strike/>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8.66*10</w:t>
            </w:r>
            <w:r>
              <w:rPr>
                <w:strike/>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1.33*10</w:t>
            </w:r>
            <w:r>
              <w:rPr>
                <w:strike/>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1.39*10</w:t>
            </w:r>
            <w:r>
              <w:rPr>
                <w:strike/>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1.39*10</w:t>
            </w:r>
            <w:r>
              <w:rPr>
                <w:strike/>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w:t>
            </w:r>
          </w:p>
          <w:p>
            <w:pPr>
              <w:pStyle w:val="TCTableBody"/>
              <w:spacing w:before="0" w:after="200"/>
              <w:rPr/>
            </w:pPr>
            <w:r>
              <w:rPr>
                <w:strike/>
              </w:rPr>
              <w:t>5.33*10</w:t>
            </w:r>
            <w:r>
              <w:rPr>
                <w:strike/>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rFonts w:cs="Liberation Serif"/>
              </w:rPr>
              <w:t>140.3</w:t>
            </w:r>
          </w:p>
        </w:tc>
      </w:tr>
    </w:tbl>
    <w:p>
      <w:pPr>
        <w:pStyle w:val="FETableFootnote"/>
        <w:bidi w:val="0"/>
        <w:spacing w:before="0" w:after="170"/>
        <w:jc w:val="left"/>
        <w:rPr/>
      </w:pPr>
      <w:r>
        <w:rPr>
          <w:color w:val="000000"/>
        </w:rPr>
        <w:t>k</w:t>
      </w:r>
      <w:r>
        <w:rPr>
          <w:color w:val="000000"/>
          <w:vertAlign w:val="subscript"/>
        </w:rPr>
        <w:t>298</w:t>
      </w:r>
      <w:r>
        <w:rPr>
          <w:color w:val="000000"/>
        </w:rPr>
        <w:t xml:space="preserve"> – rate constant at 298 </w:t>
      </w:r>
      <w:r>
        <w:rPr>
          <w:color w:val="000000"/>
          <w:vertAlign w:val="superscript"/>
        </w:rPr>
        <w:t>о</w:t>
      </w:r>
      <w:r>
        <w:rPr>
          <w:color w:val="000000"/>
        </w:rPr>
        <w:t>K;  Ea — activation energy</w:t>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3"/>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5"/>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8" w:name="__DdeLink__3850_1463606234"/>
      <w:r>
        <w:rPr>
          <w:bCs/>
        </w:rPr>
        <w:t>Scheme</w:t>
      </w:r>
      <w:bookmarkEnd w:id="8"/>
      <w:r>
        <w:rPr>
          <w:bCs/>
        </w:rPr>
        <w:t xml:space="preserve"> 1).</w:t>
      </w:r>
    </w:p>
    <w:p>
      <w:pPr>
        <w:pStyle w:val="TAMainText"/>
        <w:jc w:val="center"/>
        <w:rPr>
          <w:rFonts w:ascii="FreeSans" w:hAnsi="FreeSans"/>
          <w:sz w:val="22"/>
          <w:szCs w:val="22"/>
          <w:lang w:eastAsia="ru-RU"/>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6"/>
                    <a:stretch>
                      <a:fillRect/>
                    </a:stretch>
                  </pic:blipFill>
                  <pic:spPr bwMode="auto">
                    <a:xfrm>
                      <a:off x="0" y="0"/>
                      <a:ext cx="4448175" cy="749935"/>
                    </a:xfrm>
                    <a:prstGeom prst="rect">
                      <a:avLst/>
                    </a:prstGeom>
                  </pic:spPr>
                </pic:pic>
              </a:graphicData>
            </a:graphic>
          </wp:inline>
        </w:drawing>
      </w:r>
    </w:p>
    <w:p>
      <w:pPr>
        <w:pStyle w:val="VCSchemeTitle"/>
        <w:rPr/>
      </w:pPr>
      <w:r>
        <w:rPr>
          <w:b/>
        </w:rPr>
        <w:t>Scheme 1.</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2.</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7"/>
                    <a:stretch>
                      <a:fillRect/>
                    </a:stretch>
                  </pic:blipFill>
                  <pic:spPr bwMode="auto">
                    <a:xfrm>
                      <a:off x="0" y="0"/>
                      <a:ext cx="4014470" cy="1861820"/>
                    </a:xfrm>
                    <a:prstGeom prst="rect">
                      <a:avLst/>
                    </a:prstGeom>
                  </pic:spPr>
                </pic:pic>
              </a:graphicData>
            </a:graphic>
          </wp:inline>
        </w:drawing>
      </w:r>
    </w:p>
    <w:p>
      <w:pPr>
        <w:pStyle w:val="VCSchemeTitle"/>
        <w:rPr/>
      </w:pPr>
      <w:r>
        <w:rPr>
          <w:b/>
        </w:rPr>
        <w:t>Scheme 2.</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2.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1). Indeed, the 2-nitrobenzene-1-ylium cation that would be formed in this case is much less stable and energetically unfavorable comparing to </w:t>
      </w:r>
      <w:r>
        <w:rPr>
          <w:color w:val="000000"/>
          <w:shd w:fill="FFC000" w:val="clear"/>
        </w:rPr>
        <w:t xml:space="preserve">aryl </w:t>
      </w:r>
      <w:r>
        <w:rPr>
          <w:color w:val="000000"/>
        </w:rPr>
        <w:t>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Free Times" w:hAnsi="Free Times"/>
              </w:rPr>
              <w:t>-54.3</w:t>
            </w:r>
          </w:p>
        </w:tc>
      </w:tr>
    </w:tbl>
    <w:p>
      <w:pPr>
        <w:pStyle w:val="TAMainText"/>
        <w:rPr>
          <w:color w:val="000000"/>
        </w:rPr>
      </w:pPr>
      <w:r>
        <w:rPr>
          <w:color w:val="000000"/>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2)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Results of modeling and deconvolution of heat flow experimental kinetic curves acquired in isothermal conditions as well as r</w:t>
      </w:r>
      <w:r>
        <w:rPr>
          <w:bCs/>
        </w:rPr>
        <w:t>esults of quantum chemical calculations can be found in Supporting.</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9" w:name="__DdeLink__14103_2062433773"/>
      <w:r>
        <w:rPr/>
        <w:t>Alexander.A.Bondarev</w:t>
      </w:r>
      <w:bookmarkEnd w:id="9"/>
      <w:r>
        <w:rPr/>
        <w:t>@gmail.com</w:t>
      </w:r>
    </w:p>
    <w:p>
      <w:pPr>
        <w:pStyle w:val="FAAuthorInfoSubtitle"/>
        <w:rPr/>
      </w:pPr>
      <w:r>
        <w:rPr/>
        <w:t>ORCID</w:t>
      </w:r>
    </w:p>
    <w:p>
      <w:pPr>
        <w:pStyle w:val="FAAuthorInfoSubtitle"/>
        <w:rPr>
          <w:b w:val="false"/>
          <w:b w:val="false"/>
        </w:rPr>
      </w:pPr>
      <w:r>
        <w:rPr>
          <w:b w:val="false"/>
        </w:rPr>
        <w:t>Prof. Victor D. Filimonov: 0000-0003-4729-8871</w:t>
      </w:r>
    </w:p>
    <w:p>
      <w:pPr>
        <w:pStyle w:val="FAAuthorInfoSubtitle"/>
        <w:rPr>
          <w:b w:val="false"/>
          <w:b w:val="false"/>
        </w:rPr>
      </w:pPr>
      <w:r>
        <w:rPr>
          <w:b w:val="false"/>
        </w:rPr>
        <w:t>Ksenia S. Stankevich: 0000-0002-6701-7582</w:t>
      </w:r>
    </w:p>
    <w:p>
      <w:pPr>
        <w:pStyle w:val="FAAuthorInfoSubtitle"/>
        <w:rPr>
          <w:b w:val="false"/>
          <w:b w:val="false"/>
        </w:rPr>
      </w:pPr>
      <w:r>
        <w:rPr>
          <w:b w:val="false"/>
        </w:rPr>
        <w:t>Assia Zh. Kassanova: 0000-0002-9563-5521</w:t>
      </w:r>
    </w:p>
    <w:p>
      <w:pPr>
        <w:pStyle w:val="FAAuthorInfoSubtitle"/>
        <w:rPr>
          <w:b w:val="false"/>
          <w:b w:val="false"/>
        </w:rPr>
      </w:pPr>
      <w:r>
        <w:rPr>
          <w:b w:val="false"/>
        </w:rPr>
        <w:t>Alexander A. Bondarev: 0000-0002-8707-2394</w:t>
      </w:r>
    </w:p>
    <w:p>
      <w:pPr>
        <w:pStyle w:val="FAAuthorInfoSubtitle"/>
        <w:rPr>
          <w:b w:val="false"/>
          <w:b w:val="false"/>
        </w:rPr>
      </w:pPr>
      <w:r>
        <w:rPr>
          <w:b w:val="false"/>
        </w:rPr>
        <w:t>Evgeny V. Naumov: 0000-0002-9109-1109</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 xml:space="preserve">The manuscript was written through contributions of all authors. All authors have given approval to the final version of the manuscript. </w:t>
      </w:r>
    </w:p>
    <w:p>
      <w:pPr>
        <w:pStyle w:val="FAAuthorInfoSubtitle"/>
        <w:rPr/>
      </w:pPr>
      <w:r>
        <w:rPr/>
        <w:t>Funding Sources</w:t>
      </w:r>
    </w:p>
    <w:p>
      <w:pPr>
        <w:pStyle w:val="TDAcknowledgments"/>
        <w:spacing w:before="0" w:after="240"/>
        <w:jc w:val="left"/>
        <w:rPr>
          <w:rFonts w:ascii="Calibri" w:hAnsi="Calibri" w:asciiTheme="minorHAnsi" w:hAnsiTheme="minorHAnsi"/>
        </w:rPr>
      </w:pPr>
      <w:r>
        <w:rPr/>
        <w:t>The research was funded by RFBR grant 17-03-01097.</w:t>
      </w:r>
    </w:p>
    <w:p>
      <w:pPr>
        <w:pStyle w:val="TDAcknowledgments"/>
        <w:spacing w:before="0" w:after="0"/>
        <w:ind w:hanging="0"/>
        <w:jc w:val="left"/>
        <w:rPr/>
      </w:pPr>
      <w:bookmarkStart w:id="10" w:name="__DdeLink__3470_24425287"/>
      <w:bookmarkEnd w:id="10"/>
      <w:r>
        <w:rPr>
          <w:b/>
          <w:bCs/>
        </w:rPr>
        <w:t>ACKNOWLEDGMENT</w:t>
      </w:r>
    </w:p>
    <w:p>
      <w:pPr>
        <w:pStyle w:val="TDAcknowledgments"/>
        <w:spacing w:before="0" w:after="240"/>
        <w:jc w:val="left"/>
        <w:rPr>
          <w:rFonts w:ascii="Calibri" w:hAnsi="Calibri" w:asciiTheme="minorHAnsi" w:hAnsiTheme="minorHAnsi"/>
        </w:rPr>
      </w:pPr>
      <w:r>
        <w:rPr/>
        <w:t>The research was funded by RFBR grant 17-03-01097.</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8">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19">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0">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1">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2">
        <w:r>
          <w:rPr>
            <w:rStyle w:val="Style11"/>
            <w:rFonts w:ascii="FreeSerif" w:hAnsi="FreeSerif"/>
          </w:rPr>
          <w:t>https://doi.org/10.1002/chem.201404348</w:t>
        </w:r>
      </w:hyperlink>
      <w:r>
        <w:rPr>
          <w:rFonts w:ascii="FreeSerif" w:hAnsi="FreeSerif"/>
        </w:rPr>
        <w:t xml:space="preserve">. (g) Idowu, O.S.; Kolawole, A.O.; Abegoke, O.A.; Kolade, Y.T.; Fasanmade, A.A.; Olaniyi, A.A. </w:t>
      </w:r>
      <w:r>
        <w:rPr>
          <w:rFonts w:ascii="FreeSerif" w:hAnsi="FreeSerif"/>
          <w:i/>
        </w:rPr>
        <w:t>J. AOAC International</w:t>
      </w:r>
      <w:r>
        <w:rPr>
          <w:rFonts w:ascii="FreeSerif" w:hAnsi="FreeSerif"/>
        </w:rPr>
        <w:t xml:space="preserve"> </w:t>
      </w:r>
      <w:r>
        <w:rPr>
          <w:rFonts w:ascii="FreeSerif" w:hAnsi="FreeSerif"/>
          <w:b/>
        </w:rPr>
        <w:t>2005</w:t>
      </w:r>
      <w:r>
        <w:rPr>
          <w:rFonts w:ascii="FreeSerif" w:hAnsi="FreeSerif"/>
        </w:rPr>
        <w:t xml:space="preserve">, </w:t>
      </w:r>
      <w:r>
        <w:rPr>
          <w:rFonts w:ascii="FreeSerif" w:hAnsi="FreeSerif"/>
          <w:i/>
        </w:rPr>
        <w:t>88</w:t>
      </w:r>
      <w:r>
        <w:rPr>
          <w:rFonts w:ascii="FreeSerif" w:hAnsi="FreeSerif"/>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3">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4">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5">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6">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7">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8">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29">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0">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1">
        <w:r>
          <w:rPr>
            <w:rStyle w:val="Style11"/>
            <w:rFonts w:ascii="FreeSerif" w:hAnsi="FreeSerif"/>
          </w:rPr>
          <w:t>https://doi.org/10.1021/jo00835a032</w:t>
        </w:r>
      </w:hyperlink>
      <w:r>
        <w:rPr>
          <w:rFonts w:ascii="FreeSerif" w:hAnsi="FreeSerif"/>
        </w:rPr>
        <w:t xml:space="preserve">. (k) </w:t>
      </w:r>
      <w:r>
        <w:rPr>
          <w:rFonts w:cs="Arial" w:ascii="Arial" w:hAnsi="Arial"/>
          <w:color w:val="000000" w:themeColor="text1"/>
          <w:sz w:val="21"/>
          <w:szCs w:val="21"/>
          <w:shd w:fill="EEEEEE" w:val="clear"/>
        </w:rPr>
        <w:t xml:space="preserve">Swain, C. G.; Rogers, R. J. Mechanism of Formation of Aryl Fluorides from Arenediazonium Fluoborates. Journal of the American Chemical Society 1975, 97 (4), 799–800. </w:t>
      </w:r>
      <w:hyperlink r:id="rId32">
        <w:r>
          <w:rPr>
            <w:rStyle w:val="Style11"/>
            <w:rFonts w:cs="Arial" w:ascii="Arial" w:hAnsi="Arial"/>
            <w:color w:val="000000" w:themeColor="text1"/>
            <w:sz w:val="21"/>
            <w:szCs w:val="21"/>
            <w:highlight w:val="white"/>
          </w:rPr>
          <w:t>https://doi.org/10.1021/ja00837a019</w:t>
        </w:r>
      </w:hyperlink>
      <w:r>
        <w:rPr>
          <w:rFonts w:cs="Arial" w:ascii="Arial" w:hAnsi="Arial"/>
          <w:color w:val="000000" w:themeColor="text1"/>
          <w:sz w:val="21"/>
          <w:szCs w:val="21"/>
          <w:shd w:fill="EEEEEE" w:val="clear"/>
        </w:rPr>
        <w:t xml:space="preserve"> </w:t>
      </w:r>
    </w:p>
    <w:p>
      <w:pPr>
        <w:pStyle w:val="TFReferencesSection"/>
        <w:numPr>
          <w:ilvl w:val="0"/>
          <w:numId w:val="2"/>
        </w:numPr>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3">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4">
        <w:r>
          <w:rPr>
            <w:rStyle w:val="Style11"/>
            <w:rFonts w:ascii="FreeSerif" w:hAnsi="FreeSerif"/>
          </w:rPr>
          <w:t>https://doi.org/10.1002/ejoc.201800887</w:t>
        </w:r>
      </w:hyperlink>
      <w:r>
        <w:rPr>
          <w:rFonts w:ascii="FreeSerif" w:hAnsi="FreeSerif"/>
        </w:rPr>
        <w:t>.</w:t>
      </w:r>
    </w:p>
    <w:p>
      <w:pPr>
        <w:pStyle w:val="TFReferencesSection"/>
        <w:numPr>
          <w:ilvl w:val="0"/>
          <w:numId w:val="2"/>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5">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6">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7">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8">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9">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40">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1">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2">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3">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4">
        <w:r>
          <w:rPr>
            <w:rStyle w:val="Style11"/>
            <w:rFonts w:ascii="FreeSerif" w:hAnsi="FreeSerif"/>
          </w:rPr>
          <w:t>https://doi.org/10.5012/BKCS.2011.32.8.2970</w:t>
        </w:r>
      </w:hyperlink>
      <w:r>
        <w:rPr>
          <w:rFonts w:ascii="FreeSerif" w:hAnsi="FreeSerif"/>
        </w:rPr>
        <w:t>.</w:t>
      </w:r>
    </w:p>
    <w:p>
      <w:pPr>
        <w:pStyle w:val="TFReferencesSection"/>
        <w:numPr>
          <w:ilvl w:val="0"/>
          <w:numId w:val="2"/>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5">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6">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7">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8">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9">
        <w:r>
          <w:rPr>
            <w:rStyle w:val="Style11"/>
            <w:rFonts w:ascii="FreeSerif" w:hAnsi="FreeSerif"/>
            <w:color w:val="00000A"/>
          </w:rPr>
          <w:t>https://doi.org/10.1039/c3cc42591f</w:t>
        </w:r>
      </w:hyperlink>
      <w:r>
        <w:rPr>
          <w:rFonts w:ascii="FreeSerif" w:hAnsi="FreeSerif"/>
        </w:rPr>
        <w:t>.</w:t>
      </w:r>
    </w:p>
    <w:p>
      <w:pPr>
        <w:pStyle w:val="TFReferencesSection"/>
        <w:numPr>
          <w:ilvl w:val="0"/>
          <w:numId w:val="2"/>
        </w:numPr>
        <w:ind w:left="1020" w:hanging="454"/>
        <w:rPr/>
      </w:pPr>
      <w:hyperlink r:id="rId50">
        <w:r>
          <w:rPr>
            <w:rStyle w:val="Style11"/>
            <w:rFonts w:eastAsia="Calibri" w:cs="Calibri" w:ascii="FreeSerif" w:hAnsi="FreeSerif"/>
            <w:color w:val="0000FF"/>
          </w:rPr>
          <w:t>http://www.unece.org/trans/danger/danger.html</w:t>
        </w:r>
      </w:hyperlink>
    </w:p>
    <w:p>
      <w:pPr>
        <w:pStyle w:val="TFReferencesSection"/>
        <w:numPr>
          <w:ilvl w:val="0"/>
          <w:numId w:val="2"/>
        </w:numPr>
        <w:rPr/>
      </w:pPr>
      <w:r>
        <w:rPr>
          <w:rFonts w:ascii="FreeSerif" w:hAnsi="FreeSerif"/>
        </w:rPr>
        <w:t xml:space="preserve">(a) Ullrich, R.; Grewer, T. Decomposition of Aromatic Diazonium Compounds. Thermochimica Acta 1993, 225 (2), 201–211. </w:t>
      </w:r>
      <w:hyperlink r:id="rId51">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2">
        <w:r>
          <w:rPr>
            <w:rStyle w:val="Style11"/>
            <w:rFonts w:ascii="FreeSerif" w:hAnsi="FreeSerif"/>
          </w:rPr>
          <w:t>https://doi.org/10.1063/1.1696991</w:t>
        </w:r>
      </w:hyperlink>
      <w:r>
        <w:rPr>
          <w:rFonts w:ascii="FreeSerif" w:hAnsi="FreeSerif"/>
        </w:rPr>
        <w:t xml:space="preserve">. (c) Storey, P.D. Calorimetric Studies of the Thermal Explosion Properties of Aromatic Diazonium Salts, Institution. Chem. Eng. Symposium Series. </w:t>
      </w:r>
      <w:r>
        <w:rPr>
          <w:rFonts w:ascii="FreeSerif" w:hAnsi="FreeSerif"/>
          <w:b/>
          <w:bCs/>
        </w:rPr>
        <w:t>1981</w:t>
      </w:r>
      <w:r>
        <w:rPr>
          <w:rFonts w:ascii="FreeSerif" w:hAnsi="FreeSerif"/>
        </w:rPr>
        <w:t xml:space="preserve">, </w:t>
      </w:r>
      <w:r>
        <w:rPr>
          <w:rFonts w:ascii="FreeSerif" w:hAnsi="FreeSerif"/>
          <w:color w:val="FF0000"/>
        </w:rPr>
        <w:t xml:space="preserve">No. 68. P.1-3.P.9. </w:t>
      </w:r>
    </w:p>
    <w:p>
      <w:pPr>
        <w:pStyle w:val="TFReferencesSection"/>
        <w:numPr>
          <w:ilvl w:val="0"/>
          <w:numId w:val="2"/>
        </w:numPr>
        <w:rPr/>
      </w:pPr>
      <w:r>
        <w:rPr/>
        <w:t xml:space="preserve">(a) Ticmanis, U.; Wilker, S.; Pantel, G.; Guillaume, P.; Balès, C.; van der Meer, N. Principles of a STANAG for the estimation of the chemical stability of propellants by Heat Flow Calorimetry, Proc. Int Annu. Conf. ICT </w:t>
      </w:r>
      <w:r>
        <w:rPr>
          <w:b/>
          <w:bCs/>
        </w:rPr>
        <w:t>2000</w:t>
      </w:r>
      <w:r>
        <w:rPr/>
        <w:t xml:space="preserve">, 31, 2. (b) Guillaume, P.; Rat, M.; Wilker, S.; Pantel, G. Microcalorimetric and Chemical Studies of Propellants.  Proc. Int Annu. Conf. ICT </w:t>
      </w:r>
      <w:r>
        <w:rPr>
          <w:b/>
          <w:bCs/>
        </w:rPr>
        <w:t>1998</w:t>
      </w:r>
      <w:r>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2"/>
        </w:numPr>
        <w:rPr/>
      </w:pPr>
      <w:r>
        <w:rPr>
          <w:rFonts w:ascii="FreeSerif" w:hAnsi="FreeSerif"/>
        </w:rPr>
        <w:t>(a) Williams, T.; Kelley, C. Gnuplot 4.5: an interactive plotting program. URL http://gnuplot.info.</w:t>
      </w:r>
      <w:r>
        <w:rPr>
          <w:rFonts w:ascii="FreeSerif" w:hAnsi="FreeSerif"/>
          <w:b/>
          <w:bCs/>
        </w:rPr>
        <w:t xml:space="preserve"> </w:t>
      </w:r>
      <w:r>
        <w:rPr>
          <w:rFonts w:ascii="FreeSerif" w:hAnsi="FreeSerif"/>
        </w:rPr>
        <w:t xml:space="preserve">(Last accessed: </w:t>
      </w:r>
      <w:r>
        <w:rPr>
          <w:rFonts w:ascii="FreeSerif" w:hAnsi="FreeSerif"/>
          <w:b/>
          <w:bCs/>
        </w:rPr>
        <w:t>2011</w:t>
      </w:r>
      <w:r>
        <w:rPr>
          <w:rFonts w:ascii="FreeSerif" w:hAnsi="FreeSerif"/>
        </w:rPr>
        <w:t xml:space="preserve"> June 7). (b) R Core Team. R: A language and environment for statistical computing. R Foundation for Statistical / Computing, Vienna, Austria. </w:t>
      </w:r>
      <w:r>
        <w:rPr>
          <w:rFonts w:ascii="FreeSerif" w:hAnsi="FreeSerif"/>
          <w:b/>
          <w:bCs/>
        </w:rPr>
        <w:t>2017</w:t>
      </w:r>
      <w:r>
        <w:rPr>
          <w:rFonts w:ascii="FreeSerif" w:hAnsi="FreeSerif"/>
        </w:rPr>
        <w:t>,</w:t>
      </w:r>
      <w:r>
        <w:rPr>
          <w:rFonts w:ascii="FreeSerif" w:hAnsi="FreeSerif"/>
          <w:b/>
          <w:bCs/>
        </w:rPr>
        <w:t xml:space="preserve"> </w:t>
      </w:r>
      <w:r>
        <w:rPr>
          <w:rFonts w:ascii="FreeSerif" w:hAnsi="FreeSerif"/>
        </w:rPr>
        <w:t xml:space="preserve">URL </w:t>
      </w:r>
      <w:hyperlink r:id="rId53">
        <w:r>
          <w:rPr>
            <w:rStyle w:val="Style11"/>
            <w:rFonts w:ascii="FreeSerif" w:hAnsi="FreeSerif"/>
            <w:color w:val="00000A"/>
          </w:rPr>
          <w:t>https://www.R-project.org/</w:t>
        </w:r>
      </w:hyperlink>
    </w:p>
    <w:p>
      <w:pPr>
        <w:pStyle w:val="TFReferencesSection"/>
        <w:numPr>
          <w:ilvl w:val="0"/>
          <w:numId w:val="2"/>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4">
        <w:r>
          <w:rPr>
            <w:rStyle w:val="Style11"/>
          </w:rPr>
          <w:t>https://doi.org/10.1186/1471-2105-9-163</w:t>
        </w:r>
      </w:hyperlink>
      <w:r>
        <w:rPr/>
        <w:t>.</w:t>
      </w:r>
    </w:p>
    <w:p>
      <w:pPr>
        <w:pStyle w:val="TFReferencesSection"/>
        <w:numPr>
          <w:ilvl w:val="0"/>
          <w:numId w:val="2"/>
        </w:numPr>
        <w:ind w:left="1020" w:hanging="454"/>
        <w:rPr/>
      </w:pPr>
      <w:r>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AIReceivedDate"/>
        <w:numPr>
          <w:ilvl w:val="0"/>
          <w:numId w:val="2"/>
        </w:numPr>
        <w:ind w:left="1020" w:hanging="454"/>
        <w:rPr>
          <w:b w:val="false"/>
          <w:b w:val="false"/>
          <w:bCs w:val="false"/>
        </w:rPr>
      </w:pPr>
      <w:r>
        <w:rPr>
          <w:b w:val="false"/>
          <w:bCs w:val="false"/>
          <w:highlight w:val="green"/>
          <w:lang w:val="ru-RU"/>
        </w:rPr>
        <w:t>Koval’chuk, E. P.; Reshetnyak, O. V.; Kozlovs’ka, Z. Y.; Błażejowski, J.; Gladyshevs’kyj, R. Y.; Obushak, M. D. Mechanism of the Benzenediazonium Tetrafluoroborate Thermolysis in the Solid State. Thermochimica Acta 2006, 444 (1), 1–5. https://doi.org/10.1016/j.tca.2006.02.002</w:t>
      </w:r>
    </w:p>
    <w:p>
      <w:pPr>
        <w:pStyle w:val="AIReceivedDate"/>
        <w:numPr>
          <w:ilvl w:val="0"/>
          <w:numId w:val="2"/>
        </w:numPr>
        <w:ind w:left="1020" w:hanging="454"/>
        <w:rPr/>
      </w:pPr>
      <w:r>
        <w:rPr>
          <w:rFonts w:ascii="FreeSerif" w:hAnsi="FreeSerif"/>
          <w:b w:val="false"/>
          <w:bCs w:val="false"/>
          <w:color w:val="auto"/>
          <w:highlight w:val="green"/>
          <w:lang w:val="ru-RU"/>
        </w:rPr>
        <w:t xml:space="preserve">Cai, J.; Liu, R. Kinetic Analysis of Solid-State Reactions: A General Empirical Kinetic Model. Industrial &amp; Engineering Chemistry Research 2009, 48 (6), 3249–3253. </w:t>
      </w:r>
      <w:hyperlink r:id="rId55">
        <w:r>
          <w:rPr>
            <w:rStyle w:val="Style11"/>
            <w:rFonts w:ascii="FreeSerif" w:hAnsi="FreeSerif"/>
            <w:b w:val="false"/>
            <w:bCs w:val="false"/>
            <w:color w:val="auto"/>
            <w:highlight w:val="green"/>
            <w:lang w:val="ru-RU"/>
          </w:rPr>
          <w:t>https://doi.org/10.1021/ie8018615</w:t>
        </w:r>
      </w:hyperlink>
      <w:r>
        <w:rPr>
          <w:rFonts w:ascii="FreeSerif" w:hAnsi="FreeSerif"/>
          <w:b w:val="false"/>
          <w:bCs w:val="false"/>
          <w:color w:val="FF0000"/>
          <w:highlight w:val="green"/>
          <w:lang w:val="ru-RU"/>
        </w:rPr>
        <w:t>.</w:t>
      </w:r>
    </w:p>
    <w:p>
      <w:pPr>
        <w:pStyle w:val="AIReceivedDate"/>
        <w:numPr>
          <w:ilvl w:val="0"/>
          <w:numId w:val="2"/>
        </w:numPr>
        <w:ind w:left="1020" w:hanging="454"/>
        <w:rPr>
          <w:b w:val="false"/>
          <w:b w:val="false"/>
          <w:bCs w:val="false"/>
          <w:highlight w:val="green"/>
        </w:rPr>
      </w:pPr>
      <w:r>
        <w:rPr>
          <w:b w:val="false"/>
          <w:bCs w:val="false"/>
          <w:highlight w:val="green"/>
        </w:rPr>
        <w:t>a) Bondarchuk, S. V.; Minaev, B. F. Density functional study of ortho-substituted phenyl cations in polar medium and in the gas phase. Chemical Physics. 2011, 389, 68-74. (b) Bondarchuk, S. V.; Minaev, B. F. State-Dependent Global and Local Electrophilicity of the Aryl Cations. J. Phys. Chem. A. 2014, 118, 3201-3210</w:t>
      </w:r>
    </w:p>
    <w:p>
      <w:pPr>
        <w:pStyle w:val="AIReceivedDate"/>
        <w:rPr/>
      </w:pPr>
      <w:r>
        <w:rPr/>
      </w:r>
    </w:p>
    <w:p>
      <w:pPr>
        <w:pStyle w:val="SNSynopsisTOC"/>
        <w:spacing w:before="0" w:after="240"/>
        <w:jc w:val="left"/>
        <w:rPr/>
      </w:pPr>
      <w:r>
        <w:rPr/>
      </w:r>
    </w:p>
    <w:sectPr>
      <w:footerReference w:type="default" r:id="rId56"/>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Arial">
    <w:charset w:val="01"/>
    <w:family w:val="roman"/>
    <w:pitch w:val="variable"/>
  </w:font>
  <w:font w:name="Symbol">
    <w:charset w:val="01"/>
    <w:family w:val="roman"/>
    <w:pitch w:val="variable"/>
  </w:font>
  <w:font w:name="MathJax Math">
    <w:charset w:val="01"/>
    <w:family w:val="roman"/>
    <w:pitch w:val="variable"/>
  </w:font>
  <w:font w:name="FreeSans">
    <w:charset w:val="01"/>
    <w:family w:val="roman"/>
    <w:pitch w:val="variable"/>
  </w:font>
  <w:font w:name="Free Times">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spacing w:before="0" w:after="200"/>
      <w:ind w:right="360" w:hanging="0"/>
      <w:rPr/>
    </w:pPr>
    <w:r>
      <w:rPr/>
      <mc:AlternateContent>
        <mc:Choice Requires="wps">
          <w:drawing>
            <wp:anchor behindDoc="1" distT="0" distB="0" distL="0" distR="0" simplePos="0" locked="0" layoutInCell="1" allowOverlap="1" relativeHeight="64">
              <wp:simplePos x="0" y="0"/>
              <wp:positionH relativeFrom="margin">
                <wp:align>right</wp:align>
              </wp:positionH>
              <wp:positionV relativeFrom="paragraph">
                <wp:posOffset>635</wp:posOffset>
              </wp:positionV>
              <wp:extent cx="161925"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61280" cy="202680"/>
                      </a:xfrm>
                      <a:prstGeom prst="rect">
                        <a:avLst/>
                      </a:prstGeom>
                      <a:noFill/>
                      <a:ln>
                        <a:noFill/>
                      </a:ln>
                    </wps:spPr>
                    <wps:style>
                      <a:lnRef idx="0"/>
                      <a:fillRef idx="0"/>
                      <a:effectRef idx="0"/>
                      <a:fontRef idx="minor"/>
                    </wps:style>
                    <wps:txbx>
                      <w:txbxContent>
                        <w:p>
                          <w:pPr>
                            <w:pStyle w:val="Style29"/>
                            <w:spacing w:before="0" w:after="200"/>
                            <w:rPr>
                              <w:color w:val="000000"/>
                            </w:rPr>
                          </w:pPr>
                          <w:r>
                            <w:rPr>
                              <w:color w:val="000000"/>
                            </w:rPr>
                            <w:fldChar w:fldCharType="begin"/>
                          </w:r>
                          <w:r>
                            <w:rPr/>
                            <w:instrText> PAGE </w:instrText>
                          </w:r>
                          <w:r>
                            <w:rPr/>
                            <w:fldChar w:fldCharType="separate"/>
                          </w:r>
                          <w:r>
                            <w:rPr/>
                            <w:t>6</w:t>
                          </w:r>
                          <w:r>
                            <w:rPr/>
                            <w:fldChar w:fldCharType="end"/>
                          </w:r>
                        </w:p>
                      </w:txbxContent>
                    </wps:txbx>
                    <wps:bodyPr lIns="0" rIns="0" tIns="0" bIns="0">
                      <a:spAutoFit/>
                    </wps:bodyPr>
                  </wps:wsp>
                </a:graphicData>
              </a:graphic>
            </wp:anchor>
          </w:drawing>
        </mc:Choice>
        <mc:Fallback>
          <w:pict>
            <v:rect id="shape_0" ID="Врезка1" stroked="f" style="position:absolute;margin-left:455.25pt;margin-top:0.05pt;width:12.65pt;height:15.9pt;mso-position-horizontal:right;mso-position-horizontal-relative:margin">
              <w10:wrap type="square"/>
              <v:fill o:detectmouseclick="t" on="false"/>
              <v:stroke color="#3465a4" joinstyle="round" endcap="flat"/>
              <v:textbox>
                <w:txbxContent>
                  <w:p>
                    <w:pPr>
                      <w:pStyle w:val="Style29"/>
                      <w:spacing w:before="0" w:after="200"/>
                      <w:rPr>
                        <w:color w:val="000000"/>
                      </w:rPr>
                    </w:pPr>
                    <w:r>
                      <w:rPr>
                        <w:color w:val="000000"/>
                      </w:rPr>
                      <w:fldChar w:fldCharType="begin"/>
                    </w:r>
                    <w:r>
                      <w:rPr/>
                      <w:instrText> PAGE </w:instrText>
                    </w:r>
                    <w:r>
                      <w:rPr/>
                      <w:fldChar w:fldCharType="separate"/>
                    </w:r>
                    <w:r>
                      <w:rPr/>
                      <w:t>6</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kern w:val="0"/>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name w:val="Интернет-ссылка"/>
    <w:basedOn w:val="DefaultParagraphFont"/>
    <w:uiPriority w:val="99"/>
    <w:unhideWhenUsed/>
    <w:rsid w:val="00ed13ad"/>
    <w:rPr>
      <w:color w:val="0000FF"/>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32" w:customStyle="1">
    <w:name w:val="Текст примечания Знак3"/>
    <w:link w:val="a8"/>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character" w:styleId="ListLabel43">
    <w:name w:val="ListLabel 43"/>
    <w:qFormat/>
    <w:rPr>
      <w:rFonts w:ascii="FreeSerif" w:hAnsi="FreeSerif"/>
    </w:rPr>
  </w:style>
  <w:style w:type="character" w:styleId="ListLabel44">
    <w:name w:val="ListLabel 44"/>
    <w:qFormat/>
    <w:rPr/>
  </w:style>
  <w:style w:type="character" w:styleId="ListLabel45">
    <w:name w:val="ListLabel 45"/>
    <w:qFormat/>
    <w:rPr>
      <w:rFonts w:ascii="Arial" w:hAnsi="Arial" w:cs="Arial"/>
      <w:color w:val="000000" w:themeColor="text1"/>
      <w:sz w:val="21"/>
      <w:szCs w:val="21"/>
      <w:shd w:fill="EEEEEE" w:val="clear"/>
    </w:rPr>
  </w:style>
  <w:style w:type="character" w:styleId="ListLabel46">
    <w:name w:val="ListLabel 46"/>
    <w:qFormat/>
    <w:rPr>
      <w:rFonts w:ascii="FreeSerif" w:hAnsi="FreeSerif"/>
      <w:color w:val="00000A"/>
    </w:rPr>
  </w:style>
  <w:style w:type="character" w:styleId="ListLabel47">
    <w:name w:val="ListLabel 47"/>
    <w:qFormat/>
    <w:rPr>
      <w:rFonts w:ascii="FreeSerif" w:hAnsi="FreeSerif" w:eastAsia="Calibri" w:cs="Calibri"/>
      <w:color w:val="0000FF"/>
    </w:rPr>
  </w:style>
  <w:style w:type="character" w:styleId="ListLabel48">
    <w:name w:val="ListLabel 48"/>
    <w:qFormat/>
    <w:rPr>
      <w:rFonts w:ascii="FreeSerif" w:hAnsi="FreeSerif"/>
    </w:rPr>
  </w:style>
  <w:style w:type="character" w:styleId="ListLabel49">
    <w:name w:val="ListLabel 49"/>
    <w:qFormat/>
    <w:rPr/>
  </w:style>
  <w:style w:type="character" w:styleId="ListLabel50">
    <w:name w:val="ListLabel 50"/>
    <w:qFormat/>
    <w:rPr>
      <w:rFonts w:ascii="Arial" w:hAnsi="Arial" w:cs="Arial"/>
      <w:color w:val="000000" w:themeColor="text1"/>
      <w:sz w:val="21"/>
      <w:szCs w:val="21"/>
      <w:highlight w:val="white"/>
    </w:rPr>
  </w:style>
  <w:style w:type="character" w:styleId="ListLabel51">
    <w:name w:val="ListLabel 51"/>
    <w:qFormat/>
    <w:rPr>
      <w:rFonts w:ascii="FreeSerif" w:hAnsi="FreeSerif"/>
      <w:color w:val="00000A"/>
    </w:rPr>
  </w:style>
  <w:style w:type="character" w:styleId="ListLabel52">
    <w:name w:val="ListLabel 52"/>
    <w:qFormat/>
    <w:rPr>
      <w:rFonts w:ascii="FreeSerif" w:hAnsi="FreeSerif" w:eastAsia="Calibri" w:cs="Calibri"/>
      <w:color w:val="0000FF"/>
    </w:rPr>
  </w:style>
  <w:style w:type="character" w:styleId="ListLabel53">
    <w:name w:val="ListLabel 53"/>
    <w:qFormat/>
    <w:rPr>
      <w:color w:val="auto"/>
      <w:highlight w:val="yellow"/>
    </w:rPr>
  </w:style>
  <w:style w:type="paragraph" w:styleId="Style22" w:customStyle="1">
    <w:name w:val="Заголовок"/>
    <w:basedOn w:val="Normal"/>
    <w:next w:val="Style23"/>
    <w:qFormat/>
    <w:pPr>
      <w:keepNext w:val="true"/>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Style28">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9">
    <w:name w:val="Footer"/>
    <w:basedOn w:val="Normal"/>
    <w:rsid w:val="00a65d8d"/>
    <w:pPr>
      <w:tabs>
        <w:tab w:val="clear" w:pos="720"/>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kern w:val="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val="true"/>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2" w:customStyle="1">
    <w:name w:val="Текст примечания Знак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30"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1" w:customStyle="1">
    <w:name w:val="Заголовок таблицы"/>
    <w:basedOn w:val="Style30"/>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2"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3">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31"/>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kern w:val="0"/>
      <w:sz w:val="24"/>
      <w:szCs w:val="24"/>
      <w:lang w:val="ru-RU" w:eastAsia="ar-SA" w:bidi="ar-SA"/>
    </w:rPr>
  </w:style>
  <w:style w:type="paragraph" w:styleId="Style34">
    <w:name w:val="Header"/>
    <w:basedOn w:val="Normal"/>
    <w:uiPriority w:val="99"/>
    <w:unhideWhenUsed/>
    <w:rsid w:val="00335422"/>
    <w:pPr>
      <w:tabs>
        <w:tab w:val="clear" w:pos="720"/>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5"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i.org/10.1021/cr0509861" TargetMode="External"/><Relationship Id="rId19" Type="http://schemas.openxmlformats.org/officeDocument/2006/relationships/hyperlink" Target="https://doi.org/10.1002/adsc.201100531" TargetMode="External"/><Relationship Id="rId20" Type="http://schemas.openxmlformats.org/officeDocument/2006/relationships/hyperlink" Target="https://doi.org/10.1039/c3ob27366k" TargetMode="External"/><Relationship Id="rId21" Type="http://schemas.openxmlformats.org/officeDocument/2006/relationships/hyperlink" Target="https://doi.org/10.1071/ch13533" TargetMode="External"/><Relationship Id="rId22" Type="http://schemas.openxmlformats.org/officeDocument/2006/relationships/hyperlink" Target="https://doi.org/10.1002/chem.201404348" TargetMode="External"/><Relationship Id="rId23" Type="http://schemas.openxmlformats.org/officeDocument/2006/relationships/hyperlink" Target="https://doi.org/10.1039/c0cs00179a" TargetMode="External"/><Relationship Id="rId24" Type="http://schemas.openxmlformats.org/officeDocument/2006/relationships/hyperlink" Target="https://doi.org/10.1016/j.jlp.2015.09.004" TargetMode="External"/><Relationship Id="rId25" Type="http://schemas.openxmlformats.org/officeDocument/2006/relationships/hyperlink" Target="https://doi.org/10.1002/qua.25430" TargetMode="External"/><Relationship Id="rId26" Type="http://schemas.openxmlformats.org/officeDocument/2006/relationships/hyperlink" Target="https://doi.org/10.1016/j.jmgm.2019.03.008" TargetMode="External"/><Relationship Id="rId27" Type="http://schemas.openxmlformats.org/officeDocument/2006/relationships/hyperlink" Target="https://doi.org/10.1002/chem.200400386" TargetMode="External"/><Relationship Id="rId28" Type="http://schemas.openxmlformats.org/officeDocument/2006/relationships/hyperlink" Target="https://doi.org/10.1016/j.tet.2018.05.089" TargetMode="External"/><Relationship Id="rId29" Type="http://schemas.openxmlformats.org/officeDocument/2006/relationships/hyperlink" Target="https://doi.org/10.1039/c5qo00037h" TargetMode="External"/><Relationship Id="rId30" Type="http://schemas.openxmlformats.org/officeDocument/2006/relationships/hyperlink" Target="https://doi.org/10.1021/jo00835a031" TargetMode="External"/><Relationship Id="rId31" Type="http://schemas.openxmlformats.org/officeDocument/2006/relationships/hyperlink" Target="https://doi.org/10.1021/jo00835a032" TargetMode="External"/><Relationship Id="rId32" Type="http://schemas.openxmlformats.org/officeDocument/2006/relationships/hyperlink" Target="https://doi.org/10.1021/ja00837a019" TargetMode="External"/><Relationship Id="rId33" Type="http://schemas.openxmlformats.org/officeDocument/2006/relationships/hyperlink" Target="https://doi.org/10.1021/ol8013528" TargetMode="External"/><Relationship Id="rId34" Type="http://schemas.openxmlformats.org/officeDocument/2006/relationships/hyperlink" Target="https://doi.org/10.1002/ejoc.201800887" TargetMode="External"/><Relationship Id="rId35" Type="http://schemas.openxmlformats.org/officeDocument/2006/relationships/hyperlink" Target="https://doi.org/10.1055/s-2006-958936" TargetMode="External"/><Relationship Id="rId36" Type="http://schemas.openxmlformats.org/officeDocument/2006/relationships/hyperlink" Target="https://doi.org/10.1055/s-2007-990950" TargetMode="External"/><Relationship Id="rId37" Type="http://schemas.openxmlformats.org/officeDocument/2006/relationships/hyperlink" Target="https://doi.org/10.1016/j.tetlet.2007.11.192" TargetMode="External"/><Relationship Id="rId38" Type="http://schemas.openxmlformats.org/officeDocument/2006/relationships/hyperlink" Target="https://doi.org/10.1016/j.tet.2010.07.005" TargetMode="External"/><Relationship Id="rId39" Type="http://schemas.openxmlformats.org/officeDocument/2006/relationships/hyperlink" Target="https://doi.org/10.1016/j.tetlet.2010.10.099" TargetMode="External"/><Relationship Id="rId40" Type="http://schemas.openxmlformats.org/officeDocument/2006/relationships/hyperlink" Target="https://doi.org/10.1055/s-0030-1260046" TargetMode="External"/><Relationship Id="rId41" Type="http://schemas.openxmlformats.org/officeDocument/2006/relationships/hyperlink" Target="https://doi.org/10.1055/s-0033-1339648" TargetMode="External"/><Relationship Id="rId42" Type="http://schemas.openxmlformats.org/officeDocument/2006/relationships/hyperlink" Target="https://doi.org/10.3762/bjoc.11.41" TargetMode="External"/><Relationship Id="rId43" Type="http://schemas.openxmlformats.org/officeDocument/2006/relationships/hyperlink" Target="https://doi.org/10.1055/s-0036-1588919" TargetMode="External"/><Relationship Id="rId44" Type="http://schemas.openxmlformats.org/officeDocument/2006/relationships/hyperlink" Target="https://doi.org/10.5012/BKCS.2011.32.8.2970" TargetMode="External"/><Relationship Id="rId45" Type="http://schemas.openxmlformats.org/officeDocument/2006/relationships/hyperlink" Target="https://doi.org/10.1016/j.tetlet.2012.01.082" TargetMode="External"/><Relationship Id="rId46" Type="http://schemas.openxmlformats.org/officeDocument/2006/relationships/hyperlink" Target="https://doi.org/10.1134/s1070428013070087" TargetMode="External"/><Relationship Id="rId47" Type="http://schemas.openxmlformats.org/officeDocument/2006/relationships/hyperlink" Target="https://doi.org/10.1055/s-0029-1219090" TargetMode="External"/><Relationship Id="rId48" Type="http://schemas.openxmlformats.org/officeDocument/2006/relationships/hyperlink" Target="https://doi.org/10.1134/s1995078010070037" TargetMode="External"/><Relationship Id="rId49" Type="http://schemas.openxmlformats.org/officeDocument/2006/relationships/hyperlink" Target="https://doi.org/10.1039/c3cc42591f" TargetMode="External"/><Relationship Id="rId50" Type="http://schemas.openxmlformats.org/officeDocument/2006/relationships/hyperlink" Target="http://www.unece.org/trans/danger/danger.html" TargetMode="External"/><Relationship Id="rId51" Type="http://schemas.openxmlformats.org/officeDocument/2006/relationships/hyperlink" Target="https://doi.org/10.1016/0040-6031(93)80188-g" TargetMode="External"/><Relationship Id="rId52" Type="http://schemas.openxmlformats.org/officeDocument/2006/relationships/hyperlink" Target="https://doi.org/10.1063/1.1696991" TargetMode="External"/><Relationship Id="rId53" Type="http://schemas.openxmlformats.org/officeDocument/2006/relationships/hyperlink" Target="https://www.R-project.org/" TargetMode="External"/><Relationship Id="rId54" Type="http://schemas.openxmlformats.org/officeDocument/2006/relationships/hyperlink" Target="https://doi.org/10.1186/1471-2105-9-163" TargetMode="External"/><Relationship Id="rId55" Type="http://schemas.openxmlformats.org/officeDocument/2006/relationships/hyperlink" Target="https://doi.org/10.1021/ie8018615" TargetMode="Externa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29C96-1CAF-4218-9068-9AA2D576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Application>LibreOffice/6.1.5.2$Linux_X86_64 LibreOffice_project/10$Build-2</Application>
  <Pages>48</Pages>
  <Words>7927</Words>
  <Characters>46639</Characters>
  <CharactersWithSpaces>54065</CharactersWithSpaces>
  <Paragraphs>525</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2019-08-22T04:26:00Z</dcterms:created>
  <dc:creator>alex</dc:creator>
  <dc:description/>
  <dc:language>ru-RU</dc:language>
  <cp:lastModifiedBy/>
  <cp:lastPrinted>2019-08-21T03:17:00Z</cp:lastPrinted>
  <dcterms:modified xsi:type="dcterms:W3CDTF">2019-08-30T14:02:12Z</dcterms:modified>
  <cp:revision>16</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