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AMainText"/>
        <w:rPr/>
      </w:pPr>
      <w:r>
        <w:rPr/>
        <w:t>Ответы рецензенту 4:</w:t>
      </w:r>
    </w:p>
    <w:p>
      <w:pPr>
        <w:pStyle w:val="VDTableTitle"/>
        <w:rPr/>
      </w:pPr>
      <w:r>
        <w:rPr>
          <w:b/>
        </w:rPr>
        <w:t xml:space="preserve">7. </w:t>
      </w:r>
      <w:r>
        <w:rPr>
          <w:b w:val="false"/>
          <w:bCs w:val="false"/>
        </w:rPr>
        <w:t xml:space="preserve">Константы скорости реакции в таблицах 2, 4 и 5 g/mol/s (s- секунды), с — опечатка, возникшая при переводе статьи. Для лучшего понимания, мы выразили кинетическое уравнение (2) через степень конверсии </w:t>
      </w:r>
      <w:r>
        <w:rPr>
          <w:rFonts w:ascii="MathJax Math" w:hAnsi="MathJax Math"/>
          <w:b w:val="false"/>
          <w:bCs w:val="false"/>
          <w:i/>
          <w:color w:val="auto"/>
        </w:rPr>
        <w:t>α</w:t>
      </w:r>
      <w:r>
        <w:rPr>
          <w:b w:val="false"/>
          <w:bCs w:val="false"/>
        </w:rPr>
        <w:t>, соответственно теперь константа выражается в единицах</w:t>
      </w:r>
      <w:r>
        <w:rPr>
          <w:b w:val="false"/>
          <w:bCs w:val="false"/>
          <w:i/>
          <w:iCs/>
        </w:rPr>
        <w:t xml:space="preserve"> s</w:t>
      </w:r>
      <w:r>
        <w:rPr>
          <w:b w:val="false"/>
          <w:bCs w:val="false"/>
          <w:i/>
          <w:iCs/>
          <w:vertAlign w:val="superscript"/>
        </w:rPr>
        <w:t>-1</w:t>
      </w:r>
      <w:r>
        <w:rPr>
          <w:b w:val="false"/>
          <w:bCs w:val="false"/>
        </w:rPr>
        <w:t>. Соответствующие коррективы мы внесли в заголовки таблиц и текст статьи.</w:t>
      </w:r>
    </w:p>
    <w:p>
      <w:pPr>
        <w:pStyle w:val="VDTableTitle"/>
        <w:rPr/>
      </w:pPr>
      <w:r>
        <w:rPr>
          <w:b/>
          <w:bCs/>
        </w:rPr>
        <w:t>8.</w:t>
      </w:r>
      <w:r>
        <w:rPr>
          <w:b w:val="false"/>
          <w:bCs w:val="false"/>
        </w:rPr>
        <w:t xml:space="preserve"> Степень чистоты веществ была показана в предыдущих публикациях []. Величина ∆H вычисляется  путем интегрирования кривой аппроксимирующей экспериментальный тепловой поток по уравнениям (2), (4) в интервале времени (0, </w:t>
      </w:r>
      <w:r>
        <w:rPr>
          <w:rFonts w:eastAsia="Liberation Serif" w:cs="Liberation Serif"/>
          <w:b w:val="false"/>
          <w:bCs w:val="false"/>
        </w:rPr>
        <w:t>∞</w:t>
      </w:r>
      <w:r>
        <w:rPr>
          <w:b w:val="false"/>
          <w:bCs w:val="false"/>
        </w:rPr>
        <w:t>) .</w:t>
      </w:r>
    </w:p>
    <w:p>
      <w:pPr>
        <w:pStyle w:val="VDTableTitle"/>
        <w:rPr/>
      </w:pPr>
      <w:r>
        <w:rPr>
          <w:b/>
          <w:bCs/>
        </w:rPr>
        <w:t>9.</w:t>
      </w:r>
      <w:r>
        <w:rPr>
          <w:b w:val="false"/>
          <w:bCs w:val="false"/>
        </w:rPr>
        <w:t xml:space="preserve"> Спасибо за замечание. Да это мы сделали опечатку, правильно — таблица 1.</w:t>
      </w:r>
    </w:p>
    <w:p>
      <w:pPr>
        <w:pStyle w:val="VDTableTitle"/>
        <w:rPr/>
      </w:pPr>
      <w:r>
        <w:rPr>
          <w:b/>
          <w:bCs/>
        </w:rPr>
        <w:t>10.</w:t>
      </w:r>
      <w:r>
        <w:rPr>
          <w:b w:val="false"/>
          <w:bCs w:val="false"/>
        </w:rPr>
        <w:t xml:space="preserve"> Все измерения потоковой калориметрии мы проводили при температурах значительно меньших температур плавления. Для лучшего понимания, мы внесли величины температур плавления в таблицу 1. Изотермический тест проводился до снижения теплового потока 2 микровата uW, что составляет величину менее 1% от максимального теплового потока и соответствует степени конверсии </w:t>
      </w:r>
      <w:r>
        <w:rPr>
          <w:rFonts w:ascii="MathJax Math" w:hAnsi="MathJax Math"/>
          <w:b w:val="false"/>
          <w:bCs w:val="false"/>
          <w:i/>
          <w:color w:val="auto"/>
        </w:rPr>
        <w:t>α</w:t>
      </w:r>
      <w:r>
        <w:rPr>
          <w:b w:val="false"/>
          <w:bCs w:val="false"/>
        </w:rPr>
        <w:t>&gt;0.99. Методику вычисления энтальпии мы добавили в текст статьи в описании уравнений (2), (4) и в ответ на вопрос 8.</w:t>
      </w:r>
    </w:p>
    <w:p>
      <w:pPr>
        <w:pStyle w:val="VDTableTitle"/>
        <w:rPr/>
      </w:pPr>
      <w:r>
        <w:rPr>
          <w:b/>
          <w:bCs/>
        </w:rPr>
        <w:t>11.</w:t>
      </w:r>
      <w:r>
        <w:rPr>
          <w:b w:val="false"/>
          <w:bCs w:val="false"/>
        </w:rPr>
        <w:t xml:space="preserve"> Спасибо за Ваше замечание, мы исправили опечатку, в уравнении (2), вместо С</w:t>
      </w:r>
      <w:r>
        <w:rPr>
          <w:b w:val="false"/>
          <w:bCs w:val="false"/>
          <w:vertAlign w:val="subscript"/>
        </w:rPr>
        <w:t>0</w:t>
      </w:r>
      <w:r>
        <w:rPr>
          <w:b w:val="false"/>
          <w:bCs w:val="false"/>
        </w:rPr>
        <w:t xml:space="preserve"> должна быть величина С. Благодаря Вашему вопросу мы решили для улучшения понимания перевести уравнение (2) в эквивалентное, выраженное через степень конверсии </w:t>
      </w:r>
      <w:r>
        <w:rPr>
          <w:rFonts w:ascii="MathJax Math" w:hAnsi="MathJax Math"/>
          <w:b w:val="false"/>
          <w:bCs w:val="false"/>
          <w:i/>
          <w:color w:val="auto"/>
        </w:rPr>
        <w:t>α</w:t>
      </w:r>
      <w:r>
        <w:rPr>
          <w:b w:val="false"/>
          <w:bCs w:val="false"/>
        </w:rPr>
        <w:t xml:space="preserve"> и дать более подробное объяснение с ссылкой на статью о моделировании кинетики твердофазных реакций [</w:t>
      </w:r>
      <w:hyperlink r:id="rId2">
        <w:r>
          <w:rPr>
            <w:rStyle w:val="Style15"/>
            <w:b w:val="false"/>
            <w:bCs w:val="false"/>
            <w:color w:val="auto"/>
            <w:highlight w:val="yellow"/>
          </w:rPr>
          <w:t>https://doi.org/10.1021/ie8018615</w:t>
        </w:r>
      </w:hyperlink>
      <w:r>
        <w:rPr>
          <w:b w:val="false"/>
          <w:bCs w:val="false"/>
        </w:rPr>
        <w:t>].</w:t>
      </w:r>
    </w:p>
    <w:p>
      <w:pPr>
        <w:pStyle w:val="VDTableTitle"/>
        <w:rPr/>
      </w:pPr>
      <w:r>
        <w:rPr>
          <w:b/>
          <w:bCs/>
        </w:rPr>
        <w:t>12.</w:t>
      </w:r>
      <w:r>
        <w:rPr>
          <w:b w:val="false"/>
          <w:bCs w:val="false"/>
        </w:rPr>
        <w:t xml:space="preserve"> Время полураспада соответствует степени конверсии </w:t>
      </w:r>
      <w:r>
        <w:rPr>
          <w:rFonts w:ascii="MathJax Math" w:hAnsi="MathJax Math"/>
          <w:b w:val="false"/>
          <w:bCs w:val="false"/>
          <w:i/>
          <w:color w:val="auto"/>
        </w:rPr>
        <w:t>α</w:t>
      </w:r>
      <w:r>
        <w:rPr>
          <w:b w:val="false"/>
          <w:bCs w:val="false"/>
        </w:rPr>
        <w:t>=0.5. Соответствующее определение мы дали в описании уравнений (2)-(4): «</w:t>
      </w:r>
      <w:r>
        <w:rPr>
          <w:b w:val="false"/>
          <w:bCs w:val="false"/>
          <w:color w:val="auto"/>
          <w:highlight w:val="yellow"/>
        </w:rPr>
        <w:t xml:space="preserve">Период полураспада соответствует времени когда степень конверсии </w:t>
      </w:r>
      <w:r>
        <w:rPr>
          <w:rFonts w:ascii="MathJax Math" w:hAnsi="MathJax Math"/>
          <w:b w:val="false"/>
          <w:bCs w:val="false"/>
          <w:i/>
          <w:color w:val="auto"/>
          <w:highlight w:val="yellow"/>
        </w:rPr>
        <w:t>α</w:t>
      </w:r>
      <w:r>
        <w:rPr>
          <w:b w:val="false"/>
          <w:bCs w:val="false"/>
          <w:color w:val="auto"/>
          <w:highlight w:val="yellow"/>
        </w:rPr>
        <w:t>=0.5, в следствие симметричности аппроксимирующей кинетической кривой 4, время полураспада совпадает с достижении максимального теплового потока (в случае более сложной кинетики, этот правило не выполняется).</w:t>
      </w:r>
      <w:r>
        <w:rPr>
          <w:b w:val="false"/>
          <w:bCs w:val="false"/>
        </w:rPr>
        <w:t>»</w:t>
      </w:r>
    </w:p>
    <w:p>
      <w:pPr>
        <w:pStyle w:val="VDTableTitle"/>
        <w:rPr/>
      </w:pPr>
      <w:r>
        <w:rPr>
          <w:b/>
          <w:bCs/>
        </w:rPr>
        <w:t xml:space="preserve">13. </w:t>
      </w:r>
      <w:r>
        <w:rPr>
          <w:b w:val="false"/>
          <w:bCs w:val="false"/>
        </w:rPr>
        <w:t>В таблице 4 были приведены ненормированные величины начального теплового потока (P</w:t>
      </w:r>
      <w:r>
        <w:rPr>
          <w:b w:val="false"/>
          <w:bCs w:val="false"/>
          <w:vertAlign w:val="subscript"/>
        </w:rPr>
        <w:t>0</w:t>
      </w:r>
      <w:r>
        <w:rPr>
          <w:b w:val="false"/>
          <w:bCs w:val="false"/>
        </w:rPr>
        <w:t>) в микроваттах, благодаря Вашему замечанию мы решили пересчитать и указать величины в единицах - mW/g для лучшего понимания статьи.</w:t>
      </w:r>
    </w:p>
    <w:p>
      <w:pPr>
        <w:pStyle w:val="VDTableTitle"/>
        <w:rPr/>
      </w:pPr>
      <w:r>
        <w:rPr>
          <w:b/>
          <w:bCs/>
        </w:rPr>
        <w:t>14.</w:t>
      </w:r>
      <w:r>
        <w:rPr>
          <w:b w:val="false"/>
          <w:bCs w:val="false"/>
        </w:rPr>
        <w:t xml:space="preserve"> Действительно экспериментальная величина P</w:t>
      </w:r>
      <w:r>
        <w:rPr>
          <w:b w:val="false"/>
          <w:bCs w:val="false"/>
          <w:vertAlign w:val="subscript"/>
        </w:rPr>
        <w:t>max</w:t>
      </w:r>
      <w:r>
        <w:rPr>
          <w:b w:val="false"/>
          <w:bCs w:val="false"/>
        </w:rPr>
        <w:t xml:space="preserve"> для соли </w:t>
      </w:r>
      <w:r>
        <w:rPr>
          <w:b/>
          <w:bCs/>
        </w:rPr>
        <w:t>1с</w:t>
      </w:r>
      <w:r>
        <w:rPr>
          <w:b w:val="false"/>
          <w:bCs w:val="false"/>
        </w:rPr>
        <w:t xml:space="preserve"> 119.5 mW/g значение - 101.5 опечатка. Мы еще раз перепроверили все значения в таблицах 2, 3, 4, 5. </w:t>
      </w:r>
    </w:p>
    <w:p>
      <w:pPr>
        <w:pStyle w:val="VDTableTitle"/>
        <w:rPr/>
      </w:pPr>
      <w:r>
        <w:rPr>
          <w:b/>
          <w:bCs/>
        </w:rPr>
        <w:t>15.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Экспериментальное значение 4 часа. Внесли соответствующие правки в текст статьи. </w:t>
      </w:r>
    </w:p>
    <w:p>
      <w:pPr>
        <w:pStyle w:val="VDTableTitle"/>
        <w:rPr/>
      </w:pPr>
      <w:r>
        <w:rPr>
          <w:b/>
          <w:bCs/>
        </w:rPr>
        <w:t>16.</w:t>
      </w:r>
      <w:r>
        <w:rPr>
          <w:b w:val="false"/>
          <w:bCs w:val="false"/>
        </w:rPr>
        <w:t xml:space="preserve"> </w:t>
      </w:r>
      <w:bookmarkStart w:id="0" w:name="__DdeLink__5027_1365020195"/>
      <w:r>
        <w:rPr>
          <w:b w:val="false"/>
          <w:bCs w:val="false"/>
        </w:rPr>
        <w:t>Мы добавили уравнение Аррениуса (5) в текст статьи и показали как оно связано с кинетическим уравнением (2).</w:t>
      </w:r>
      <w:bookmarkEnd w:id="0"/>
    </w:p>
    <w:p>
      <w:pPr>
        <w:pStyle w:val="VDTableTitle"/>
        <w:rPr>
          <w:b w:val="false"/>
          <w:b w:val="false"/>
          <w:bCs w:val="false"/>
        </w:rPr>
      </w:pPr>
      <w:r>
        <w:rPr/>
      </w:r>
    </w:p>
    <w:p>
      <w:pPr>
        <w:pStyle w:val="VDTableTitle"/>
        <w:rPr>
          <w:b/>
          <w:b/>
          <w:bCs/>
        </w:rPr>
      </w:pPr>
      <w:r>
        <w:rPr>
          <w:b/>
          <w:bCs/>
          <w:i/>
          <w:iCs/>
        </w:rPr>
        <w:t>p.s. Мы очень благодарны рецензенту 4 за очень важные и ценные замечания, которые позволили существенно улучшить статью и ее понимание читателями.</w:t>
      </w:r>
    </w:p>
    <w:p>
      <w:pPr>
        <w:pStyle w:val="VDTableTitle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VDTableTitle"/>
        <w:rPr/>
      </w:pPr>
      <w:r>
        <w:rPr>
          <w:b/>
        </w:rPr>
        <w:t>В текст необходимо внести изменения:</w:t>
      </w:r>
    </w:p>
    <w:p>
      <w:pPr>
        <w:pStyle w:val="VDTableTitle"/>
        <w:rPr/>
      </w:pPr>
      <w:r>
        <w:rPr>
          <w:b/>
        </w:rPr>
        <w:t>***</w:t>
      </w:r>
    </w:p>
    <w:p>
      <w:pPr>
        <w:pStyle w:val="VDTableTitle"/>
        <w:rPr/>
      </w:pPr>
      <w:r>
        <w:rPr>
          <w:b/>
        </w:rPr>
        <w:t>Table 1.</w:t>
      </w:r>
      <w:r>
        <w:rPr/>
        <w:t xml:space="preserve"> Temperatures and decomposition energies of diazonium salts </w:t>
      </w:r>
      <w:r>
        <w:rPr>
          <w:b/>
        </w:rPr>
        <w:t>1-3</w:t>
      </w:r>
      <w:r>
        <w:rPr/>
        <w:t xml:space="preserve"> according to DSC\TGA experiments data. </w:t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391"/>
        <w:gridCol w:w="891"/>
        <w:gridCol w:w="2144"/>
        <w:gridCol w:w="1"/>
        <w:gridCol w:w="792"/>
        <w:gridCol w:w="2113"/>
        <w:gridCol w:w="1"/>
        <w:gridCol w:w="1304"/>
      </w:tblGrid>
      <w:tr>
        <w:trPr>
          <w:tblHeader w:val="true"/>
          <w:cantSplit w:val="true"/>
        </w:trPr>
        <w:tc>
          <w:tcPr>
            <w:tcW w:w="23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Diazonium salts</w:t>
            </w:r>
          </w:p>
        </w:tc>
        <w:tc>
          <w:tcPr>
            <w:tcW w:w="30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/>
              <w:t>Endothermic process</w:t>
            </w:r>
          </w:p>
        </w:tc>
        <w:tc>
          <w:tcPr>
            <w:tcW w:w="2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Exothermic process</w:t>
            </w:r>
          </w:p>
        </w:tc>
        <w:tc>
          <w:tcPr>
            <w:tcW w:w="1305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Mp, (° C)</w:t>
            </w:r>
          </w:p>
        </w:tc>
      </w:tr>
      <w:tr>
        <w:trPr>
          <w:tblHeader w:val="true"/>
          <w:cantSplit w:val="true"/>
        </w:trPr>
        <w:tc>
          <w:tcPr>
            <w:tcW w:w="2391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/>
              <w:t>Т, ° C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rFonts w:ascii="Symbol" w:hAnsi="Symbol"/>
                <w:sz w:val="16"/>
                <w:szCs w:val="16"/>
              </w:rPr>
              <w:t></w:t>
            </w:r>
            <w:r>
              <w:rPr/>
              <w:t>Н,</w:t>
            </w:r>
            <w:r>
              <w:rPr>
                <w:sz w:val="22"/>
                <w:szCs w:val="22"/>
              </w:rPr>
              <w:t xml:space="preserve"> J/g (kJ/mol)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Т, ° C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rFonts w:ascii="Symbol" w:hAnsi="Symbol"/>
                <w:sz w:val="16"/>
                <w:szCs w:val="16"/>
              </w:rPr>
              <w:t></w:t>
            </w:r>
            <w:r>
              <w:rPr/>
              <w:t>Н</w:t>
            </w:r>
            <w:r>
              <w:rPr>
                <w:sz w:val="22"/>
                <w:szCs w:val="22"/>
              </w:rPr>
              <w:t>, J/g (kJ/mol)</w:t>
            </w:r>
          </w:p>
        </w:tc>
        <w:tc>
          <w:tcPr>
            <w:tcW w:w="1304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</w:tr>
      <w:tr>
        <w:trPr>
          <w:cantSplit w:val="true"/>
        </w:trPr>
        <w:tc>
          <w:tcPr>
            <w:tcW w:w="2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2-NO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 xml:space="preserve">- </w:t>
            </w:r>
            <w:bookmarkStart w:id="1" w:name="__DdeLink__2858_448124851"/>
            <w:r>
              <w:rPr>
                <w:szCs w:val="28"/>
              </w:rPr>
              <w:t xml:space="preserve">  </w:t>
            </w:r>
            <w:bookmarkEnd w:id="1"/>
            <w:r>
              <w:rPr>
                <w:b/>
                <w:szCs w:val="28"/>
              </w:rPr>
              <w:t>1a</w:t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104.1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73.49 (21.98)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143.3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-753.4 (-225.3)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110</w:t>
            </w:r>
          </w:p>
        </w:tc>
      </w:tr>
      <w:tr>
        <w:trPr>
          <w:cantSplit w:val="true"/>
        </w:trPr>
        <w:tc>
          <w:tcPr>
            <w:tcW w:w="2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3-NO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 </w:t>
            </w:r>
            <w:r>
              <w:rPr>
                <w:b/>
                <w:szCs w:val="28"/>
              </w:rPr>
              <w:t>1b</w:t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102.5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43.6 (10.04)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111.2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-840.4 (-251.3)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108-109</w:t>
            </w:r>
          </w:p>
        </w:tc>
      </w:tr>
      <w:tr>
        <w:trPr>
          <w:cantSplit w:val="true"/>
        </w:trPr>
        <w:tc>
          <w:tcPr>
            <w:tcW w:w="2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 </w:t>
            </w:r>
            <w:r>
              <w:rPr>
                <w:b/>
                <w:szCs w:val="28"/>
              </w:rPr>
              <w:t>1c</w:t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116.4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-219.9 (-65.7)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104</w:t>
            </w:r>
          </w:p>
        </w:tc>
      </w:tr>
      <w:tr>
        <w:trPr>
          <w:cantSplit w:val="true"/>
        </w:trPr>
        <w:tc>
          <w:tcPr>
            <w:tcW w:w="2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4-MeOС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 </w:t>
            </w:r>
            <w:r>
              <w:rPr>
                <w:b/>
                <w:szCs w:val="28"/>
              </w:rPr>
              <w:t>1d</w:t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88.4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102.2 (29.05)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136.6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-328.9 (-93.5)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94-97</w:t>
            </w:r>
          </w:p>
        </w:tc>
      </w:tr>
      <w:tr>
        <w:trPr>
          <w:cantSplit w:val="true"/>
        </w:trPr>
        <w:tc>
          <w:tcPr>
            <w:tcW w:w="2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TsO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 </w:t>
            </w:r>
            <w:r>
              <w:rPr>
                <w:b/>
                <w:szCs w:val="28"/>
              </w:rPr>
              <w:t>2</w:t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rPr/>
            </w:pPr>
            <w:r>
              <w:rPr>
                <w:szCs w:val="28"/>
              </w:rPr>
              <w:t>69.37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146.6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rPr/>
            </w:pPr>
            <w:r>
              <w:rPr>
                <w:szCs w:val="28"/>
              </w:rPr>
              <w:t>-24.47 (-7.8)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-323.0 (-103.7)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rPr>
                <w:highlight w:val="yellow"/>
              </w:rPr>
            </w:pPr>
            <w:r>
              <w:rPr>
                <w:highlight w:val="yellow"/>
              </w:rPr>
              <w:t>132</w:t>
            </w:r>
          </w:p>
        </w:tc>
      </w:tr>
      <w:tr>
        <w:trPr>
          <w:cantSplit w:val="true"/>
        </w:trPr>
        <w:tc>
          <w:tcPr>
            <w:tcW w:w="23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 xml:space="preserve"> BF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 </w:t>
            </w:r>
            <w:r>
              <w:rPr>
                <w:b/>
                <w:szCs w:val="2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33.7</w:t>
            </w:r>
          </w:p>
        </w:tc>
        <w:tc>
          <w:tcPr>
            <w:tcW w:w="21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617.3 (146.3)</w:t>
            </w:r>
          </w:p>
        </w:tc>
        <w:tc>
          <w:tcPr>
            <w:tcW w:w="7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146.5</w:t>
            </w:r>
          </w:p>
        </w:tc>
        <w:tc>
          <w:tcPr>
            <w:tcW w:w="21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-229.2 (-54.3)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144</w:t>
            </w:r>
          </w:p>
        </w:tc>
      </w:tr>
    </w:tbl>
    <w:p>
      <w:pPr>
        <w:pStyle w:val="TAMainText"/>
        <w:bidi w:val="0"/>
        <w:spacing w:before="0" w:after="170"/>
        <w:jc w:val="left"/>
        <w:rPr/>
      </w:pPr>
      <w:r>
        <w:rPr/>
      </w:r>
    </w:p>
    <w:p>
      <w:pPr>
        <w:pStyle w:val="TAMainText"/>
        <w:bidi w:val="0"/>
        <w:spacing w:before="0" w:after="170"/>
        <w:jc w:val="left"/>
        <w:rPr>
          <w:b/>
          <w:b/>
          <w:bCs/>
        </w:rPr>
      </w:pPr>
      <w:r>
        <w:rPr>
          <w:b/>
          <w:bCs/>
        </w:rPr>
        <w:t>***</w:t>
      </w:r>
    </w:p>
    <w:p>
      <w:pPr>
        <w:pStyle w:val="Normal"/>
        <w:rPr/>
      </w:pPr>
      <w:r>
        <w:rPr/>
        <w:drawing>
          <wp:inline distT="0" distB="0" distL="0" distR="0">
            <wp:extent cx="5542280" cy="3364865"/>
            <wp:effectExtent l="0" t="0" r="0" b="0"/>
            <wp:docPr id="1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rPr/>
      </w:pPr>
      <w:r>
        <w:rPr>
          <w:b/>
        </w:rPr>
        <w:t>Figure 1.</w:t>
      </w:r>
      <w:r>
        <w:rPr/>
        <w:t xml:space="preserve"> DSC/TGA thermograms of thermal decomposition of DS </w:t>
      </w:r>
      <w:r>
        <w:rPr>
          <w:color w:val="000000"/>
          <w:szCs w:val="28"/>
        </w:rPr>
        <w:t>2-NO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</w:rPr>
        <w:t>С</w:t>
      </w:r>
      <w:r>
        <w:rPr>
          <w:color w:val="000000"/>
          <w:szCs w:val="28"/>
          <w:vertAlign w:val="subscript"/>
        </w:rPr>
        <w:t>6</w:t>
      </w:r>
      <w:r>
        <w:rPr>
          <w:color w:val="000000"/>
          <w:szCs w:val="28"/>
        </w:rPr>
        <w:t>H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</w:rPr>
        <w:t>N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  <w:vertAlign w:val="superscript"/>
        </w:rPr>
        <w:t xml:space="preserve">+  </w:t>
      </w:r>
      <w:r>
        <w:rPr>
          <w:color w:val="000000"/>
          <w:szCs w:val="28"/>
        </w:rPr>
        <w:t>TfO</w:t>
      </w:r>
      <w:r>
        <w:rPr>
          <w:color w:val="000000"/>
          <w:szCs w:val="28"/>
          <w:vertAlign w:val="superscript"/>
        </w:rPr>
        <w:t>-</w:t>
      </w:r>
      <w:r>
        <w:rPr>
          <w:color w:val="000000"/>
          <w:szCs w:val="28"/>
        </w:rPr>
        <w:t xml:space="preserve">  </w:t>
      </w:r>
      <w:r>
        <w:rPr>
          <w:b/>
          <w:bCs/>
          <w:color w:val="000000"/>
          <w:szCs w:val="28"/>
        </w:rPr>
        <w:t>1a</w:t>
      </w:r>
    </w:p>
    <w:p>
      <w:pPr>
        <w:pStyle w:val="TAMainText"/>
        <w:rPr/>
      </w:pPr>
      <w:r>
        <w:rPr/>
        <w:drawing>
          <wp:inline distT="0" distB="0" distL="0" distR="0">
            <wp:extent cx="5526405" cy="3615055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rPr/>
      </w:pPr>
      <w:r>
        <w:rPr>
          <w:b/>
        </w:rPr>
        <w:t>Figure 2.</w:t>
      </w:r>
      <w:r>
        <w:rPr/>
        <w:t xml:space="preserve"> DSC/TGA thermograms of thermal decomposition of </w:t>
      </w:r>
      <w:r>
        <w:rPr>
          <w:color w:val="000000"/>
          <w:szCs w:val="28"/>
        </w:rPr>
        <w:t>3-NO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</w:rPr>
        <w:t>С</w:t>
      </w:r>
      <w:r>
        <w:rPr>
          <w:color w:val="000000"/>
          <w:szCs w:val="28"/>
          <w:vertAlign w:val="subscript"/>
        </w:rPr>
        <w:t>6</w:t>
      </w:r>
      <w:r>
        <w:rPr>
          <w:color w:val="000000"/>
          <w:szCs w:val="28"/>
        </w:rPr>
        <w:t>H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</w:rPr>
        <w:t>N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  <w:vertAlign w:val="superscript"/>
        </w:rPr>
        <w:t xml:space="preserve">+  </w:t>
      </w:r>
      <w:r>
        <w:rPr>
          <w:color w:val="000000"/>
          <w:szCs w:val="28"/>
        </w:rPr>
        <w:t>TfO</w:t>
      </w:r>
      <w:r>
        <w:rPr>
          <w:color w:val="000000"/>
          <w:szCs w:val="28"/>
          <w:vertAlign w:val="superscript"/>
        </w:rPr>
        <w:t>-</w:t>
      </w:r>
      <w:r>
        <w:rPr>
          <w:color w:val="000000"/>
          <w:szCs w:val="28"/>
        </w:rPr>
        <w:t xml:space="preserve">  </w:t>
      </w:r>
      <w:r>
        <w:rPr>
          <w:b/>
          <w:bCs/>
          <w:color w:val="000000"/>
          <w:szCs w:val="28"/>
        </w:rPr>
        <w:t>1b</w:t>
      </w:r>
    </w:p>
    <w:p>
      <w:pPr>
        <w:pStyle w:val="TAMainText"/>
        <w:rPr/>
      </w:pPr>
      <w:r>
        <w:rPr/>
        <w:drawing>
          <wp:inline distT="0" distB="0" distL="0" distR="0">
            <wp:extent cx="5475605" cy="3601720"/>
            <wp:effectExtent l="0" t="0" r="0" b="0"/>
            <wp:docPr id="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rPr/>
      </w:pPr>
      <w:r>
        <w:rPr>
          <w:b/>
        </w:rPr>
        <w:t>Figure 3.</w:t>
      </w:r>
      <w:r>
        <w:rPr/>
        <w:t xml:space="preserve"> DSC/TGA thermograms of thermal decomposition of 4</w:t>
      </w:r>
      <w:r>
        <w:rPr>
          <w:color w:val="000000"/>
          <w:szCs w:val="28"/>
        </w:rPr>
        <w:t>-NO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</w:rPr>
        <w:t>С</w:t>
      </w:r>
      <w:r>
        <w:rPr>
          <w:color w:val="000000"/>
          <w:szCs w:val="28"/>
          <w:vertAlign w:val="subscript"/>
        </w:rPr>
        <w:t>6</w:t>
      </w:r>
      <w:r>
        <w:rPr>
          <w:color w:val="000000"/>
          <w:szCs w:val="28"/>
        </w:rPr>
        <w:t>H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</w:rPr>
        <w:t>N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  <w:vertAlign w:val="superscript"/>
        </w:rPr>
        <w:t xml:space="preserve">+  </w:t>
      </w:r>
      <w:r>
        <w:rPr>
          <w:color w:val="000000"/>
          <w:szCs w:val="28"/>
        </w:rPr>
        <w:t>TfO</w:t>
      </w:r>
      <w:r>
        <w:rPr>
          <w:color w:val="000000"/>
          <w:szCs w:val="28"/>
          <w:vertAlign w:val="superscript"/>
        </w:rPr>
        <w:t>-</w:t>
      </w:r>
      <w:r>
        <w:rPr>
          <w:color w:val="000000"/>
          <w:szCs w:val="28"/>
        </w:rPr>
        <w:t xml:space="preserve">  </w:t>
      </w:r>
      <w:r>
        <w:rPr>
          <w:b/>
          <w:bCs/>
          <w:color w:val="000000"/>
          <w:szCs w:val="28"/>
        </w:rPr>
        <w:t>1c</w:t>
      </w:r>
    </w:p>
    <w:p>
      <w:pPr>
        <w:pStyle w:val="TAMainText"/>
        <w:rPr/>
      </w:pPr>
      <w:r>
        <w:rPr/>
        <w:drawing>
          <wp:inline distT="0" distB="0" distL="0" distR="0">
            <wp:extent cx="5895340" cy="3610610"/>
            <wp:effectExtent l="0" t="0" r="0" b="0"/>
            <wp:docPr id="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rPr/>
      </w:pPr>
      <w:r>
        <w:rPr>
          <w:b/>
        </w:rPr>
        <w:t>Figure 4.</w:t>
      </w:r>
      <w:r>
        <w:rPr/>
        <w:t xml:space="preserve"> DSC/TGA thermograms of thermal decomposition of </w:t>
      </w:r>
      <w:r>
        <w:rPr>
          <w:color w:val="000000"/>
          <w:szCs w:val="28"/>
        </w:rPr>
        <w:t>4-MeOС</w:t>
      </w:r>
      <w:r>
        <w:rPr>
          <w:color w:val="000000"/>
          <w:szCs w:val="28"/>
          <w:vertAlign w:val="subscript"/>
        </w:rPr>
        <w:t>6</w:t>
      </w:r>
      <w:r>
        <w:rPr>
          <w:color w:val="000000"/>
          <w:szCs w:val="28"/>
        </w:rPr>
        <w:t>H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</w:rPr>
        <w:t>N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  <w:vertAlign w:val="superscript"/>
        </w:rPr>
        <w:t xml:space="preserve">+  </w:t>
      </w:r>
      <w:r>
        <w:rPr>
          <w:color w:val="000000"/>
          <w:szCs w:val="28"/>
        </w:rPr>
        <w:t>TfO</w:t>
      </w:r>
      <w:r>
        <w:rPr>
          <w:color w:val="000000"/>
          <w:szCs w:val="28"/>
          <w:vertAlign w:val="superscript"/>
        </w:rPr>
        <w:t>-</w:t>
      </w:r>
      <w:r>
        <w:rPr>
          <w:color w:val="000000"/>
          <w:szCs w:val="28"/>
        </w:rPr>
        <w:t xml:space="preserve">  </w:t>
      </w:r>
      <w:r>
        <w:rPr>
          <w:b/>
          <w:bCs/>
          <w:color w:val="000000"/>
          <w:szCs w:val="28"/>
        </w:rPr>
        <w:t>1d</w:t>
      </w:r>
    </w:p>
    <w:p>
      <w:pPr>
        <w:pStyle w:val="TAMainText"/>
        <w:rPr/>
      </w:pPr>
      <w:r>
        <w:rPr/>
        <w:drawing>
          <wp:inline distT="0" distB="0" distL="0" distR="0">
            <wp:extent cx="5366385" cy="4039235"/>
            <wp:effectExtent l="0" t="0" r="0" b="0"/>
            <wp:docPr id="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rPr/>
      </w:pPr>
      <w:r>
        <w:rPr>
          <w:b/>
        </w:rPr>
        <w:t>Figure 5.</w:t>
      </w:r>
      <w:r>
        <w:rPr/>
        <w:t xml:space="preserve"> DSC/TGA thermograms of thermal decomposition of </w:t>
      </w:r>
      <w:r>
        <w:rPr>
          <w:color w:val="000000"/>
          <w:szCs w:val="28"/>
        </w:rPr>
        <w:t>4-NO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</w:rPr>
        <w:t>С</w:t>
      </w:r>
      <w:r>
        <w:rPr>
          <w:color w:val="000000"/>
          <w:szCs w:val="28"/>
          <w:vertAlign w:val="subscript"/>
        </w:rPr>
        <w:t>6</w:t>
      </w:r>
      <w:r>
        <w:rPr>
          <w:color w:val="000000"/>
          <w:szCs w:val="28"/>
        </w:rPr>
        <w:t>H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</w:rPr>
        <w:t>N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  <w:vertAlign w:val="superscript"/>
        </w:rPr>
        <w:t xml:space="preserve">+  </w:t>
      </w:r>
      <w:r>
        <w:rPr>
          <w:color w:val="000000"/>
          <w:szCs w:val="28"/>
        </w:rPr>
        <w:t>TsO</w:t>
      </w:r>
      <w:r>
        <w:rPr>
          <w:color w:val="000000"/>
          <w:szCs w:val="28"/>
          <w:vertAlign w:val="superscript"/>
        </w:rPr>
        <w:t>-</w:t>
      </w:r>
      <w:r>
        <w:rPr>
          <w:color w:val="000000"/>
          <w:szCs w:val="28"/>
        </w:rPr>
        <w:t xml:space="preserve">  </w:t>
      </w:r>
      <w:r>
        <w:rPr>
          <w:b/>
          <w:bCs/>
          <w:color w:val="000000"/>
          <w:szCs w:val="28"/>
        </w:rPr>
        <w:t>2 c</w:t>
      </w:r>
    </w:p>
    <w:p>
      <w:pPr>
        <w:pStyle w:val="TAMainText"/>
        <w:rPr/>
      </w:pPr>
      <w:r>
        <w:rPr/>
        <w:drawing>
          <wp:inline distT="0" distB="0" distL="0" distR="0">
            <wp:extent cx="5934075" cy="4217035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rPr/>
      </w:pPr>
      <w:r>
        <w:rPr>
          <w:b/>
        </w:rPr>
        <w:t>Figure 6.</w:t>
      </w:r>
      <w:r>
        <w:rPr/>
        <w:t xml:space="preserve"> DSC/TGA thermograms of thermal decomposition of </w:t>
      </w:r>
      <w:r>
        <w:rPr>
          <w:color w:val="000000"/>
          <w:szCs w:val="28"/>
        </w:rPr>
        <w:t>4-NO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</w:rPr>
        <w:t>С</w:t>
      </w:r>
      <w:r>
        <w:rPr>
          <w:color w:val="000000"/>
          <w:szCs w:val="28"/>
          <w:vertAlign w:val="subscript"/>
        </w:rPr>
        <w:t>6</w:t>
      </w:r>
      <w:r>
        <w:rPr>
          <w:color w:val="000000"/>
          <w:szCs w:val="28"/>
        </w:rPr>
        <w:t>H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</w:rPr>
        <w:t>N</w:t>
      </w:r>
      <w:r>
        <w:rPr>
          <w:color w:val="000000"/>
          <w:szCs w:val="28"/>
          <w:vertAlign w:val="subscript"/>
        </w:rPr>
        <w:t>2</w:t>
      </w:r>
      <w:r>
        <w:rPr>
          <w:color w:val="000000"/>
          <w:szCs w:val="28"/>
          <w:vertAlign w:val="superscript"/>
        </w:rPr>
        <w:t>+</w:t>
      </w:r>
      <w:r>
        <w:rPr>
          <w:color w:val="000000"/>
          <w:szCs w:val="28"/>
        </w:rPr>
        <w:t xml:space="preserve"> BF</w:t>
      </w:r>
      <w:r>
        <w:rPr>
          <w:color w:val="000000"/>
          <w:szCs w:val="28"/>
          <w:vertAlign w:val="subscript"/>
        </w:rPr>
        <w:t>4</w:t>
      </w:r>
      <w:r>
        <w:rPr>
          <w:color w:val="000000"/>
          <w:szCs w:val="28"/>
          <w:vertAlign w:val="superscript"/>
        </w:rPr>
        <w:t xml:space="preserve">-  </w:t>
      </w:r>
      <w:r>
        <w:rPr>
          <w:color w:val="000000"/>
          <w:szCs w:val="28"/>
        </w:rPr>
        <w:t xml:space="preserve"> </w:t>
      </w:r>
      <w:r>
        <w:rPr>
          <w:b/>
          <w:bCs/>
          <w:color w:val="000000"/>
          <w:szCs w:val="28"/>
        </w:rPr>
        <w:t>3</w:t>
      </w:r>
    </w:p>
    <w:p>
      <w:pPr>
        <w:pStyle w:val="VDTableTitle"/>
        <w:rPr/>
      </w:pPr>
      <w:r>
        <w:rPr>
          <w:b/>
        </w:rPr>
        <w:t>***</w:t>
      </w:r>
    </w:p>
    <w:p>
      <w:pPr>
        <w:pStyle w:val="VDTableTitle"/>
        <w:rPr/>
      </w:pPr>
      <w:r>
        <w:rPr>
          <w:b/>
        </w:rPr>
        <w:t>Table 2.</w:t>
      </w:r>
      <w:r>
        <w:rPr/>
        <w:t xml:space="preserve"> The reproducibility of the DS </w:t>
      </w:r>
      <w:r>
        <w:rPr>
          <w:b/>
        </w:rPr>
        <w:t>2</w:t>
      </w:r>
      <w:r>
        <w:rPr/>
        <w:t xml:space="preserve"> thermal decomposition parameters measured at 85 ° </w:t>
      </w:r>
      <w:r>
        <w:rPr>
          <w:bCs/>
        </w:rPr>
        <w:t>C</w:t>
      </w:r>
      <w:r>
        <w:rPr/>
        <w:t xml:space="preserve"> depending on synthetic batch and a number of repricipitations.</w:t>
      </w:r>
    </w:p>
    <w:tbl>
      <w:tblPr>
        <w:tblW w:w="4750" w:type="pct"/>
        <w:jc w:val="center"/>
        <w:tblInd w:w="0" w:type="dxa"/>
        <w:tblBorders>
          <w:top w:val="outset" w:sz="2" w:space="0" w:color="000001"/>
          <w:left w:val="outset" w:sz="2" w:space="0" w:color="000001"/>
          <w:bottom w:val="outset" w:sz="2" w:space="0" w:color="000001"/>
          <w:insideH w:val="outset" w:sz="2" w:space="0" w:color="000001"/>
        </w:tblBorders>
        <w:tblCellMar>
          <w:top w:w="55" w:type="dxa"/>
          <w:left w:w="12" w:type="dxa"/>
          <w:bottom w:w="55" w:type="dxa"/>
          <w:right w:w="31" w:type="dxa"/>
        </w:tblCellMar>
        <w:tblLook w:noVBand="0" w:val="0000" w:noHBand="0" w:lastColumn="0" w:firstColumn="0" w:lastRow="0" w:firstRow="0"/>
      </w:tblPr>
      <w:tblGrid>
        <w:gridCol w:w="4344"/>
        <w:gridCol w:w="1926"/>
        <w:gridCol w:w="1481"/>
        <w:gridCol w:w="1404"/>
      </w:tblGrid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Sample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bookmarkStart w:id="2" w:name="__DdeLink__8620_2955565741"/>
            <w:r>
              <w:rPr>
                <w:highlight w:val="yellow"/>
              </w:rPr>
              <w:t>k·10</w:t>
            </w:r>
            <w:r>
              <w:rPr>
                <w:highlight w:val="yellow"/>
                <w:vertAlign w:val="superscript"/>
              </w:rPr>
              <w:t>3</w:t>
            </w:r>
            <w:r>
              <w:rPr>
                <w:highlight w:val="yellow"/>
              </w:rPr>
              <w:t>, s</w:t>
            </w:r>
            <w:r>
              <w:rPr>
                <w:highlight w:val="yellow"/>
                <w:vertAlign w:val="superscript"/>
              </w:rPr>
              <w:t>-1</w:t>
            </w:r>
            <w:bookmarkEnd w:id="2"/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k, g·mol</w:t>
            </w:r>
            <w:r>
              <w:rPr>
                <w:strike/>
                <w:vertAlign w:val="superscript"/>
              </w:rPr>
              <w:t>-1</w:t>
            </w:r>
            <w:r>
              <w:rPr>
                <w:strike/>
              </w:rPr>
              <w:t>·с</w:t>
            </w:r>
            <w:r>
              <w:rPr>
                <w:strike/>
                <w:vertAlign w:val="superscript"/>
              </w:rPr>
              <w:t>-1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rFonts w:ascii="Symbol" w:hAnsi="Symbol"/>
                <w:sz w:val="16"/>
                <w:szCs w:val="16"/>
              </w:rPr>
              <w:t></w:t>
            </w:r>
            <w:r>
              <w:rPr/>
              <w:t>H, kJ·mol</w:t>
            </w:r>
            <w:r>
              <w:rPr>
                <w:vertAlign w:val="superscript"/>
              </w:rPr>
              <w:t>-1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P</w:t>
            </w:r>
            <w:r>
              <w:rPr>
                <w:vertAlign w:val="subscript"/>
              </w:rPr>
              <w:t>0</w:t>
            </w:r>
            <w:r>
              <w:rPr/>
              <w:t>, mW/g</w:t>
            </w:r>
          </w:p>
        </w:tc>
      </w:tr>
      <w:tr>
        <w:trPr/>
        <w:tc>
          <w:tcPr>
            <w:tcW w:w="9155" w:type="dxa"/>
            <w:gridSpan w:val="4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1 Nitrogen (repricipitation 1)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0.2726 ± 0.0364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0.0875 ± 0.0117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234.2 ± 3.0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 xml:space="preserve">  </w:t>
            </w:r>
            <w:r>
              <w:rPr/>
              <w:t>31.2 ± 8.1</w:t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2 Nitrogen, (source, repricipitation 1)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0.2570 ± 0.0371</w:t>
            </w:r>
          </w:p>
          <w:p>
            <w:pPr>
              <w:pStyle w:val="TCTableBody"/>
              <w:spacing w:before="0" w:after="200"/>
              <w:rPr/>
            </w:pPr>
            <w:r>
              <w:rPr/>
              <w:t>0.0825 ± 0.0119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243.6 ± 20.7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12.7 ± 3.5</w:t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3 Nitrogen, (source, repricipitation 1)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0.2641 ± 0.0283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0.0848 ± 0.0091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235.5 ± 7.0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10.1 ± 3.5</w:t>
            </w:r>
          </w:p>
        </w:tc>
      </w:tr>
      <w:tr>
        <w:trPr/>
        <w:tc>
          <w:tcPr>
            <w:tcW w:w="9155" w:type="dxa"/>
            <w:gridSpan w:val="4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0"/>
              <w:jc w:val="left"/>
              <w:rPr>
                <w:sz w:val="4"/>
                <w:szCs w:val="4"/>
                <w:highlight w:val="green"/>
              </w:rPr>
            </w:pPr>
            <w:r>
              <w:rPr>
                <w:sz w:val="4"/>
                <w:szCs w:val="4"/>
                <w:highlight w:val="green"/>
              </w:rPr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3 Air, repricipitation 2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0.2528 ± 0.0333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0.081162 ± 0.0107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229.0 ± 28.9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8.7 ± 8.5</w:t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3 Argon, repricipitation 2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0.3121 ± 0.0352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0.1002 ± 0.0113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242.3 ± 8.0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 xml:space="preserve">12.8 ± 2.4 </w:t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jc w:val="left"/>
              <w:rPr/>
            </w:pPr>
            <w:r>
              <w:rPr/>
              <w:t xml:space="preserve">Sample 2, 3 Nitrogen, </w:t>
            </w:r>
          </w:p>
          <w:p>
            <w:pPr>
              <w:pStyle w:val="TCTableBody"/>
              <w:spacing w:before="0" w:after="200"/>
              <w:jc w:val="left"/>
              <w:rPr/>
            </w:pPr>
            <w:r>
              <w:rPr/>
              <w:t>(source, repricipitation 1, 2)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0.2610 ± 0.0184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0.0838 ± 0.0059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238.9 ± 7.8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11.2 ± 2.3</w:t>
            </w:r>
          </w:p>
        </w:tc>
      </w:tr>
      <w:tr>
        <w:trPr>
          <w:trHeight w:val="114" w:hRule="atLeast"/>
        </w:trPr>
        <w:tc>
          <w:tcPr>
            <w:tcW w:w="9155" w:type="dxa"/>
            <w:gridSpan w:val="4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4 Nitrogen, source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0.2592 ± 0.0340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0.0832 ± 0.0109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241.7 ± 16.2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12.0 ± 2.0</w:t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4 Nitrogen, repricipitation 1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0.2610 ± 0.0492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0.0838 ± 0.0158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235.1 ± 17.9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10.2 ± 6.3</w:t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Sample 4 Nitrogen, repricipitation 2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0.2900 ± 0.0221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0.0931 ± 0.0071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238.1 ± 6.8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11.3 ± 2.3</w:t>
            </w:r>
          </w:p>
        </w:tc>
      </w:tr>
      <w:tr>
        <w:trPr/>
        <w:tc>
          <w:tcPr>
            <w:tcW w:w="9155" w:type="dxa"/>
            <w:gridSpan w:val="4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34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jc w:val="left"/>
              <w:rPr/>
            </w:pPr>
            <w:r>
              <w:rPr/>
              <w:t>General statistics</w:t>
            </w:r>
          </w:p>
        </w:tc>
        <w:tc>
          <w:tcPr>
            <w:tcW w:w="1926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0.2747 ± 0.0140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0.0882 ± 0.0045</w:t>
            </w:r>
          </w:p>
        </w:tc>
        <w:tc>
          <w:tcPr>
            <w:tcW w:w="1481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insideH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237.7 ± 4.6</w:t>
            </w:r>
          </w:p>
        </w:tc>
        <w:tc>
          <w:tcPr>
            <w:tcW w:w="1404" w:type="dxa"/>
            <w:tcBorders>
              <w:top w:val="outset" w:sz="2" w:space="0" w:color="000001"/>
              <w:left w:val="outset" w:sz="2" w:space="0" w:color="000001"/>
              <w:bottom w:val="outset" w:sz="2" w:space="0" w:color="000001"/>
              <w:right w:val="outset" w:sz="2" w:space="0" w:color="000001"/>
              <w:insideH w:val="outset" w:sz="2" w:space="0" w:color="000001"/>
              <w:insideV w:val="outset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13.8 ± 3.3</w:t>
            </w:r>
          </w:p>
        </w:tc>
      </w:tr>
    </w:tbl>
    <w:p>
      <w:pPr>
        <w:pStyle w:val="FETableFootnote"/>
        <w:jc w:val="center"/>
        <w:rPr/>
      </w:pPr>
      <w:r>
        <w:rPr>
          <w:highlight w:val="yellow"/>
        </w:rPr>
        <w:t xml:space="preserve">k – rate constant, </w:t>
      </w:r>
      <w:r>
        <w:rPr>
          <w:rFonts w:ascii="Symbol" w:hAnsi="Symbol"/>
          <w:sz w:val="16"/>
          <w:szCs w:val="16"/>
          <w:highlight w:val="yellow"/>
        </w:rPr>
        <w:t></w:t>
      </w:r>
      <w:r>
        <w:rPr>
          <w:highlight w:val="yellow"/>
        </w:rPr>
        <w:t>H - integral enthalpy, P</w:t>
      </w:r>
      <w:r>
        <w:rPr>
          <w:highlight w:val="yellow"/>
          <w:vertAlign w:val="subscript"/>
        </w:rPr>
        <w:t>0</w:t>
      </w:r>
      <w:r>
        <w:rPr>
          <w:highlight w:val="yellow"/>
        </w:rPr>
        <w:t xml:space="preserve"> – initial heat flow</w:t>
      </w:r>
    </w:p>
    <w:p>
      <w:pPr>
        <w:pStyle w:val="Normal"/>
        <w:rPr/>
      </w:pPr>
      <w:r>
        <w:rPr>
          <w:bCs/>
        </w:rPr>
        <w:t xml:space="preserve"> </w:t>
      </w:r>
      <w:r>
        <w:rPr>
          <w:bCs/>
          <w:highlight w:val="yellow"/>
        </w:rPr>
        <w:t xml:space="preserve">The following kinetic equation for </w:t>
      </w:r>
      <w:r>
        <w:rPr>
          <w:highlight w:val="yellow"/>
        </w:rPr>
        <w:t xml:space="preserve">autocatalytic reactions that was applied: </w:t>
      </w:r>
      <w:r>
        <w:rPr>
          <w:color w:val="127622"/>
          <w:highlight w:val="yellow"/>
        </w:rPr>
        <w:t xml:space="preserve"> </w:t>
      </w:r>
      <w:r>
        <w:rPr>
          <w:b/>
          <w:bCs/>
          <w:i/>
          <w:iCs/>
          <w:color w:val="auto"/>
          <w:sz w:val="28"/>
          <w:szCs w:val="28"/>
          <w:highlight w:val="yellow"/>
        </w:rPr>
        <w:t>a A </w:t>
      </w:r>
      <w:r>
        <w:rPr>
          <w:rFonts w:eastAsia="Liberation Serif" w:cs="Liberation Serif"/>
          <w:b/>
          <w:bCs/>
          <w:i/>
          <w:iCs/>
          <w:color w:val="auto"/>
          <w:sz w:val="28"/>
          <w:szCs w:val="28"/>
          <w:highlight w:val="yellow"/>
        </w:rPr>
        <w:t>→ </w:t>
      </w:r>
      <w:r>
        <w:rPr>
          <w:b/>
          <w:bCs/>
          <w:i/>
          <w:iCs/>
          <w:color w:val="auto"/>
          <w:sz w:val="28"/>
          <w:szCs w:val="28"/>
          <w:highlight w:val="yellow"/>
        </w:rPr>
        <w:t>c C</w:t>
      </w:r>
    </w:p>
    <w:p>
      <w:pPr>
        <w:pStyle w:val="TAMainText"/>
        <w:jc w:val="center"/>
        <w:rPr/>
      </w:pPr>
      <w:r>
        <w:rPr/>
        <w:drawing>
          <wp:inline distT="0" distB="0" distL="0" distR="0">
            <wp:extent cx="3063875" cy="2114550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highlight w:val="yellow"/>
        </w:rPr>
        <w:t xml:space="preserve">   </w:t>
      </w:r>
      <w:r>
        <w:rPr>
          <w:rFonts w:eastAsia="Liberation Serif" w:cs="Liberation Serif"/>
          <w:color w:val="auto"/>
          <w:highlight w:val="yellow"/>
        </w:rPr>
        <w:t xml:space="preserve">    </w:t>
      </w:r>
    </w:p>
    <w:p>
      <w:pPr>
        <w:pStyle w:val="FDSchemeFootnote"/>
        <w:bidi w:val="0"/>
        <w:spacing w:before="0" w:after="170"/>
        <w:jc w:val="left"/>
        <w:rPr/>
      </w:pPr>
      <w:r>
        <w:rPr>
          <w:color w:val="auto"/>
          <w:highlight w:val="yellow"/>
        </w:rPr>
        <w:t>Уравнение (2) – формальное кинетическое уравнение для реакций в твердой фазе [</w:t>
      </w:r>
      <w:hyperlink r:id="rId10">
        <w:r>
          <w:rPr>
            <w:rStyle w:val="Style15"/>
            <w:color w:val="auto"/>
            <w:highlight w:val="yellow"/>
          </w:rPr>
          <w:t>https://doi.org/10.1021/ie8018615</w:t>
        </w:r>
      </w:hyperlink>
      <w:r>
        <w:rPr>
          <w:color w:val="auto"/>
          <w:highlight w:val="yellow"/>
        </w:rPr>
        <w:t xml:space="preserve">], выраженное через conversion degree – </w:t>
      </w:r>
      <w:bookmarkStart w:id="3" w:name="MathJax-Element-621-Frame"/>
      <w:bookmarkStart w:id="4" w:name="MathJax-Span-17299"/>
      <w:bookmarkStart w:id="5" w:name="MathJax-Span-17300"/>
      <w:bookmarkStart w:id="6" w:name="MathJax-Span-17306"/>
      <w:bookmarkStart w:id="7" w:name="MathJax-Span-17307"/>
      <w:bookmarkEnd w:id="3"/>
      <w:bookmarkEnd w:id="4"/>
      <w:bookmarkEnd w:id="5"/>
      <w:bookmarkEnd w:id="6"/>
      <w:bookmarkEnd w:id="7"/>
      <w:r>
        <w:rPr>
          <w:rFonts w:ascii="MathJax Math" w:hAnsi="MathJax Math"/>
          <w:i/>
          <w:color w:val="auto"/>
          <w:highlight w:val="yellow"/>
        </w:rPr>
        <w:t xml:space="preserve">α </w:t>
      </w:r>
      <w:r>
        <w:rPr>
          <w:color w:val="auto"/>
          <w:highlight w:val="yellow"/>
        </w:rPr>
        <w:t xml:space="preserve">(уравнение 3).  </w:t>
      </w:r>
      <w:r>
        <w:rPr>
          <w:i/>
          <w:iCs/>
          <w:color w:val="auto"/>
          <w:highlight w:val="yellow"/>
        </w:rPr>
        <w:t>f</w:t>
      </w:r>
      <w:r>
        <w:rPr>
          <w:color w:val="auto"/>
          <w:highlight w:val="yellow"/>
        </w:rPr>
        <w:t>(</w:t>
      </w:r>
      <w:r>
        <w:rPr>
          <w:rFonts w:ascii="MathJax Math" w:hAnsi="MathJax Math"/>
          <w:i/>
          <w:color w:val="auto"/>
          <w:highlight w:val="yellow"/>
        </w:rPr>
        <w:t>α</w:t>
      </w:r>
      <w:r>
        <w:rPr>
          <w:color w:val="auto"/>
          <w:highlight w:val="yellow"/>
        </w:rPr>
        <w:t xml:space="preserve">) is the kinetic model in differential form (уравнение 4), кинетические кривые для исследуемых нами реакций лучше всего описывается уравнениями с </w:t>
      </w:r>
      <w:r>
        <w:rPr>
          <w:i/>
          <w:iCs/>
          <w:color w:val="auto"/>
          <w:highlight w:val="yellow"/>
        </w:rPr>
        <w:t>m</w:t>
      </w:r>
      <w:r>
        <w:rPr>
          <w:i w:val="false"/>
          <w:iCs w:val="false"/>
          <w:color w:val="auto"/>
          <w:highlight w:val="yellow"/>
        </w:rPr>
        <w:t>=1</w:t>
      </w:r>
      <w:r>
        <w:rPr>
          <w:color w:val="auto"/>
          <w:highlight w:val="yellow"/>
        </w:rPr>
        <w:t xml:space="preserve">, </w:t>
      </w:r>
      <w:r>
        <w:rPr>
          <w:i/>
          <w:iCs/>
          <w:color w:val="auto"/>
          <w:highlight w:val="yellow"/>
        </w:rPr>
        <w:t>n</w:t>
      </w:r>
      <w:r>
        <w:rPr>
          <w:i w:val="false"/>
          <w:iCs w:val="false"/>
          <w:color w:val="auto"/>
          <w:highlight w:val="yellow"/>
        </w:rPr>
        <w:t>=1</w:t>
      </w:r>
      <w:r>
        <w:rPr>
          <w:color w:val="auto"/>
          <w:highlight w:val="yellow"/>
        </w:rPr>
        <w:t xml:space="preserve">. </w:t>
      </w:r>
      <w:r>
        <w:rPr>
          <w:i/>
          <w:iCs/>
          <w:color w:val="auto"/>
          <w:highlight w:val="yellow"/>
        </w:rPr>
        <w:t>A</w:t>
      </w:r>
      <w:r>
        <w:rPr>
          <w:color w:val="auto"/>
          <w:highlight w:val="yellow"/>
          <w:vertAlign w:val="subscript"/>
        </w:rPr>
        <w:t>0</w:t>
      </w:r>
      <w:r>
        <w:rPr>
          <w:color w:val="auto"/>
          <w:position w:val="0"/>
          <w:sz w:val="24"/>
          <w:sz w:val="24"/>
          <w:highlight w:val="yellow"/>
          <w:vertAlign w:val="baseline"/>
        </w:rPr>
        <w:t xml:space="preserve">, </w:t>
      </w:r>
      <w:r>
        <w:rPr>
          <w:i/>
          <w:iCs/>
          <w:color w:val="auto"/>
          <w:position w:val="0"/>
          <w:sz w:val="24"/>
          <w:sz w:val="24"/>
          <w:highlight w:val="yellow"/>
          <w:vertAlign w:val="baseline"/>
        </w:rPr>
        <w:t>A</w:t>
      </w:r>
      <w:r>
        <w:rPr>
          <w:color w:val="auto"/>
          <w:highlight w:val="yellow"/>
        </w:rPr>
        <w:t xml:space="preserve"> – initial  and current concentration of DS, which for solid-phase reactions is measured in в mol/g units; </w:t>
      </w:r>
      <w:r>
        <w:rPr>
          <w:i/>
          <w:iCs/>
          <w:color w:val="auto"/>
          <w:highlight w:val="yellow"/>
        </w:rPr>
        <w:t>С</w:t>
      </w:r>
      <w:r>
        <w:rPr>
          <w:color w:val="auto"/>
          <w:highlight w:val="yellow"/>
          <w:vertAlign w:val="subscript"/>
        </w:rPr>
        <w:t>0</w:t>
      </w:r>
      <w:r>
        <w:rPr>
          <w:color w:val="auto"/>
          <w:highlight w:val="yellow"/>
        </w:rPr>
        <w:t xml:space="preserve">, </w:t>
      </w:r>
      <w:r>
        <w:rPr>
          <w:i/>
          <w:iCs/>
          <w:color w:val="auto"/>
          <w:highlight w:val="yellow"/>
        </w:rPr>
        <w:t>С</w:t>
      </w:r>
      <w:r>
        <w:rPr>
          <w:color w:val="auto"/>
          <w:highlight w:val="yellow"/>
        </w:rPr>
        <w:t xml:space="preserve"> – initial and current concentrations of products, [mol/g]; ; </w:t>
      </w:r>
      <w:r>
        <w:rPr>
          <w:i/>
          <w:iCs/>
          <w:color w:val="auto"/>
          <w:highlight w:val="yellow"/>
        </w:rPr>
        <w:t>k</w:t>
      </w:r>
      <w:r>
        <w:rPr>
          <w:color w:val="auto"/>
          <w:highlight w:val="yellow"/>
        </w:rPr>
        <w:t>– rate constant, [c</w:t>
      </w:r>
      <w:r>
        <w:rPr>
          <w:color w:val="auto"/>
          <w:highlight w:val="yellow"/>
          <w:vertAlign w:val="superscript"/>
        </w:rPr>
        <w:t>-1</w:t>
      </w:r>
      <w:r>
        <w:rPr>
          <w:color w:val="auto"/>
          <w:highlight w:val="yellow"/>
        </w:rPr>
        <w:t xml:space="preserve">]; </w:t>
      </w:r>
      <w:r>
        <w:rPr>
          <w:i/>
          <w:iCs/>
          <w:color w:val="auto"/>
          <w:highlight w:val="yellow"/>
        </w:rPr>
        <w:t>a</w:t>
      </w:r>
      <w:r>
        <w:rPr>
          <w:color w:val="auto"/>
          <w:highlight w:val="yellow"/>
        </w:rPr>
        <w:t xml:space="preserve">, </w:t>
      </w:r>
      <w:r>
        <w:rPr>
          <w:i/>
          <w:iCs/>
          <w:color w:val="auto"/>
          <w:highlight w:val="yellow"/>
        </w:rPr>
        <w:t>c</w:t>
      </w:r>
      <w:r>
        <w:rPr>
          <w:color w:val="auto"/>
          <w:highlight w:val="yellow"/>
        </w:rPr>
        <w:t xml:space="preserve"> - stoichiometric coefficients, for the processes studied </w:t>
      </w:r>
      <w:r>
        <w:rPr>
          <w:i/>
          <w:iCs/>
          <w:color w:val="auto"/>
          <w:highlight w:val="yellow"/>
        </w:rPr>
        <w:t>a</w:t>
      </w:r>
      <w:r>
        <w:rPr>
          <w:color w:val="auto"/>
          <w:highlight w:val="yellow"/>
        </w:rPr>
        <w:t>/</w:t>
      </w:r>
      <w:r>
        <w:rPr>
          <w:i/>
          <w:iCs/>
          <w:color w:val="auto"/>
          <w:highlight w:val="yellow"/>
        </w:rPr>
        <w:t>c</w:t>
      </w:r>
      <w:r>
        <w:rPr>
          <w:color w:val="auto"/>
          <w:highlight w:val="yellow"/>
        </w:rPr>
        <w:t xml:space="preserve">=1. Температурная зависимость скорости реакции выражается уравнением Аррениуса (5). </w:t>
      </w:r>
      <w:r>
        <w:rPr>
          <w:i/>
          <w:iCs/>
          <w:color w:val="auto"/>
          <w:highlight w:val="yellow"/>
        </w:rPr>
        <w:t>P</w:t>
      </w:r>
      <w:r>
        <w:rPr>
          <w:color w:val="auto"/>
          <w:highlight w:val="yellow"/>
        </w:rPr>
        <w:t xml:space="preserve">, </w:t>
      </w:r>
      <w:r>
        <w:rPr>
          <w:i/>
          <w:iCs/>
          <w:color w:val="auto"/>
          <w:highlight w:val="yellow"/>
        </w:rPr>
        <w:t>P</w:t>
      </w:r>
      <w:r>
        <w:rPr>
          <w:color w:val="auto"/>
          <w:highlight w:val="yellow"/>
          <w:vertAlign w:val="subscript"/>
        </w:rPr>
        <w:t>0</w:t>
      </w:r>
      <w:r>
        <w:rPr>
          <w:color w:val="auto"/>
          <w:highlight w:val="yellow"/>
        </w:rPr>
        <w:t xml:space="preserve"> – current and initial heat flow). Энтальпия реакции рассчитывается на основе интегрирования кривой аппроксимирующей тепловой поток (уравнение 6) на интервале времени (0; Inf); Период полураспада соответствует времени когда степень конверсии </w:t>
      </w:r>
      <w:r>
        <w:rPr>
          <w:rFonts w:ascii="MathJax Math" w:hAnsi="MathJax Math"/>
          <w:i/>
          <w:color w:val="auto"/>
          <w:highlight w:val="yellow"/>
        </w:rPr>
        <w:t>α</w:t>
      </w:r>
      <w:r>
        <w:rPr>
          <w:color w:val="auto"/>
          <w:highlight w:val="yellow"/>
        </w:rPr>
        <w:t xml:space="preserve">=0.5, в следствие симметричности аппроксимирующей кинетической кривой 4, время полураспада совпадает с достижении максимального теплового потока (в случае более сложной кинетики, этот правило не выполняется).   </w:t>
      </w:r>
    </w:p>
    <w:p>
      <w:pPr>
        <w:pStyle w:val="FDSchemeFootnote"/>
        <w:bidi w:val="0"/>
        <w:spacing w:before="0" w:after="170"/>
        <w:jc w:val="left"/>
        <w:rPr/>
      </w:pPr>
      <w:r>
        <w:rPr>
          <w:color w:val="auto"/>
        </w:rPr>
        <w:t xml:space="preserve"> </w:t>
      </w:r>
    </w:p>
    <w:p>
      <w:pPr>
        <w:pStyle w:val="FDSchemeFootnote"/>
        <w:bidi w:val="0"/>
        <w:spacing w:before="0" w:after="170"/>
        <w:jc w:val="left"/>
        <w:rPr>
          <w:color w:val="auto"/>
          <w:highlight w:val="yellow"/>
        </w:rPr>
      </w:pPr>
      <w:r>
        <w:rPr>
          <w:color w:val="auto"/>
        </w:rPr>
        <w:t>***</w:t>
      </w:r>
    </w:p>
    <w:p>
      <w:pPr>
        <w:pStyle w:val="VDTableTitle"/>
        <w:rPr>
          <w:highlight w:val="yellow"/>
        </w:rPr>
      </w:pPr>
      <w:r>
        <w:rPr>
          <w:b/>
          <w:highlight w:val="yellow"/>
        </w:rPr>
        <w:t>T</w:t>
      </w:r>
      <w:r>
        <w:rPr>
          <w:b/>
        </w:rPr>
        <w:t>able 3.</w:t>
      </w:r>
      <w:r>
        <w:rPr/>
        <w:t xml:space="preserve"> Integral enthalpy and maximum heat flow values found during isothermal decomposition of diazonium salts </w:t>
      </w:r>
      <w:r>
        <w:rPr>
          <w:b/>
        </w:rPr>
        <w:t>1-3</w:t>
      </w:r>
      <w:r>
        <w:rPr/>
        <w:t>.</w:t>
      </w:r>
    </w:p>
    <w:tbl>
      <w:tblPr>
        <w:tblW w:w="9350" w:type="dxa"/>
        <w:jc w:val="left"/>
        <w:tblInd w:w="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" w:type="dxa"/>
          <w:bottom w:w="55" w:type="dxa"/>
          <w:right w:w="50" w:type="dxa"/>
        </w:tblCellMar>
        <w:tblLook w:noVBand="0" w:val="0000" w:noHBand="0" w:lastColumn="0" w:firstColumn="0" w:lastRow="0" w:firstRow="0"/>
      </w:tblPr>
      <w:tblGrid>
        <w:gridCol w:w="2810"/>
        <w:gridCol w:w="1083"/>
        <w:gridCol w:w="1083"/>
        <w:gridCol w:w="1108"/>
        <w:gridCol w:w="1165"/>
        <w:gridCol w:w="1090"/>
        <w:gridCol w:w="1010"/>
      </w:tblGrid>
      <w:tr>
        <w:trPr>
          <w:tblHeader w:val="true"/>
          <w:cantSplit w:val="true"/>
        </w:trPr>
        <w:tc>
          <w:tcPr>
            <w:tcW w:w="2810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Diazonium salt</w:t>
            </w:r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rFonts w:eastAsia="Symbol" w:cs="Times"/>
                <w:sz w:val="18"/>
                <w:szCs w:val="16"/>
              </w:rPr>
              <w:t>∆</w:t>
            </w:r>
            <w:r>
              <w:rPr/>
              <w:t>H, kJ/mol</w:t>
            </w:r>
          </w:p>
        </w:tc>
        <w:tc>
          <w:tcPr>
            <w:tcW w:w="3265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P</w:t>
            </w:r>
            <w:r>
              <w:rPr>
                <w:vertAlign w:val="subscript"/>
              </w:rPr>
              <w:t>max</w:t>
            </w:r>
            <w:r>
              <w:rPr/>
              <w:t>, mW/g</w:t>
            </w:r>
          </w:p>
        </w:tc>
      </w:tr>
      <w:tr>
        <w:trPr>
          <w:tblHeader w:val="true"/>
          <w:cantSplit w:val="true"/>
        </w:trPr>
        <w:tc>
          <w:tcPr>
            <w:tcW w:w="2810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75 </w:t>
            </w:r>
            <w:r>
              <w:rPr>
                <w:vertAlign w:val="superscript"/>
              </w:rPr>
              <w:t>o</w:t>
            </w:r>
            <w:r>
              <w:rPr/>
              <w:t>C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80 </w:t>
            </w:r>
            <w:r>
              <w:rPr>
                <w:vertAlign w:val="superscript"/>
              </w:rPr>
              <w:t>o</w:t>
            </w:r>
            <w:r>
              <w:rPr/>
              <w:t>C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85 </w:t>
            </w:r>
            <w:r>
              <w:rPr>
                <w:vertAlign w:val="superscript"/>
              </w:rPr>
              <w:t>o</w:t>
            </w:r>
            <w:r>
              <w:rPr/>
              <w:t>C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75 </w:t>
            </w:r>
            <w:r>
              <w:rPr>
                <w:vertAlign w:val="superscript"/>
              </w:rPr>
              <w:t>o</w:t>
            </w:r>
            <w:r>
              <w:rPr/>
              <w:t>C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80 </w:t>
            </w:r>
            <w:r>
              <w:rPr>
                <w:vertAlign w:val="superscript"/>
              </w:rPr>
              <w:t>o</w:t>
            </w:r>
            <w:r>
              <w:rPr/>
              <w:t>C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85 </w:t>
            </w:r>
            <w:r>
              <w:rPr>
                <w:vertAlign w:val="superscript"/>
              </w:rPr>
              <w:t>o</w:t>
            </w:r>
            <w:r>
              <w:rPr/>
              <w:t>C</w:t>
            </w:r>
          </w:p>
        </w:tc>
      </w:tr>
      <w:tr>
        <w:trPr>
          <w:trHeight w:val="532" w:hRule="atLeast"/>
        </w:trPr>
        <w:tc>
          <w:tcPr>
            <w:tcW w:w="28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2-NO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(</w:t>
            </w:r>
            <w:r>
              <w:rPr>
                <w:b/>
                <w:szCs w:val="28"/>
              </w:rPr>
              <w:t>1a</w:t>
            </w:r>
            <w:r>
              <w:rPr>
                <w:szCs w:val="28"/>
              </w:rPr>
              <w:t>)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414.0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386.0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396.0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0.705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1.49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2.33</w:t>
            </w:r>
          </w:p>
        </w:tc>
      </w:tr>
      <w:tr>
        <w:trPr>
          <w:trHeight w:val="532" w:hRule="atLeast"/>
        </w:trPr>
        <w:tc>
          <w:tcPr>
            <w:tcW w:w="28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3-NO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(</w:t>
            </w:r>
            <w:r>
              <w:rPr>
                <w:b/>
                <w:szCs w:val="28"/>
              </w:rPr>
              <w:t>1b</w:t>
            </w:r>
            <w:r>
              <w:rPr>
                <w:szCs w:val="28"/>
              </w:rPr>
              <w:t>)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227.9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230.0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225.4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6.57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14.15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28.8</w:t>
            </w:r>
          </w:p>
        </w:tc>
      </w:tr>
      <w:tr>
        <w:trPr>
          <w:trHeight w:val="532" w:hRule="atLeast"/>
        </w:trPr>
        <w:tc>
          <w:tcPr>
            <w:tcW w:w="28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(</w:t>
            </w:r>
            <w:r>
              <w:rPr>
                <w:b/>
                <w:szCs w:val="28"/>
              </w:rPr>
              <w:t>1c</w:t>
            </w:r>
            <w:r>
              <w:rPr>
                <w:szCs w:val="28"/>
              </w:rPr>
              <w:t>)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200.0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235.1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250.0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20.12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47.89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>
                <w:highlight w:val="yellow"/>
              </w:rPr>
            </w:pPr>
            <w:r>
              <w:rPr>
                <w:highlight w:val="yellow"/>
              </w:rPr>
              <w:t>119.5</w:t>
            </w:r>
          </w:p>
        </w:tc>
      </w:tr>
      <w:tr>
        <w:trPr>
          <w:trHeight w:val="532" w:hRule="atLeast"/>
        </w:trPr>
        <w:tc>
          <w:tcPr>
            <w:tcW w:w="28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4-MeOС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(</w:t>
            </w:r>
            <w:r>
              <w:rPr>
                <w:b/>
                <w:szCs w:val="28"/>
              </w:rPr>
              <w:t>1d</w:t>
            </w:r>
            <w:r>
              <w:rPr>
                <w:szCs w:val="28"/>
              </w:rPr>
              <w:t>)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183.1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183.2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106.0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1.34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2.97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5.37</w:t>
            </w:r>
          </w:p>
        </w:tc>
      </w:tr>
      <w:tr>
        <w:trPr>
          <w:trHeight w:val="532" w:hRule="atLeast"/>
        </w:trPr>
        <w:tc>
          <w:tcPr>
            <w:tcW w:w="28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TsO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(</w:t>
            </w:r>
            <w:r>
              <w:rPr>
                <w:b/>
                <w:szCs w:val="28"/>
              </w:rPr>
              <w:t>2</w:t>
            </w:r>
            <w:r>
              <w:rPr>
                <w:szCs w:val="28"/>
              </w:rPr>
              <w:t>)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253.0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232.4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231.0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21.10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34.82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64.60</w:t>
            </w:r>
          </w:p>
        </w:tc>
      </w:tr>
      <w:tr>
        <w:trPr>
          <w:trHeight w:val="532" w:hRule="atLeast"/>
        </w:trPr>
        <w:tc>
          <w:tcPr>
            <w:tcW w:w="28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 xml:space="preserve"> BF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szCs w:val="28"/>
              </w:rPr>
              <w:t xml:space="preserve"> (</w:t>
            </w:r>
            <w:r>
              <w:rPr>
                <w:b/>
                <w:szCs w:val="28"/>
              </w:rPr>
              <w:t>3</w:t>
            </w:r>
            <w:r>
              <w:rPr>
                <w:szCs w:val="28"/>
              </w:rPr>
              <w:t>)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173.0</w:t>
            </w:r>
          </w:p>
        </w:tc>
        <w:tc>
          <w:tcPr>
            <w:tcW w:w="10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156.0</w:t>
            </w:r>
          </w:p>
        </w:tc>
        <w:tc>
          <w:tcPr>
            <w:tcW w:w="1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147.0</w:t>
            </w:r>
          </w:p>
        </w:tc>
        <w:tc>
          <w:tcPr>
            <w:tcW w:w="1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20.02</w:t>
            </w:r>
          </w:p>
        </w:tc>
        <w:tc>
          <w:tcPr>
            <w:tcW w:w="10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31.63</w:t>
            </w:r>
          </w:p>
        </w:tc>
        <w:tc>
          <w:tcPr>
            <w:tcW w:w="10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66.87</w:t>
            </w:r>
          </w:p>
        </w:tc>
      </w:tr>
    </w:tbl>
    <w:p>
      <w:pPr>
        <w:pStyle w:val="FETableFootnote"/>
        <w:jc w:val="center"/>
        <w:rPr/>
      </w:pPr>
      <w:r>
        <w:rPr>
          <w:rFonts w:eastAsia="Symbol" w:cs="Times"/>
          <w:sz w:val="18"/>
          <w:szCs w:val="16"/>
        </w:rPr>
        <w:t>∆</w:t>
      </w:r>
      <w:r>
        <w:rPr/>
        <w:t>H – integral enthalpy, P</w:t>
      </w:r>
      <w:r>
        <w:rPr>
          <w:vertAlign w:val="subscript"/>
        </w:rPr>
        <w:t>max</w:t>
      </w:r>
      <w:r>
        <w:rPr/>
        <w:t xml:space="preserve"> – maximum heat flow value</w:t>
      </w:r>
    </w:p>
    <w:p>
      <w:pPr>
        <w:pStyle w:val="TAMainText"/>
        <w:bidi w:val="0"/>
        <w:spacing w:before="0" w:after="170"/>
        <w:jc w:val="left"/>
        <w:rPr>
          <w:color w:val="auto"/>
          <w:highlight w:val="yellow"/>
        </w:rPr>
      </w:pPr>
      <w:r>
        <w:rPr>
          <w:color w:val="auto"/>
          <w:highlight w:val="yellow"/>
        </w:rPr>
      </w:r>
    </w:p>
    <w:p>
      <w:pPr>
        <w:pStyle w:val="TAMainText"/>
        <w:bidi w:val="0"/>
        <w:spacing w:before="0" w:after="170"/>
        <w:jc w:val="left"/>
        <w:rPr/>
      </w:pPr>
      <w:r>
        <w:rPr>
          <w:color w:val="auto"/>
        </w:rPr>
        <w:t>***</w:t>
      </w:r>
    </w:p>
    <w:p>
      <w:pPr>
        <w:pStyle w:val="FDSchemeFootnote"/>
        <w:bidi w:val="0"/>
        <w:spacing w:before="0" w:after="170"/>
        <w:jc w:val="left"/>
        <w:rPr>
          <w:color w:val="auto"/>
          <w:highlight w:val="yellow"/>
        </w:rPr>
      </w:pPr>
      <w:r>
        <w:rPr>
          <w:color w:val="auto"/>
          <w:highlight w:val="yellow"/>
        </w:rPr>
      </w:r>
    </w:p>
    <w:p>
      <w:pPr>
        <w:pStyle w:val="TAMainText"/>
        <w:rPr/>
      </w:pPr>
      <w:r>
        <w:rPr>
          <w:b/>
        </w:rPr>
        <w:t>Table 4.</w:t>
      </w:r>
      <w:r>
        <w:rPr/>
        <w:t xml:space="preserve"> Kinetic parameters of the isothermal decomposition of DSs </w:t>
      </w:r>
      <w:r>
        <w:rPr>
          <w:b/>
        </w:rPr>
        <w:t>1-3 (</w:t>
      </w:r>
      <w:r>
        <w:rPr/>
        <w:t>P</w:t>
      </w:r>
      <w:r>
        <w:rPr>
          <w:vertAlign w:val="subscript"/>
        </w:rPr>
        <w:t>0</w:t>
      </w:r>
      <w:r>
        <w:rPr/>
        <w:t xml:space="preserve"> – initial heat flow value, </w:t>
      </w:r>
      <w:r>
        <w:rPr>
          <w:i/>
        </w:rPr>
        <w:t>k</w:t>
      </w:r>
      <w:r>
        <w:rPr/>
        <w:t xml:space="preserve"> – rate constant calculated according to the equation 2).</w:t>
      </w:r>
    </w:p>
    <w:tbl>
      <w:tblPr>
        <w:tblW w:w="8850" w:type="dxa"/>
        <w:jc w:val="left"/>
        <w:tblInd w:w="8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" w:type="dxa"/>
          <w:bottom w:w="55" w:type="dxa"/>
          <w:right w:w="50" w:type="dxa"/>
        </w:tblCellMar>
        <w:tblLook w:noVBand="0" w:val="0000" w:noHBand="0" w:lastColumn="0" w:firstColumn="0" w:lastRow="0" w:firstRow="0"/>
      </w:tblPr>
      <w:tblGrid>
        <w:gridCol w:w="2578"/>
        <w:gridCol w:w="885"/>
        <w:gridCol w:w="962"/>
        <w:gridCol w:w="1076"/>
        <w:gridCol w:w="1138"/>
        <w:gridCol w:w="1125"/>
        <w:gridCol w:w="1085"/>
      </w:tblGrid>
      <w:tr>
        <w:trPr>
          <w:tblHeader w:val="true"/>
          <w:cantSplit w:val="true"/>
        </w:trPr>
        <w:tc>
          <w:tcPr>
            <w:tcW w:w="257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Diazonium salt</w:t>
            </w:r>
          </w:p>
        </w:tc>
        <w:tc>
          <w:tcPr>
            <w:tcW w:w="29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highlight w:val="yellow"/>
              </w:rPr>
              <w:t>P</w:t>
            </w:r>
            <w:r>
              <w:rPr>
                <w:highlight w:val="yellow"/>
                <w:vertAlign w:val="subscript"/>
              </w:rPr>
              <w:t>0</w:t>
            </w:r>
            <w:r>
              <w:rPr>
                <w:highlight w:val="yellow"/>
              </w:rPr>
              <w:t>, mW/g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P</w:t>
            </w:r>
            <w:r>
              <w:rPr>
                <w:strike/>
                <w:vertAlign w:val="subscript"/>
              </w:rPr>
              <w:t>0</w:t>
            </w:r>
            <w:r>
              <w:rPr>
                <w:strike/>
              </w:rPr>
              <w:t>, mW (uW)</w:t>
            </w:r>
          </w:p>
        </w:tc>
        <w:tc>
          <w:tcPr>
            <w:tcW w:w="334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k·10</w:t>
            </w:r>
            <w:r>
              <w:rPr>
                <w:strike w:val="false"/>
                <w:dstrike w:val="false"/>
                <w:highlight w:val="yellow"/>
                <w:vertAlign w:val="superscript"/>
              </w:rPr>
              <w:t>3</w:t>
            </w:r>
            <w:r>
              <w:rPr>
                <w:strike w:val="false"/>
                <w:dstrike w:val="false"/>
                <w:highlight w:val="yellow"/>
              </w:rPr>
              <w:t>, s</w:t>
            </w:r>
            <w:r>
              <w:rPr>
                <w:strike w:val="false"/>
                <w:dstrike w:val="false"/>
                <w:highlight w:val="yellow"/>
                <w:vertAlign w:val="superscript"/>
              </w:rPr>
              <w:t>-1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k, g mol</w:t>
            </w:r>
            <w:r>
              <w:rPr>
                <w:strike/>
                <w:vertAlign w:val="superscript"/>
              </w:rPr>
              <w:t>-1</w:t>
            </w:r>
            <w:r>
              <w:rPr>
                <w:strike/>
              </w:rPr>
              <w:t xml:space="preserve"> с</w:t>
            </w:r>
            <w:r>
              <w:rPr>
                <w:strike/>
                <w:vertAlign w:val="superscript"/>
              </w:rPr>
              <w:t>-1</w:t>
            </w:r>
          </w:p>
        </w:tc>
      </w:tr>
      <w:tr>
        <w:trPr>
          <w:cantSplit w:val="true"/>
        </w:trPr>
        <w:tc>
          <w:tcPr>
            <w:tcW w:w="2578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</w:tr>
      <w:tr>
        <w:trPr>
          <w:trHeight w:val="543" w:hRule="atLeast"/>
        </w:trPr>
        <w:tc>
          <w:tcPr>
            <w:tcW w:w="2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2-NO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1a</w:t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40.6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4.06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88.2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8.82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147.0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14.7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0.00026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0.00055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0.00076</w:t>
            </w:r>
          </w:p>
        </w:tc>
      </w:tr>
      <w:tr>
        <w:trPr>
          <w:trHeight w:val="543" w:hRule="atLeast"/>
        </w:trPr>
        <w:tc>
          <w:tcPr>
            <w:tcW w:w="2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3-NO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1b</w:t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0.94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0.094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11.0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1.10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44.6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4.46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0.00912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0.01958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0.0429</w:t>
            </w:r>
          </w:p>
        </w:tc>
      </w:tr>
      <w:tr>
        <w:trPr>
          <w:trHeight w:val="543" w:hRule="atLeast"/>
        </w:trPr>
        <w:tc>
          <w:tcPr>
            <w:tcW w:w="2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1c</w:t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9.0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0.900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13.1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1.311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48.4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4.84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0.0316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0.0630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0.1599</w:t>
            </w:r>
          </w:p>
        </w:tc>
      </w:tr>
      <w:tr>
        <w:trPr>
          <w:trHeight w:val="543" w:hRule="atLeast"/>
        </w:trPr>
        <w:tc>
          <w:tcPr>
            <w:tcW w:w="2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4-MeOС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1d</w:t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14.78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1.477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32.00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3.200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113.8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11.38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0.0021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0.0044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0.0128</w:t>
            </w:r>
          </w:p>
        </w:tc>
      </w:tr>
      <w:tr>
        <w:trPr>
          <w:trHeight w:val="543" w:hRule="atLeast"/>
        </w:trPr>
        <w:tc>
          <w:tcPr>
            <w:tcW w:w="2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TsO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2</w:t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19.57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1.957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27.5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2.745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41.5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4.152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0.0289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0.0539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0.1030</w:t>
            </w:r>
          </w:p>
        </w:tc>
      </w:tr>
      <w:tr>
        <w:trPr>
          <w:trHeight w:val="543" w:hRule="atLeast"/>
        </w:trPr>
        <w:tc>
          <w:tcPr>
            <w:tcW w:w="25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 xml:space="preserve"> BF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3</w:t>
            </w:r>
          </w:p>
        </w:tc>
        <w:tc>
          <w:tcPr>
            <w:tcW w:w="8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392.4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39.241</w:t>
            </w:r>
          </w:p>
        </w:tc>
        <w:tc>
          <w:tcPr>
            <w:tcW w:w="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896.0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89.598</w:t>
            </w:r>
          </w:p>
        </w:tc>
        <w:tc>
          <w:tcPr>
            <w:tcW w:w="1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1804.2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180.42</w:t>
            </w:r>
          </w:p>
        </w:tc>
        <w:tc>
          <w:tcPr>
            <w:tcW w:w="11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rFonts w:cs="Liberation Serif"/>
                <w:strike/>
              </w:rPr>
              <w:t>0.0186</w:t>
            </w:r>
          </w:p>
        </w:tc>
        <w:tc>
          <w:tcPr>
            <w:tcW w:w="11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0.0344</w:t>
            </w:r>
          </w:p>
        </w:tc>
        <w:tc>
          <w:tcPr>
            <w:tcW w:w="10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/>
            </w:pPr>
            <w:r>
              <w:rPr>
                <w:strike/>
              </w:rPr>
              <w:t>0.0721</w:t>
            </w:r>
          </w:p>
        </w:tc>
      </w:tr>
    </w:tbl>
    <w:p>
      <w:pPr>
        <w:pStyle w:val="TAMainText"/>
        <w:rPr>
          <w:color w:val="000000"/>
        </w:rPr>
      </w:pPr>
      <w:r>
        <w:rPr>
          <w:color w:val="000000"/>
        </w:rPr>
      </w:r>
    </w:p>
    <w:p>
      <w:pPr>
        <w:pStyle w:val="VDTableTitle"/>
        <w:rPr/>
      </w:pPr>
      <w:r>
        <w:rPr>
          <w:b/>
        </w:rPr>
        <w:t>***</w:t>
      </w:r>
    </w:p>
    <w:p>
      <w:pPr>
        <w:pStyle w:val="VDTableTitle"/>
        <w:rPr/>
      </w:pPr>
      <w:r>
        <w:rPr>
          <w:b/>
        </w:rPr>
        <w:t>Table 5.</w:t>
      </w:r>
      <w:r>
        <w:rPr/>
        <w:t xml:space="preserve"> The calculated kinetic parameters of DS </w:t>
      </w:r>
      <w:r>
        <w:rPr>
          <w:b/>
        </w:rPr>
        <w:t xml:space="preserve">1-3 </w:t>
      </w:r>
      <w:r>
        <w:rPr/>
        <w:t>decomposition reactions occurring at 25 ° C.</w:t>
      </w:r>
    </w:p>
    <w:tbl>
      <w:tblPr>
        <w:tblW w:w="7313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2" w:type="dxa"/>
          <w:bottom w:w="55" w:type="dxa"/>
          <w:right w:w="50" w:type="dxa"/>
        </w:tblCellMar>
        <w:tblLook w:noVBand="0" w:val="0000" w:noHBand="0" w:lastColumn="0" w:firstColumn="0" w:lastRow="0" w:firstRow="0"/>
      </w:tblPr>
      <w:tblGrid>
        <w:gridCol w:w="2999"/>
        <w:gridCol w:w="2275"/>
        <w:gridCol w:w="2039"/>
      </w:tblGrid>
      <w:tr>
        <w:trPr>
          <w:tblHeader w:val="true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/>
              <w:t>Diazonium salt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trike/>
                <w:highlight w:val="yellow"/>
              </w:rPr>
              <w:t>k</w:t>
            </w:r>
            <w:r>
              <w:rPr>
                <w:strike/>
                <w:highlight w:val="yellow"/>
                <w:vertAlign w:val="subscript"/>
              </w:rPr>
              <w:t>298</w:t>
            </w:r>
            <w:r>
              <w:rPr>
                <w:strike w:val="false"/>
                <w:dstrike w:val="false"/>
                <w:highlight w:val="yellow"/>
              </w:rPr>
              <w:t>. , s</w:t>
            </w:r>
            <w:r>
              <w:rPr>
                <w:strike w:val="false"/>
                <w:dstrike w:val="false"/>
                <w:highlight w:val="yellow"/>
                <w:vertAlign w:val="superscript"/>
              </w:rPr>
              <w:t>-1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k</w:t>
            </w:r>
            <w:r>
              <w:rPr>
                <w:strike/>
                <w:vertAlign w:val="subscript"/>
              </w:rPr>
              <w:t>298</w:t>
            </w:r>
            <w:r>
              <w:rPr>
                <w:strike/>
              </w:rPr>
              <w:t>, g·mol</w:t>
            </w:r>
            <w:r>
              <w:rPr>
                <w:strike/>
                <w:vertAlign w:val="superscript"/>
              </w:rPr>
              <w:t>-1</w:t>
            </w:r>
            <w:r>
              <w:rPr>
                <w:strike/>
              </w:rPr>
              <w:t>·с</w:t>
            </w:r>
            <w:r>
              <w:rPr>
                <w:strike/>
                <w:vertAlign w:val="superscript"/>
              </w:rPr>
              <w:t>-1</w:t>
            </w:r>
            <w:r>
              <w:rPr>
                <w:strike/>
              </w:rPr>
              <w:t> 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/>
              <w:t>Ea, kJ/mol</w:t>
            </w:r>
          </w:p>
        </w:tc>
      </w:tr>
      <w:tr>
        <w:trPr>
          <w:trHeight w:val="543" w:hRule="atLeast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2-NO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1a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4.17*10</w:t>
            </w:r>
            <w:r>
              <w:rPr>
                <w:strike/>
                <w:vertAlign w:val="superscript"/>
              </w:rPr>
              <w:t>-7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111.4</w:t>
            </w:r>
          </w:p>
        </w:tc>
      </w:tr>
      <w:tr>
        <w:trPr>
          <w:trHeight w:val="543" w:hRule="atLeast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3-NO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1b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8.66*10</w:t>
            </w:r>
            <w:r>
              <w:rPr>
                <w:strike/>
                <w:vertAlign w:val="superscript"/>
              </w:rPr>
              <w:t>-7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159.7</w:t>
            </w:r>
          </w:p>
        </w:tc>
      </w:tr>
      <w:tr>
        <w:trPr>
          <w:trHeight w:val="543" w:hRule="atLeast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1c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1.33*10</w:t>
            </w:r>
            <w:r>
              <w:rPr>
                <w:strike/>
                <w:vertAlign w:val="superscript"/>
              </w:rPr>
              <w:t>-6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173.0</w:t>
            </w:r>
          </w:p>
        </w:tc>
      </w:tr>
      <w:tr>
        <w:trPr>
          <w:trHeight w:val="543" w:hRule="atLeast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4-MeOС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TfO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1d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1.39*10</w:t>
            </w:r>
            <w:r>
              <w:rPr>
                <w:strike/>
                <w:vertAlign w:val="superscript"/>
              </w:rPr>
              <w:t>-8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187.1</w:t>
            </w:r>
          </w:p>
        </w:tc>
      </w:tr>
      <w:tr>
        <w:trPr>
          <w:trHeight w:val="543" w:hRule="atLeast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>TsO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2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1.39*10</w:t>
            </w:r>
            <w:r>
              <w:rPr>
                <w:strike/>
                <w:vertAlign w:val="superscript"/>
              </w:rPr>
              <w:t>-5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/>
              <w:t>131.7</w:t>
            </w:r>
          </w:p>
        </w:tc>
      </w:tr>
      <w:tr>
        <w:trPr>
          <w:trHeight w:val="543" w:hRule="atLeast"/>
        </w:trPr>
        <w:tc>
          <w:tcPr>
            <w:tcW w:w="299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</w:tcPr>
          <w:p>
            <w:pPr>
              <w:pStyle w:val="TCTableBody"/>
              <w:spacing w:before="0" w:after="200"/>
              <w:rPr/>
            </w:pPr>
            <w:r>
              <w:rPr>
                <w:szCs w:val="28"/>
              </w:rPr>
              <w:t>4-NO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bscript"/>
              </w:rPr>
              <w:t>6</w:t>
            </w:r>
            <w:r>
              <w:rPr>
                <w:szCs w:val="28"/>
              </w:rPr>
              <w:t>H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</w:rPr>
              <w:t>N</w:t>
            </w:r>
            <w:r>
              <w:rPr>
                <w:szCs w:val="28"/>
                <w:vertAlign w:val="subscript"/>
              </w:rPr>
              <w:t>2</w:t>
            </w:r>
            <w:r>
              <w:rPr>
                <w:szCs w:val="28"/>
                <w:vertAlign w:val="superscript"/>
              </w:rPr>
              <w:t>+</w:t>
            </w:r>
            <w:r>
              <w:rPr>
                <w:szCs w:val="28"/>
              </w:rPr>
              <w:t xml:space="preserve"> BF</w:t>
            </w:r>
            <w:r>
              <w:rPr>
                <w:szCs w:val="28"/>
                <w:vertAlign w:val="subscript"/>
              </w:rPr>
              <w:t>4</w:t>
            </w:r>
            <w:r>
              <w:rPr>
                <w:szCs w:val="28"/>
                <w:vertAlign w:val="superscript"/>
              </w:rPr>
              <w:t>-</w:t>
            </w:r>
            <w:r>
              <w:rPr>
                <w:b/>
                <w:szCs w:val="28"/>
              </w:rPr>
              <w:t>3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strike w:val="false"/>
                <w:dstrike w:val="false"/>
                <w:highlight w:val="yellow"/>
              </w:rPr>
              <w:t>.</w:t>
            </w:r>
          </w:p>
          <w:p>
            <w:pPr>
              <w:pStyle w:val="TCTableBody"/>
              <w:spacing w:before="0" w:after="200"/>
              <w:rPr>
                <w:strike/>
              </w:rPr>
            </w:pPr>
            <w:r>
              <w:rPr>
                <w:strike/>
              </w:rPr>
              <w:t>5.33*10</w:t>
            </w:r>
            <w:r>
              <w:rPr>
                <w:strike/>
                <w:vertAlign w:val="superscript"/>
              </w:rPr>
              <w:t>-6</w:t>
            </w:r>
          </w:p>
        </w:tc>
        <w:tc>
          <w:tcPr>
            <w:tcW w:w="20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FFFFFF" w:val="clear"/>
            <w:vAlign w:val="center"/>
          </w:tcPr>
          <w:p>
            <w:pPr>
              <w:pStyle w:val="TCTableBody"/>
              <w:spacing w:before="0" w:after="200"/>
              <w:rPr/>
            </w:pPr>
            <w:r>
              <w:rPr>
                <w:rFonts w:cs="Liberation Serif"/>
              </w:rPr>
              <w:t>140.3</w:t>
            </w:r>
          </w:p>
        </w:tc>
      </w:tr>
    </w:tbl>
    <w:p>
      <w:pPr>
        <w:pStyle w:val="FETableFootnote"/>
        <w:bidi w:val="0"/>
        <w:spacing w:before="0" w:after="170"/>
        <w:jc w:val="left"/>
        <w:rPr/>
      </w:pPr>
      <w:r>
        <w:rPr>
          <w:color w:val="000000"/>
          <w:highlight w:val="yellow"/>
        </w:rPr>
        <w:t>k</w:t>
      </w:r>
      <w:r>
        <w:rPr>
          <w:color w:val="000000"/>
          <w:highlight w:val="yellow"/>
          <w:vertAlign w:val="subscript"/>
        </w:rPr>
        <w:t>298</w:t>
      </w:r>
      <w:r>
        <w:rPr>
          <w:color w:val="000000"/>
          <w:highlight w:val="yellow"/>
        </w:rPr>
        <w:t xml:space="preserve"> – rate constant at 298 </w:t>
      </w:r>
      <w:r>
        <w:rPr>
          <w:color w:val="000000"/>
          <w:highlight w:val="yellow"/>
          <w:vertAlign w:val="superscript"/>
        </w:rPr>
        <w:t>о</w:t>
      </w:r>
      <w:r>
        <w:rPr>
          <w:color w:val="000000"/>
          <w:highlight w:val="yellow"/>
        </w:rPr>
        <w:t>K;  Ea — activation energy</w:t>
      </w:r>
    </w:p>
    <w:p>
      <w:pPr>
        <w:pStyle w:val="FETableFootnote"/>
        <w:bidi w:val="0"/>
        <w:spacing w:before="0" w:after="170"/>
        <w:ind w:hanging="0"/>
        <w:jc w:val="left"/>
        <w:rPr/>
      </w:pPr>
      <w:r>
        <w:rPr/>
      </w:r>
    </w:p>
    <w:p>
      <w:pPr>
        <w:pStyle w:val="TAMainText"/>
        <w:rPr/>
      </w:pPr>
      <w:r>
        <w:rPr/>
        <w:drawing>
          <wp:inline distT="0" distB="0" distL="0" distR="0">
            <wp:extent cx="5545455" cy="5469890"/>
            <wp:effectExtent l="0" t="0" r="0" b="0"/>
            <wp:docPr id="8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FigureCaption"/>
        <w:bidi w:val="0"/>
        <w:spacing w:before="0" w:after="170"/>
        <w:jc w:val="left"/>
        <w:rPr/>
      </w:pPr>
      <w:r>
        <w:rPr>
          <w:b/>
          <w:color w:val="000000"/>
          <w:highlight w:val="yellow"/>
        </w:rPr>
        <w:t>Figure 10.</w:t>
      </w:r>
      <w:r>
        <w:rPr>
          <w:color w:val="000000"/>
          <w:highlight w:val="yellow"/>
        </w:rPr>
        <w:t xml:space="preserve"> Results of the approximation of DS </w:t>
      </w:r>
      <w:r>
        <w:rPr>
          <w:b/>
          <w:color w:val="000000"/>
          <w:highlight w:val="yellow"/>
        </w:rPr>
        <w:t xml:space="preserve">1-3 </w:t>
      </w:r>
      <w:r>
        <w:rPr>
          <w:color w:val="000000"/>
          <w:highlight w:val="yellow"/>
        </w:rPr>
        <w:t>decomposition reactions with the Arrhenius equation</w:t>
      </w:r>
    </w:p>
    <w:p>
      <w:pPr>
        <w:pStyle w:val="VAFigureCaption"/>
        <w:bidi w:val="0"/>
        <w:spacing w:before="0" w:after="170"/>
        <w:jc w:val="left"/>
        <w:rPr>
          <w:b/>
          <w:b/>
          <w:bCs/>
        </w:rPr>
      </w:pPr>
      <w:r>
        <w:rPr>
          <w:b/>
          <w:bCs/>
          <w:color w:val="000000"/>
        </w:rPr>
        <w:t>***</w:t>
      </w:r>
    </w:p>
    <w:p>
      <w:pPr>
        <w:pStyle w:val="VAFigureCaption"/>
        <w:bidi w:val="0"/>
        <w:spacing w:before="0" w:after="17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athJax Math">
    <w:charset w:val="01"/>
    <w:family w:val="roman"/>
    <w:pitch w:val="variable"/>
  </w:font>
  <w:font w:name="Symbo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DemiLight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DemiLight" w:cs="FreeSans"/>
      <w:color w:val="00000A"/>
      <w:kern w:val="0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character" w:styleId="ListLabel48">
    <w:name w:val="ListLabel 48"/>
    <w:qFormat/>
    <w:rPr>
      <w:color w:val="auto"/>
      <w:highlight w:val="yellow"/>
    </w:rPr>
  </w:style>
  <w:style w:type="character" w:styleId="ListLabel49">
    <w:name w:val="ListLabel 49"/>
    <w:qFormat/>
    <w:rPr>
      <w:b w:val="false"/>
      <w:bCs w:val="false"/>
      <w:color w:val="auto"/>
      <w:highlight w:val="yellow"/>
    </w:rPr>
  </w:style>
  <w:style w:type="character" w:styleId="ListLabel50">
    <w:name w:val="ListLabel 50"/>
    <w:qFormat/>
    <w:rPr>
      <w:b w:val="false"/>
      <w:bCs w:val="false"/>
    </w:rPr>
  </w:style>
  <w:style w:type="character" w:styleId="ListLabel51">
    <w:name w:val="ListLabel 51"/>
    <w:qFormat/>
    <w:rPr>
      <w:color w:val="auto"/>
      <w:highlight w:val="yellow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 DemiLight" w:cs="FreeSans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  <w:style w:type="paragraph" w:styleId="Style2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AMainText">
    <w:name w:val="TA_Main_Text"/>
    <w:basedOn w:val="Normal"/>
    <w:qFormat/>
    <w:pPr>
      <w:spacing w:lineRule="auto" w:line="480" w:before="0" w:after="0"/>
      <w:ind w:firstLine="202"/>
    </w:pPr>
    <w:rPr/>
  </w:style>
  <w:style w:type="paragraph" w:styleId="VDTableTitle">
    <w:name w:val="VD_Table_Title"/>
    <w:basedOn w:val="Normal"/>
    <w:qFormat/>
    <w:pPr>
      <w:spacing w:lineRule="auto" w:line="480"/>
    </w:pPr>
    <w:rPr/>
  </w:style>
  <w:style w:type="paragraph" w:styleId="TCTableBody">
    <w:name w:val="TC_Table_Body"/>
    <w:basedOn w:val="Normal"/>
    <w:qFormat/>
    <w:pPr/>
    <w:rPr/>
  </w:style>
  <w:style w:type="paragraph" w:styleId="VAFigureCaption">
    <w:name w:val="VA_Figure_Caption"/>
    <w:basedOn w:val="Normal"/>
    <w:qFormat/>
    <w:pPr>
      <w:spacing w:lineRule="auto" w:line="480"/>
    </w:pPr>
    <w:rPr/>
  </w:style>
  <w:style w:type="paragraph" w:styleId="FETableFootnote">
    <w:name w:val="FE_Table_Footnote"/>
    <w:basedOn w:val="Normal"/>
    <w:qFormat/>
    <w:pPr>
      <w:ind w:firstLine="187"/>
    </w:pPr>
    <w:rPr/>
  </w:style>
  <w:style w:type="paragraph" w:styleId="FDSchemeFootnote">
    <w:name w:val="FD_Scheme_Footnote"/>
    <w:basedOn w:val="Normal"/>
    <w:qFormat/>
    <w:pPr>
      <w:ind w:firstLine="18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i.org/10.1021/ie8018615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doi.org/10.1021/ie8018615" TargetMode="External"/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169</TotalTime>
  <Application>LibreOffice/6.1.5.2$Linux_X86_64 LibreOffice_project/10$Build-2</Application>
  <Pages>10</Pages>
  <Words>1207</Words>
  <Characters>6855</Characters>
  <CharactersWithSpaces>7810</CharactersWithSpaces>
  <Paragraphs>316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2019-08-22T20:27:48Z</dcterms:modified>
  <cp:revision>38</cp:revision>
  <dc:subject/>
  <dc:title/>
</cp:coreProperties>
</file>