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C39" w:rsidRDefault="004935AD" w:rsidP="00CA0AB2">
      <w:pPr>
        <w:spacing w:line="360" w:lineRule="auto"/>
        <w:jc w:val="both"/>
        <w:rPr>
          <w:lang w:val="en-GB"/>
        </w:rPr>
      </w:pPr>
      <w:r>
        <w:rPr>
          <w:lang w:val="en-GB"/>
        </w:rPr>
        <w:t>Dear</w:t>
      </w:r>
      <w:r w:rsidR="00282E35">
        <w:rPr>
          <w:lang w:val="en-GB"/>
        </w:rPr>
        <w:t xml:space="preserve"> </w:t>
      </w:r>
      <w:proofErr w:type="spellStart"/>
      <w:r w:rsidR="00282E35">
        <w:rPr>
          <w:lang w:val="en-GB"/>
        </w:rPr>
        <w:t>Dr.</w:t>
      </w:r>
      <w:proofErr w:type="spellEnd"/>
      <w:r w:rsidR="00282E35">
        <w:rPr>
          <w:lang w:val="en-GB"/>
        </w:rPr>
        <w:t xml:space="preserve"> Kai </w:t>
      </w:r>
      <w:proofErr w:type="spellStart"/>
      <w:r w:rsidR="00282E35">
        <w:rPr>
          <w:lang w:val="en-GB"/>
        </w:rPr>
        <w:t>Rossen</w:t>
      </w:r>
      <w:proofErr w:type="spellEnd"/>
      <w:r>
        <w:rPr>
          <w:lang w:val="en-GB"/>
        </w:rPr>
        <w:t>,</w:t>
      </w:r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7A0C39" w:rsidRPr="00001DF8" w:rsidRDefault="00CA0AB2" w:rsidP="00CA0AB2">
      <w:pPr>
        <w:spacing w:line="360" w:lineRule="auto"/>
        <w:jc w:val="both"/>
        <w:rPr>
          <w:lang w:val="en-US"/>
        </w:rPr>
      </w:pPr>
      <w:r w:rsidRPr="00C236E4">
        <w:rPr>
          <w:lang w:val="en-GB"/>
        </w:rPr>
        <w:t xml:space="preserve">We ask you to consider the publication </w:t>
      </w:r>
      <w:r w:rsidRPr="00262C83">
        <w:rPr>
          <w:lang w:val="en-GB"/>
        </w:rPr>
        <w:t xml:space="preserve">of the manuscript </w:t>
      </w:r>
      <w:r w:rsidR="00282E35" w:rsidRPr="00262C83">
        <w:rPr>
          <w:lang w:val="en-GB"/>
        </w:rPr>
        <w:t xml:space="preserve">"The first study of the thermal and storage stability of </w:t>
      </w:r>
      <w:proofErr w:type="spellStart"/>
      <w:r w:rsidR="00282E35" w:rsidRPr="00262C83">
        <w:rPr>
          <w:lang w:val="en-GB"/>
        </w:rPr>
        <w:t>arenediazonium</w:t>
      </w:r>
      <w:proofErr w:type="spellEnd"/>
      <w:r w:rsidR="00282E35" w:rsidRPr="00262C83">
        <w:rPr>
          <w:lang w:val="en-GB"/>
        </w:rPr>
        <w:t xml:space="preserve"> </w:t>
      </w:r>
      <w:proofErr w:type="spellStart"/>
      <w:r w:rsidR="00282E35" w:rsidRPr="00262C83">
        <w:rPr>
          <w:lang w:val="en-GB"/>
        </w:rPr>
        <w:t>triflates</w:t>
      </w:r>
      <w:proofErr w:type="spellEnd"/>
      <w:r w:rsidR="00282E35" w:rsidRPr="00262C83">
        <w:rPr>
          <w:lang w:val="en-GB"/>
        </w:rPr>
        <w:t xml:space="preserve"> comparing to 4-nitrobenzenediazonium </w:t>
      </w:r>
      <w:proofErr w:type="spellStart"/>
      <w:r w:rsidR="00282E35" w:rsidRPr="00262C83">
        <w:rPr>
          <w:lang w:val="en-GB"/>
        </w:rPr>
        <w:t>tosylate</w:t>
      </w:r>
      <w:proofErr w:type="spellEnd"/>
      <w:r w:rsidR="00282E35" w:rsidRPr="00262C83">
        <w:rPr>
          <w:lang w:val="en-GB"/>
        </w:rPr>
        <w:t xml:space="preserve"> and </w:t>
      </w:r>
      <w:proofErr w:type="spellStart"/>
      <w:r w:rsidR="00282E35" w:rsidRPr="00262C83">
        <w:rPr>
          <w:lang w:val="en-GB"/>
        </w:rPr>
        <w:t>tetrafluoroborate</w:t>
      </w:r>
      <w:proofErr w:type="spellEnd"/>
      <w:r w:rsidR="00282E35" w:rsidRPr="00262C83">
        <w:rPr>
          <w:lang w:val="en-GB"/>
        </w:rPr>
        <w:t xml:space="preserve"> by calorimetric methods" </w:t>
      </w:r>
      <w:r w:rsidRPr="00262C83">
        <w:rPr>
          <w:lang w:val="en-GB"/>
        </w:rPr>
        <w:t>in</w:t>
      </w:r>
      <w:r w:rsidR="00282E35" w:rsidRPr="00262C83">
        <w:rPr>
          <w:lang w:val="en-GB"/>
        </w:rPr>
        <w:t xml:space="preserve"> </w:t>
      </w:r>
      <w:r w:rsidR="00282E35" w:rsidRPr="00262C83">
        <w:rPr>
          <w:rStyle w:val="11"/>
          <w:i w:val="0"/>
          <w:iCs w:val="0"/>
          <w:lang w:val="en-GB"/>
        </w:rPr>
        <w:t>Organic Process Research &amp; Development</w:t>
      </w:r>
      <w:r w:rsidR="00282E35" w:rsidRPr="00262C83">
        <w:rPr>
          <w:i/>
          <w:iCs/>
          <w:lang w:val="en-GB"/>
        </w:rPr>
        <w:t>.</w:t>
      </w:r>
      <w:bookmarkStart w:id="0" w:name="_GoBack"/>
      <w:bookmarkEnd w:id="0"/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9E7F2F" w:rsidRDefault="009E7F2F" w:rsidP="00CA0AB2">
      <w:pPr>
        <w:spacing w:line="360" w:lineRule="auto"/>
        <w:jc w:val="both"/>
        <w:rPr>
          <w:lang w:val="en-GB"/>
        </w:rPr>
      </w:pPr>
      <w:r>
        <w:rPr>
          <w:lang w:val="en-GB"/>
        </w:rPr>
        <w:t>Albeit being versatile substrates in organic chemistry, diazonium</w:t>
      </w:r>
      <w:r w:rsidRPr="00CA0AB2">
        <w:rPr>
          <w:lang w:val="en-US"/>
        </w:rPr>
        <w:t xml:space="preserve"> </w:t>
      </w:r>
      <w:r>
        <w:rPr>
          <w:lang w:val="en-GB"/>
        </w:rPr>
        <w:t xml:space="preserve">salts suffer from serious drawbacks limiting their application, especially on an industrial scale. In most cases, they are </w:t>
      </w:r>
      <w:r w:rsidRPr="009E7F2F">
        <w:rPr>
          <w:lang w:val="en-GB"/>
        </w:rPr>
        <w:t xml:space="preserve">unstable, explosive and cannot be stored </w:t>
      </w:r>
      <w:r>
        <w:rPr>
          <w:lang w:val="en-GB"/>
        </w:rPr>
        <w:t>as</w:t>
      </w:r>
      <w:r w:rsidRPr="009E7F2F">
        <w:rPr>
          <w:lang w:val="en-GB"/>
        </w:rPr>
        <w:t xml:space="preserve"> a dry </w:t>
      </w:r>
      <w:r>
        <w:rPr>
          <w:lang w:val="en-GB"/>
        </w:rPr>
        <w:t>solid</w:t>
      </w:r>
      <w:r w:rsidRPr="009E7F2F">
        <w:rPr>
          <w:lang w:val="en-GB"/>
        </w:rPr>
        <w:t xml:space="preserve"> under normal conditions</w:t>
      </w:r>
      <w:r>
        <w:rPr>
          <w:lang w:val="en-US"/>
        </w:rPr>
        <w:t>, whereas</w:t>
      </w:r>
      <w:r>
        <w:rPr>
          <w:lang w:val="en-GB"/>
        </w:rPr>
        <w:t xml:space="preserve"> t</w:t>
      </w:r>
      <w:r w:rsidRPr="009E7F2F">
        <w:rPr>
          <w:lang w:val="en-GB"/>
        </w:rPr>
        <w:t xml:space="preserve">he few known stable diazonium salts are too expensive for </w:t>
      </w:r>
      <w:r w:rsidR="003A5414">
        <w:rPr>
          <w:lang w:val="en-US"/>
        </w:rPr>
        <w:t xml:space="preserve">the </w:t>
      </w:r>
      <w:r w:rsidRPr="009E7F2F">
        <w:rPr>
          <w:lang w:val="en-GB"/>
        </w:rPr>
        <w:t>industrial use.</w:t>
      </w:r>
    </w:p>
    <w:p w:rsidR="000F17C1" w:rsidRDefault="000F17C1" w:rsidP="00CA0AB2">
      <w:pPr>
        <w:spacing w:line="360" w:lineRule="auto"/>
        <w:jc w:val="both"/>
        <w:rPr>
          <w:lang w:val="en-GB"/>
        </w:rPr>
      </w:pPr>
    </w:p>
    <w:p w:rsidR="00A016B0" w:rsidRPr="00A016B0" w:rsidRDefault="000A2884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 xml:space="preserve">Aiming to address these challenges, we have recently prepared and characterized </w:t>
      </w:r>
      <w:proofErr w:type="spellStart"/>
      <w:r>
        <w:rPr>
          <w:lang w:val="en-GB"/>
        </w:rPr>
        <w:t>arenediazonium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tosylates</w:t>
      </w:r>
      <w:proofErr w:type="spellEnd"/>
      <w:r>
        <w:rPr>
          <w:lang w:val="en-GB"/>
        </w:rPr>
        <w:t xml:space="preserve"> </w:t>
      </w:r>
      <w:r w:rsidRPr="00262C83">
        <w:rPr>
          <w:lang w:val="en-US"/>
        </w:rPr>
        <w:t>(</w:t>
      </w:r>
      <w:proofErr w:type="spellStart"/>
      <w:r w:rsidRPr="00262C83">
        <w:rPr>
          <w:lang w:val="en-US"/>
        </w:rPr>
        <w:t>Org.Lett</w:t>
      </w:r>
      <w:proofErr w:type="spellEnd"/>
      <w:r w:rsidR="00262C83" w:rsidRPr="00262C83">
        <w:rPr>
          <w:lang w:val="en-US"/>
        </w:rPr>
        <w:t xml:space="preserve"> </w:t>
      </w:r>
      <w:r w:rsidR="00262C83" w:rsidRPr="00262C83">
        <w:rPr>
          <w:b/>
          <w:lang w:val="en-US"/>
        </w:rPr>
        <w:t>2008</w:t>
      </w:r>
      <w:r w:rsidR="00262C83" w:rsidRPr="00262C83">
        <w:rPr>
          <w:lang w:val="en-US"/>
        </w:rPr>
        <w:t xml:space="preserve">, </w:t>
      </w:r>
      <w:r w:rsidR="00262C83" w:rsidRPr="00262C83">
        <w:rPr>
          <w:i/>
          <w:lang w:val="en-US"/>
        </w:rPr>
        <w:t>10</w:t>
      </w:r>
      <w:r w:rsidR="00262C83" w:rsidRPr="00262C83">
        <w:rPr>
          <w:lang w:val="en-US"/>
        </w:rPr>
        <w:t>, 3961-3964</w:t>
      </w:r>
      <w:r w:rsidRPr="00262C83">
        <w:rPr>
          <w:lang w:val="en-US"/>
        </w:rPr>
        <w:t xml:space="preserve">) </w:t>
      </w:r>
      <w:r w:rsidRPr="00262C83">
        <w:rPr>
          <w:lang w:val="en-GB"/>
        </w:rPr>
        <w:t xml:space="preserve">and </w:t>
      </w:r>
      <w:proofErr w:type="spellStart"/>
      <w:r w:rsidRPr="00262C83">
        <w:rPr>
          <w:lang w:val="en-GB"/>
        </w:rPr>
        <w:t>triflates</w:t>
      </w:r>
      <w:proofErr w:type="spellEnd"/>
      <w:r w:rsidRPr="00262C83">
        <w:rPr>
          <w:lang w:val="en-GB"/>
        </w:rPr>
        <w:t xml:space="preserve"> </w:t>
      </w:r>
      <w:r w:rsidRPr="00262C83">
        <w:rPr>
          <w:lang w:val="en-US"/>
        </w:rPr>
        <w:t>(</w:t>
      </w:r>
      <w:proofErr w:type="spellStart"/>
      <w:r w:rsidRPr="00262C83">
        <w:rPr>
          <w:lang w:val="en-US"/>
        </w:rPr>
        <w:t>Eur.J.Org.Chem</w:t>
      </w:r>
      <w:proofErr w:type="spellEnd"/>
      <w:r w:rsidR="00262C83" w:rsidRPr="00262C83">
        <w:rPr>
          <w:lang w:val="en-US"/>
        </w:rPr>
        <w:t xml:space="preserve"> </w:t>
      </w:r>
      <w:r w:rsidR="00262C83" w:rsidRPr="00262C83">
        <w:rPr>
          <w:b/>
          <w:lang w:val="en-US"/>
        </w:rPr>
        <w:t>2019</w:t>
      </w:r>
      <w:r w:rsidR="00262C83" w:rsidRPr="00262C83">
        <w:rPr>
          <w:lang w:val="en-US"/>
        </w:rPr>
        <w:t>, 665-674</w:t>
      </w:r>
      <w:r w:rsidRPr="00262C83">
        <w:rPr>
          <w:lang w:val="en-US"/>
        </w:rPr>
        <w:t>) that appeare</w:t>
      </w:r>
      <w:r>
        <w:rPr>
          <w:lang w:val="en-US"/>
        </w:rPr>
        <w:t xml:space="preserve">d to be highly reactive as well as stable </w:t>
      </w:r>
      <w:r w:rsidRPr="009E7F2F">
        <w:rPr>
          <w:lang w:val="en-GB"/>
        </w:rPr>
        <w:t>under normal conditions</w:t>
      </w:r>
      <w:r>
        <w:rPr>
          <w:lang w:val="en-GB"/>
        </w:rPr>
        <w:t>. Importantly</w:t>
      </w:r>
      <w:r w:rsidRPr="000A2884">
        <w:rPr>
          <w:lang w:val="en-GB"/>
        </w:rPr>
        <w:t xml:space="preserve">, </w:t>
      </w:r>
      <w:r>
        <w:rPr>
          <w:lang w:val="en-US"/>
        </w:rPr>
        <w:t>they can be easily synthesized and are inexpensive, therefore, have high chances to be widely used in industry. However</w:t>
      </w:r>
      <w:r w:rsidR="00A016B0">
        <w:rPr>
          <w:lang w:val="en-US"/>
        </w:rPr>
        <w:t xml:space="preserve">, </w:t>
      </w:r>
      <w:r w:rsidR="003A5414">
        <w:rPr>
          <w:lang w:val="en-US"/>
        </w:rPr>
        <w:t xml:space="preserve">in order to achieve this, </w:t>
      </w:r>
      <w:r w:rsidR="00A016B0">
        <w:rPr>
          <w:lang w:val="en-US"/>
        </w:rPr>
        <w:t xml:space="preserve">their stability and safety should be studied </w:t>
      </w:r>
      <w:r w:rsidR="00A016B0" w:rsidRPr="00A016B0">
        <w:rPr>
          <w:lang w:val="en-US"/>
        </w:rPr>
        <w:t>systematic</w:t>
      </w:r>
      <w:r w:rsidR="00A016B0">
        <w:rPr>
          <w:lang w:val="en-US"/>
        </w:rPr>
        <w:t>ally</w:t>
      </w:r>
      <w:r w:rsidR="00A016B0" w:rsidRPr="00A016B0">
        <w:rPr>
          <w:lang w:val="en-US"/>
        </w:rPr>
        <w:t xml:space="preserve"> and quantitativ</w:t>
      </w:r>
      <w:r w:rsidR="00A016B0">
        <w:rPr>
          <w:lang w:val="en-US"/>
        </w:rPr>
        <w:t xml:space="preserve">ely. The latter is the main goal of the </w:t>
      </w:r>
      <w:r w:rsidR="00A016B0" w:rsidRPr="00C236E4">
        <w:rPr>
          <w:lang w:val="en-GB"/>
        </w:rPr>
        <w:t>manuscript</w:t>
      </w:r>
      <w:r w:rsidR="00A016B0">
        <w:rPr>
          <w:lang w:val="en-GB"/>
        </w:rPr>
        <w:t xml:space="preserve"> </w:t>
      </w:r>
      <w:r w:rsidR="00A016B0">
        <w:rPr>
          <w:lang w:val="en-US"/>
        </w:rPr>
        <w:t>proposed for</w:t>
      </w:r>
      <w:r w:rsidR="003A5414">
        <w:rPr>
          <w:lang w:val="en-US"/>
        </w:rPr>
        <w:t xml:space="preserve"> the</w:t>
      </w:r>
      <w:r w:rsidR="00A016B0">
        <w:rPr>
          <w:lang w:val="en-US"/>
        </w:rPr>
        <w:t xml:space="preserve"> consideration.</w:t>
      </w:r>
    </w:p>
    <w:p w:rsidR="00CA0AB2" w:rsidRDefault="00CA0AB2" w:rsidP="00CA0AB2">
      <w:pPr>
        <w:spacing w:line="360" w:lineRule="auto"/>
        <w:jc w:val="both"/>
        <w:rPr>
          <w:lang w:val="en-US"/>
        </w:rPr>
      </w:pPr>
    </w:p>
    <w:p w:rsidR="004901A4" w:rsidRDefault="004901A4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Our original endeavor to use the known methods in order to conduct the studies required was not successful as, surprisingly, </w:t>
      </w:r>
      <w:r w:rsidRPr="004901A4">
        <w:rPr>
          <w:lang w:val="en-US"/>
        </w:rPr>
        <w:t>generally accepted and standardized methods for assessing safety and storage stability of diazonium salts</w:t>
      </w:r>
      <w:r>
        <w:rPr>
          <w:lang w:val="en-US"/>
        </w:rPr>
        <w:t xml:space="preserve"> are not available</w:t>
      </w:r>
      <w:r w:rsidRPr="004901A4">
        <w:rPr>
          <w:lang w:val="en-US"/>
        </w:rPr>
        <w:t>.</w:t>
      </w:r>
    </w:p>
    <w:p w:rsidR="004901A4" w:rsidRDefault="004901A4" w:rsidP="00CA0AB2">
      <w:pPr>
        <w:spacing w:line="360" w:lineRule="auto"/>
        <w:jc w:val="both"/>
        <w:rPr>
          <w:lang w:val="en-US"/>
        </w:rPr>
      </w:pPr>
    </w:p>
    <w:p w:rsidR="004901A4" w:rsidRPr="004901A4" w:rsidRDefault="004901A4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Therefore, herein, for the first time we have </w:t>
      </w:r>
      <w:proofErr w:type="spellStart"/>
      <w:r>
        <w:rPr>
          <w:lang w:val="en-US"/>
        </w:rPr>
        <w:t>quantitively</w:t>
      </w:r>
      <w:proofErr w:type="spellEnd"/>
      <w:r>
        <w:rPr>
          <w:lang w:val="en-US"/>
        </w:rPr>
        <w:t xml:space="preserve"> assessed the storage stability of some </w:t>
      </w:r>
      <w:proofErr w:type="spellStart"/>
      <w:r>
        <w:rPr>
          <w:lang w:val="en-GB"/>
        </w:rPr>
        <w:t>arenediazonium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triflates</w:t>
      </w:r>
      <w:proofErr w:type="spellEnd"/>
      <w:r>
        <w:rPr>
          <w:lang w:val="en-GB"/>
        </w:rPr>
        <w:t xml:space="preserve"> comparing to </w:t>
      </w:r>
      <w:proofErr w:type="spellStart"/>
      <w:r>
        <w:rPr>
          <w:lang w:val="en-GB"/>
        </w:rPr>
        <w:t>arenediazonium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tosylate</w:t>
      </w:r>
      <w:proofErr w:type="spellEnd"/>
      <w:r>
        <w:rPr>
          <w:lang w:val="en-GB"/>
        </w:rPr>
        <w:t xml:space="preserve"> and </w:t>
      </w:r>
      <w:r>
        <w:rPr>
          <w:lang w:val="en-US"/>
        </w:rPr>
        <w:t xml:space="preserve">tetrafluoroborate using isothermal flow calorimetry and DSC/TGA. We have determined </w:t>
      </w:r>
      <w:r w:rsidR="00215D9F">
        <w:rPr>
          <w:lang w:val="en-US"/>
        </w:rPr>
        <w:t>diazonium salt</w:t>
      </w:r>
      <w:r>
        <w:rPr>
          <w:lang w:val="en-US"/>
        </w:rPr>
        <w:t xml:space="preserve"> decomposition energies and proposed possible mechanism of the processes observed. As a result, we have shown that indeed, </w:t>
      </w:r>
      <w:proofErr w:type="spellStart"/>
      <w:r>
        <w:rPr>
          <w:lang w:val="en-GB"/>
        </w:rPr>
        <w:t>arenediazonium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triflates</w:t>
      </w:r>
      <w:proofErr w:type="spellEnd"/>
      <w:r>
        <w:rPr>
          <w:lang w:val="en-GB"/>
        </w:rPr>
        <w:t xml:space="preserve"> are significantly more stable and safe comparing to widely used </w:t>
      </w:r>
      <w:proofErr w:type="spellStart"/>
      <w:r>
        <w:rPr>
          <w:lang w:val="en-GB"/>
        </w:rPr>
        <w:t>arenediazonium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tetrafluoroborates</w:t>
      </w:r>
      <w:proofErr w:type="spellEnd"/>
      <w:r>
        <w:rPr>
          <w:lang w:val="en-US"/>
        </w:rPr>
        <w:t>.</w:t>
      </w:r>
    </w:p>
    <w:p w:rsidR="004901A4" w:rsidRDefault="004901A4" w:rsidP="00CA0AB2">
      <w:pPr>
        <w:spacing w:line="360" w:lineRule="auto"/>
        <w:jc w:val="both"/>
        <w:rPr>
          <w:lang w:val="en-US"/>
        </w:rPr>
      </w:pPr>
    </w:p>
    <w:p w:rsidR="004901A4" w:rsidRDefault="004901A4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The</w:t>
      </w:r>
      <w:r w:rsidR="00215D9F">
        <w:rPr>
          <w:lang w:val="en-US"/>
        </w:rPr>
        <w:t xml:space="preserve"> given</w:t>
      </w:r>
      <w:r>
        <w:rPr>
          <w:lang w:val="en-US"/>
        </w:rPr>
        <w:t xml:space="preserve"> approach </w:t>
      </w:r>
      <w:r w:rsidR="00215D9F">
        <w:rPr>
          <w:lang w:val="en-US"/>
        </w:rPr>
        <w:t xml:space="preserve">can be proposed as a standard procedure for the quantitative analysis of the storage stability and explosiveness of </w:t>
      </w:r>
      <w:r w:rsidR="00215D9F" w:rsidRPr="00215D9F">
        <w:rPr>
          <w:lang w:val="en-US"/>
        </w:rPr>
        <w:t>a wide range of aromatic diazonium salts.</w:t>
      </w:r>
      <w:r w:rsidR="00215D9F">
        <w:rPr>
          <w:lang w:val="en-US"/>
        </w:rPr>
        <w:t xml:space="preserve"> </w:t>
      </w:r>
    </w:p>
    <w:p w:rsidR="00215D9F" w:rsidRPr="004901A4" w:rsidRDefault="00215D9F" w:rsidP="00CA0AB2">
      <w:pPr>
        <w:spacing w:line="360" w:lineRule="auto"/>
        <w:jc w:val="both"/>
        <w:rPr>
          <w:lang w:val="en-US"/>
        </w:rPr>
      </w:pPr>
    </w:p>
    <w:p w:rsidR="00820462" w:rsidRDefault="00215D9F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We</w:t>
      </w:r>
      <w:r w:rsidRPr="00215D9F">
        <w:rPr>
          <w:lang w:val="en-US"/>
        </w:rPr>
        <w:t xml:space="preserve"> </w:t>
      </w:r>
      <w:r>
        <w:rPr>
          <w:lang w:val="en-US"/>
        </w:rPr>
        <w:t>believe</w:t>
      </w:r>
      <w:r w:rsidRPr="00215D9F">
        <w:rPr>
          <w:lang w:val="en-US"/>
        </w:rPr>
        <w:t xml:space="preserve"> </w:t>
      </w:r>
      <w:r>
        <w:rPr>
          <w:lang w:val="en-US"/>
        </w:rPr>
        <w:t>that</w:t>
      </w:r>
      <w:r w:rsidRPr="00215D9F">
        <w:rPr>
          <w:lang w:val="en-US"/>
        </w:rPr>
        <w:t xml:space="preserve"> </w:t>
      </w:r>
      <w:r>
        <w:rPr>
          <w:lang w:val="en-US"/>
        </w:rPr>
        <w:t>our</w:t>
      </w:r>
      <w:r w:rsidRPr="00215D9F">
        <w:rPr>
          <w:lang w:val="en-US"/>
        </w:rPr>
        <w:t xml:space="preserve"> </w:t>
      </w:r>
      <w:r>
        <w:rPr>
          <w:lang w:val="en-US"/>
        </w:rPr>
        <w:t xml:space="preserve">results would be attractive for chemists working in both academia and </w:t>
      </w:r>
      <w:r w:rsidRPr="00215D9F">
        <w:rPr>
          <w:lang w:val="en-US"/>
        </w:rPr>
        <w:t>industr</w:t>
      </w:r>
      <w:r>
        <w:rPr>
          <w:lang w:val="en-US"/>
        </w:rPr>
        <w:t>y</w:t>
      </w:r>
      <w:r w:rsidR="00820462">
        <w:rPr>
          <w:lang w:val="en-US"/>
        </w:rPr>
        <w:t xml:space="preserve">. As such, we hope that our paper would contribute to the discovery of new application </w:t>
      </w:r>
      <w:r w:rsidR="00820462">
        <w:rPr>
          <w:lang w:val="en-US"/>
        </w:rPr>
        <w:lastRenderedPageBreak/>
        <w:t xml:space="preserve">areas of diazonium salts, intensify their usage and increase </w:t>
      </w:r>
      <w:r w:rsidR="00820462" w:rsidRPr="00820462">
        <w:rPr>
          <w:lang w:val="en-US"/>
        </w:rPr>
        <w:t>safety wh</w:t>
      </w:r>
      <w:r w:rsidR="00820462">
        <w:rPr>
          <w:lang w:val="en-US"/>
        </w:rPr>
        <w:t>ile</w:t>
      </w:r>
      <w:r w:rsidR="00820462" w:rsidRPr="00820462">
        <w:rPr>
          <w:lang w:val="en-US"/>
        </w:rPr>
        <w:t xml:space="preserve"> </w:t>
      </w:r>
      <w:r w:rsidR="00820462">
        <w:rPr>
          <w:lang w:val="en-US"/>
        </w:rPr>
        <w:t>handling</w:t>
      </w:r>
      <w:r w:rsidR="00820462" w:rsidRPr="00820462">
        <w:rPr>
          <w:lang w:val="en-US"/>
        </w:rPr>
        <w:t xml:space="preserve"> these </w:t>
      </w:r>
      <w:r w:rsidR="00820462">
        <w:rPr>
          <w:lang w:val="en-US"/>
        </w:rPr>
        <w:t>compounds</w:t>
      </w:r>
      <w:r w:rsidR="00820462" w:rsidRPr="00820462">
        <w:rPr>
          <w:lang w:val="en-US"/>
        </w:rPr>
        <w:t>.</w:t>
      </w:r>
    </w:p>
    <w:p w:rsidR="007A0C39" w:rsidRPr="003A5414" w:rsidRDefault="007A0C39" w:rsidP="00CA0AB2">
      <w:pPr>
        <w:spacing w:line="360" w:lineRule="auto"/>
        <w:jc w:val="both"/>
        <w:rPr>
          <w:lang w:val="en-US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>We confirm that this manuscript has not been published elsewhere and is not under consideration by another journal.</w:t>
      </w:r>
    </w:p>
    <w:p w:rsidR="00820462" w:rsidRDefault="00820462" w:rsidP="00CA0AB2">
      <w:pPr>
        <w:spacing w:line="360" w:lineRule="auto"/>
        <w:jc w:val="both"/>
        <w:rPr>
          <w:lang w:val="en-US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 xml:space="preserve">All authors have approved the manuscript and agree with its submission to </w:t>
      </w:r>
      <w:r>
        <w:rPr>
          <w:rStyle w:val="11"/>
          <w:highlight w:val="yellow"/>
          <w:lang w:val="en-GB"/>
        </w:rPr>
        <w:t>Organic Process Research &amp; Development</w:t>
      </w:r>
      <w:r>
        <w:rPr>
          <w:highlight w:val="yellow"/>
          <w:lang w:val="en-GB"/>
        </w:rPr>
        <w:t>.</w:t>
      </w:r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7A0C39" w:rsidRPr="00F7359E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 xml:space="preserve">Please address all correspondence to: </w:t>
      </w:r>
      <w:r>
        <w:rPr>
          <w:lang w:val="en-US"/>
        </w:rPr>
        <w:t xml:space="preserve">Alexander </w:t>
      </w:r>
      <w:proofErr w:type="spellStart"/>
      <w:r>
        <w:rPr>
          <w:lang w:val="en-US"/>
        </w:rPr>
        <w:t>Bondarev</w:t>
      </w:r>
      <w:proofErr w:type="spellEnd"/>
      <w:r>
        <w:rPr>
          <w:lang w:val="en-US"/>
        </w:rPr>
        <w:t xml:space="preserve">, </w:t>
      </w:r>
      <w:hyperlink r:id="rId5" w:history="1">
        <w:r w:rsidR="00F7359E" w:rsidRPr="009051EF">
          <w:rPr>
            <w:rStyle w:val="a8"/>
            <w:lang w:val="en-US"/>
          </w:rPr>
          <w:t>Alexander.A.Bondarev@gmail.com</w:t>
        </w:r>
      </w:hyperlink>
      <w:r w:rsidR="00F7359E" w:rsidRPr="00F7359E">
        <w:rPr>
          <w:rStyle w:val="-"/>
          <w:u w:val="none"/>
          <w:lang w:val="en-US"/>
        </w:rPr>
        <w:t xml:space="preserve"> </w:t>
      </w:r>
      <w:r w:rsidR="00F7359E" w:rsidRPr="00820462">
        <w:rPr>
          <w:rStyle w:val="-"/>
          <w:color w:val="auto"/>
          <w:u w:val="none"/>
          <w:lang w:val="en-US"/>
        </w:rPr>
        <w:t>and</w:t>
      </w:r>
      <w:r w:rsidR="00F7359E" w:rsidRPr="00F7359E">
        <w:rPr>
          <w:rStyle w:val="-"/>
          <w:u w:val="none"/>
          <w:lang w:val="en-US"/>
        </w:rPr>
        <w:t xml:space="preserve"> </w:t>
      </w:r>
      <w:r w:rsidR="00F7359E">
        <w:rPr>
          <w:lang w:val="en-GB"/>
        </w:rPr>
        <w:t xml:space="preserve">Prof. </w:t>
      </w:r>
      <w:proofErr w:type="spellStart"/>
      <w:r w:rsidR="00F7359E">
        <w:rPr>
          <w:lang w:val="en-GB"/>
        </w:rPr>
        <w:t>Dr.</w:t>
      </w:r>
      <w:proofErr w:type="spellEnd"/>
      <w:r w:rsidR="00F7359E">
        <w:rPr>
          <w:lang w:val="en-GB"/>
        </w:rPr>
        <w:t xml:space="preserve"> Victor </w:t>
      </w:r>
      <w:proofErr w:type="spellStart"/>
      <w:r w:rsidR="00F7359E">
        <w:rPr>
          <w:lang w:val="en-GB"/>
        </w:rPr>
        <w:t>Filimonov</w:t>
      </w:r>
      <w:proofErr w:type="spellEnd"/>
      <w:r w:rsidR="00F7359E">
        <w:rPr>
          <w:lang w:val="en-GB"/>
        </w:rPr>
        <w:t>, e-mail: filimonov@tpu.ru</w:t>
      </w:r>
      <w:hyperlink>
        <w:r w:rsidR="00F7359E">
          <w:rPr>
            <w:lang w:val="en-GB"/>
          </w:rPr>
          <w:t xml:space="preserve"> </w:t>
        </w:r>
      </w:hyperlink>
      <w:r w:rsidR="00F7359E">
        <w:rPr>
          <w:lang w:val="en-GB"/>
        </w:rPr>
        <w:t>and</w:t>
      </w:r>
    </w:p>
    <w:p w:rsidR="00820462" w:rsidRDefault="00820462" w:rsidP="00CA0AB2">
      <w:pPr>
        <w:spacing w:line="360" w:lineRule="auto"/>
        <w:jc w:val="both"/>
        <w:rPr>
          <w:lang w:val="en-GB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>We look forward to hearing from you at your earliest convenience.</w:t>
      </w:r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7A0C39" w:rsidRDefault="00820462" w:rsidP="00CA0AB2">
      <w:pPr>
        <w:spacing w:line="360" w:lineRule="auto"/>
        <w:jc w:val="both"/>
        <w:rPr>
          <w:lang w:val="en-GB"/>
        </w:rPr>
      </w:pPr>
      <w:r>
        <w:rPr>
          <w:lang w:val="en-GB"/>
        </w:rPr>
        <w:t>On behalf of all authors</w:t>
      </w:r>
    </w:p>
    <w:p w:rsidR="00820462" w:rsidRDefault="00820462" w:rsidP="00CA0AB2">
      <w:pPr>
        <w:spacing w:line="360" w:lineRule="auto"/>
        <w:jc w:val="both"/>
        <w:rPr>
          <w:lang w:val="en-GB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>Yours sincerely,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 xml:space="preserve">Victor </w:t>
      </w:r>
      <w:proofErr w:type="spellStart"/>
      <w:r>
        <w:rPr>
          <w:lang w:val="en-GB"/>
        </w:rPr>
        <w:t>Filimonov</w:t>
      </w:r>
      <w:proofErr w:type="spellEnd"/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Kizhner</w:t>
      </w:r>
      <w:proofErr w:type="spellEnd"/>
      <w:r>
        <w:rPr>
          <w:lang w:val="en-US"/>
        </w:rPr>
        <w:t xml:space="preserve"> Research Center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School of Advanced Manufacturing Technologies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National Research Tomsk Polytechnic University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Tomsk, 634050 Russia</w:t>
      </w:r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rStyle w:val="-"/>
          <w:u w:val="none"/>
          <w:lang w:val="en-US"/>
        </w:rPr>
        <w:t>filimonov@tpu.ru</w:t>
      </w:r>
      <w:r>
        <w:rPr>
          <w:lang w:val="en-US"/>
        </w:rPr>
        <w:t xml:space="preserve"> </w:t>
      </w:r>
    </w:p>
    <w:p w:rsidR="007A0C39" w:rsidRDefault="007A0C39" w:rsidP="00CA0AB2">
      <w:pPr>
        <w:spacing w:line="360" w:lineRule="auto"/>
        <w:jc w:val="both"/>
        <w:rPr>
          <w:lang w:val="en-US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Alexander Bondarev,</w:t>
      </w:r>
    </w:p>
    <w:p w:rsidR="007A0C39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The Scientific Research Institute of Biological Medicine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 w:rsidRPr="00001DF8">
        <w:rPr>
          <w:lang w:val="en-US"/>
        </w:rPr>
        <w:t>Altai State University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 w:rsidRPr="00001DF8">
        <w:rPr>
          <w:lang w:val="en-US"/>
        </w:rPr>
        <w:t>Barnaul, 656049 Russia</w:t>
      </w:r>
    </w:p>
    <w:p w:rsidR="007A0C39" w:rsidRPr="00001DF8" w:rsidRDefault="007A0C39" w:rsidP="00CA0AB2">
      <w:pPr>
        <w:spacing w:line="360" w:lineRule="auto"/>
        <w:jc w:val="both"/>
        <w:rPr>
          <w:lang w:val="en-US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 w:rsidRPr="00001DF8">
        <w:rPr>
          <w:rStyle w:val="-"/>
          <w:u w:val="none"/>
          <w:lang w:val="en-US"/>
        </w:rPr>
        <w:t>Alexander.A.Bondarev@gmail.com</w:t>
      </w:r>
    </w:p>
    <w:sectPr w:rsidR="007A0C39" w:rsidRPr="00001DF8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DemiLight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C39"/>
    <w:rsid w:val="00001DF8"/>
    <w:rsid w:val="000A2884"/>
    <w:rsid w:val="000F17C1"/>
    <w:rsid w:val="00215D9F"/>
    <w:rsid w:val="00262C83"/>
    <w:rsid w:val="00282E35"/>
    <w:rsid w:val="003A5414"/>
    <w:rsid w:val="00465A53"/>
    <w:rsid w:val="004901A4"/>
    <w:rsid w:val="004935AD"/>
    <w:rsid w:val="007A0C39"/>
    <w:rsid w:val="00820462"/>
    <w:rsid w:val="009E7F2F"/>
    <w:rsid w:val="00A016B0"/>
    <w:rsid w:val="00C024C3"/>
    <w:rsid w:val="00CA0AB2"/>
    <w:rsid w:val="00F305CF"/>
    <w:rsid w:val="00F7359E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EF5"/>
    <w:rPr>
      <w:color w:val="00000A"/>
      <w:sz w:val="24"/>
      <w:szCs w:val="24"/>
    </w:rPr>
  </w:style>
  <w:style w:type="paragraph" w:styleId="1">
    <w:name w:val="heading 1"/>
    <w:basedOn w:val="10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Выделение жирным"/>
    <w:qFormat/>
    <w:rPr>
      <w:b/>
      <w:bCs/>
    </w:rPr>
  </w:style>
  <w:style w:type="character" w:customStyle="1" w:styleId="11">
    <w:name w:val="Цитата1"/>
    <w:qFormat/>
    <w:rPr>
      <w:i/>
      <w:iCs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 DemiLight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character" w:styleId="a8">
    <w:name w:val="Hyperlink"/>
    <w:basedOn w:val="a0"/>
    <w:rsid w:val="00F735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EF5"/>
    <w:rPr>
      <w:color w:val="00000A"/>
      <w:sz w:val="24"/>
      <w:szCs w:val="24"/>
    </w:rPr>
  </w:style>
  <w:style w:type="paragraph" w:styleId="1">
    <w:name w:val="heading 1"/>
    <w:basedOn w:val="10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Выделение жирным"/>
    <w:qFormat/>
    <w:rPr>
      <w:b/>
      <w:bCs/>
    </w:rPr>
  </w:style>
  <w:style w:type="character" w:customStyle="1" w:styleId="11">
    <w:name w:val="Цитата1"/>
    <w:qFormat/>
    <w:rPr>
      <w:i/>
      <w:iCs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 DemiLight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character" w:styleId="a8">
    <w:name w:val="Hyperlink"/>
    <w:basedOn w:val="a0"/>
    <w:rsid w:val="00F73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ander.A.Bondar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Dear Professor Roger Narayan,</vt:lpstr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Professor Roger Narayan,</dc:title>
  <dc:subject/>
  <dc:creator>user343</dc:creator>
  <dc:description/>
  <cp:lastModifiedBy>Viktor D. Filimonov</cp:lastModifiedBy>
  <cp:revision>8</cp:revision>
  <dcterms:created xsi:type="dcterms:W3CDTF">2019-06-25T07:13:00Z</dcterms:created>
  <dcterms:modified xsi:type="dcterms:W3CDTF">2019-07-02T11:30:00Z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