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jc w:val="center"/>
        <w:rPr/>
      </w:pPr>
      <w:r>
        <w:rPr>
          <w:lang w:val="en-US"/>
        </w:rPr>
        <w:t>The first study of the thermal and storage stability of arenediazonium triflates comparing to 4-nitrobenzenediazonium tosylate and tetrafluoroborate by calorimetric methods</w:t>
      </w:r>
    </w:p>
    <w:p>
      <w:pPr>
        <w:pStyle w:val="Normal"/>
        <w:rPr>
          <w:lang w:val="en-US"/>
        </w:rPr>
      </w:pPr>
      <w:r>
        <w:rPr>
          <w:lang w:val="en-US"/>
        </w:rPr>
        <w:t>Alexander A. Bondarev</w:t>
      </w:r>
      <w:r>
        <w:rPr>
          <w:vertAlign w:val="superscript"/>
          <w:lang w:val="en-US"/>
        </w:rPr>
        <w:t>1</w:t>
      </w:r>
      <w:r>
        <w:rPr>
          <w:lang w:val="en-US"/>
        </w:rPr>
        <w:t>, Evgeny V. Naumov</w:t>
      </w:r>
      <w:r>
        <w:rPr>
          <w:vertAlign w:val="superscript"/>
          <w:lang w:val="en-US"/>
        </w:rPr>
        <w:t>1</w:t>
      </w:r>
      <w:r>
        <w:rPr>
          <w:lang w:val="en-US"/>
        </w:rPr>
        <w:t>, Assiya Zh. Kassanova</w:t>
      </w:r>
      <w:r>
        <w:rPr>
          <w:vertAlign w:val="superscript"/>
          <w:lang w:val="en-US"/>
        </w:rPr>
        <w:t>2</w:t>
      </w:r>
      <w:r>
        <w:rPr>
          <w:lang w:val="en-US"/>
        </w:rPr>
        <w:t>, Elena A. Krasnokutskaya</w:t>
      </w:r>
      <w:r>
        <w:rPr>
          <w:vertAlign w:val="superscript"/>
          <w:lang w:val="en-US"/>
        </w:rPr>
        <w:t>3</w:t>
      </w:r>
      <w:r>
        <w:rPr>
          <w:lang w:val="en-US"/>
        </w:rPr>
        <w:t>, Ksenia S. Stankevich</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lang w:val="en-US"/>
        </w:rPr>
      </w:pPr>
      <w:r>
        <w:rPr>
          <w:vertAlign w:val="superscript"/>
          <w:lang w:val="en-US"/>
        </w:rPr>
        <w:t>2 </w:t>
      </w:r>
      <w:r>
        <w:rPr>
          <w:lang w:val="en-US"/>
        </w:rPr>
        <w:t>S. Toraighyrov Pavlodar State University, Pavlodar, Kazakhstan</w:t>
      </w:r>
    </w:p>
    <w:p>
      <w:pPr>
        <w:pStyle w:val="Normal"/>
        <w:ind w:left="510" w:hanging="113"/>
        <w:rPr>
          <w:rFonts w:eastAsia="Liberation Serif" w:cs="Liberation Serif"/>
          <w:lang w:val="en-US"/>
        </w:rPr>
      </w:pPr>
      <w:r>
        <w:rPr>
          <w:vertAlign w:val="superscript"/>
          <w:lang w:val="en-US"/>
        </w:rPr>
        <w:t>3 </w:t>
      </w:r>
      <w:r>
        <w:rPr>
          <w:rFonts w:eastAsia="Liberation Serif" w:cs="Liberation Serif"/>
          <w:lang w:val="en-US"/>
        </w:rPr>
        <w:t>The Kizhner Research Center,</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Normal"/>
        <w:ind w:left="510" w:hanging="113"/>
        <w:rPr>
          <w:lang w:val="en-US"/>
        </w:rPr>
      </w:pPr>
      <w:r>
        <w:rPr>
          <w:lang w:val="en-US"/>
        </w:rPr>
      </w:r>
    </w:p>
    <w:p>
      <w:pPr>
        <w:pStyle w:val="1"/>
        <w:numPr>
          <w:ilvl w:val="0"/>
          <w:numId w:val="0"/>
        </w:numPr>
        <w:ind w:left="397" w:firstLine="397"/>
        <w:rPr>
          <w:lang w:val="en-US"/>
        </w:rPr>
      </w:pPr>
      <w:r>
        <w:rPr>
          <w:lang w:val="en-US"/>
        </w:rPr>
        <w:t>Abstract</w:t>
      </w:r>
    </w:p>
    <w:p>
      <w:pPr>
        <w:pStyle w:val="Normal"/>
        <w:ind w:firstLine="510"/>
        <w:rPr>
          <w:lang w:val="en-US"/>
        </w:rPr>
      </w:pPr>
      <w:r>
        <w:rPr>
          <w:lang w:val="en-US"/>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Normal"/>
        <w:ind w:firstLine="510"/>
        <w:rPr>
          <w:highlight w:val="yellow"/>
          <w:lang w:val="en-US"/>
        </w:rPr>
      </w:pPr>
      <w:r>
        <w:rPr>
          <w:highlight w:val="yellow"/>
          <w:lang w:val="en-US"/>
        </w:rPr>
      </w:r>
    </w:p>
    <w:p>
      <w:pPr>
        <w:pStyle w:val="1"/>
        <w:numPr>
          <w:ilvl w:val="0"/>
          <w:numId w:val="0"/>
        </w:numPr>
        <w:ind w:firstLine="397"/>
        <w:rPr>
          <w:lang w:val="en-US"/>
        </w:rPr>
      </w:pPr>
      <w:r>
        <w:rPr>
          <w:lang w:val="en-US"/>
        </w:rPr>
        <w:t>Introduction</w:t>
      </w:r>
    </w:p>
    <w:p>
      <w:pPr>
        <w:pStyle w:val="Normal"/>
        <w:numPr>
          <w:ilvl w:val="0"/>
          <w:numId w:val="3"/>
        </w:numPr>
        <w:ind w:left="0" w:firstLine="397"/>
        <w:rPr>
          <w:lang w:val="en-US"/>
        </w:rPr>
      </w:pPr>
      <w:r>
        <w:rPr>
          <w:lang w:val="en-US"/>
        </w:rPr>
        <w:t xml:space="preserve">Aromatic diazonium salts (DSs) are versatile synthetic blocks widely used in fine organic synthesis and industry </w:t>
      </w:r>
      <w:r>
        <w:rPr>
          <w:rFonts w:eastAsia="Times New Roman" w:cs="Times New Roman"/>
          <w:lang w:val="en-US"/>
        </w:rPr>
        <w:t>[1]</w:t>
      </w:r>
      <w:r>
        <w:rPr>
          <w:lang w:val="en-US"/>
        </w:rPr>
        <w:t>. Beyond that, DSs have been increasingly applied in development of macro- and nanoscale composite materials due to their reactivity towards metal and non-metal surfaces</w:t>
      </w:r>
      <w:r>
        <w:rPr>
          <w:rFonts w:eastAsia="Times New Roman" w:cs="Times New Roman"/>
          <w:lang w:val="en-US"/>
        </w:rPr>
        <w:t xml:space="preserve"> [2]. </w:t>
      </w:r>
    </w:p>
    <w:p>
      <w:pPr>
        <w:pStyle w:val="Normal"/>
        <w:numPr>
          <w:ilvl w:val="0"/>
          <w:numId w:val="3"/>
        </w:numPr>
        <w:ind w:left="0" w:firstLine="397"/>
        <w:rPr>
          <w:lang w:val="en-US"/>
        </w:rPr>
      </w:pPr>
      <w:r>
        <w:rPr>
          <w:rFonts w:eastAsia="Times New Roman" w:cs="Times New Roman"/>
          <w:lang w:val="en-US"/>
        </w:rPr>
        <w:t>Nevertheless, such disadvantages as a poor storage stability in solid state and a propensity to explosive decomposition upon heating, photoirradiation or mechanical stress [1a] limit the preparation and usage of DSs, especially, on an industrial scale.</w:t>
      </w:r>
    </w:p>
    <w:p>
      <w:pPr>
        <w:pStyle w:val="Normal"/>
        <w:numPr>
          <w:ilvl w:val="0"/>
          <w:numId w:val="3"/>
        </w:numPr>
        <w:ind w:left="0" w:firstLine="397"/>
        <w:rPr>
          <w:lang w:val="en-US"/>
        </w:rPr>
      </w:pPr>
      <w:r>
        <w:rPr>
          <w:lang w:val="en-US"/>
        </w:rPr>
        <w:t xml:space="preserve">Recently, we have synthesized arenediazonium tosylates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TsO</w:t>
      </w:r>
      <w:r>
        <w:rPr>
          <w:rFonts w:eastAsia="Times New Roman" w:cs="Times New Roman"/>
          <w:vertAlign w:val="superscript"/>
          <w:lang w:val="en-US"/>
        </w:rPr>
        <w:t>-</w:t>
      </w:r>
      <w:r>
        <w:rPr>
          <w:rFonts w:eastAsia="Times New Roman" w:cs="Times New Roman"/>
          <w:lang w:val="en-US"/>
        </w:rPr>
        <w:t xml:space="preserve"> (ADTs) [3a] </w:t>
      </w:r>
      <w:r>
        <w:rPr>
          <w:lang w:val="en-US"/>
        </w:rPr>
        <w:t xml:space="preserve">and trifluoromethane sulfonates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TfO</w:t>
      </w:r>
      <w:r>
        <w:rPr>
          <w:rFonts w:eastAsia="Times New Roman" w:cs="Times New Roman"/>
          <w:vertAlign w:val="superscript"/>
          <w:lang w:val="en-US"/>
        </w:rPr>
        <w:t>-</w:t>
      </w:r>
      <w:r>
        <w:rPr>
          <w:rFonts w:eastAsia="Times New Roman" w:cs="Times New Roman"/>
          <w:lang w:val="en-US"/>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w:t>
      </w:r>
      <w:r>
        <w:rPr>
          <w:lang w:val="en-US"/>
        </w:rPr>
        <w:t>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Normal"/>
        <w:rPr>
          <w:lang w:val="en-US"/>
        </w:rPr>
      </w:pPr>
      <w:r>
        <w:rPr>
          <w:lang w:val="en-US"/>
        </w:rPr>
        <w:t xml:space="preserve">The thermal decomposition energies of some ADTs and ADTfs, determined by DSC/TGA, in most cases were found to be below 800 J/g. Therefore, according to the </w:t>
      </w:r>
      <w:r>
        <w:rPr>
          <w:rFonts w:eastAsia="Times New Roman" w:cs="Times New Roman"/>
          <w:lang w:val="en-US"/>
        </w:rPr>
        <w:t xml:space="preserve">safety criteria of the United Nations Economic Commission for Europe (UNECE) </w:t>
      </w:r>
      <w:r>
        <w:rPr>
          <w:lang w:val="en-US"/>
        </w:rPr>
        <w:t xml:space="preserve">they can be referred as </w:t>
      </w:r>
      <w:r>
        <w:rPr>
          <w:rFonts w:eastAsia="Times New Roman" w:cs="Times New Roman"/>
          <w:lang w:val="en-US"/>
        </w:rPr>
        <w:t>compounds that can be transported safely</w:t>
      </w:r>
      <w:r>
        <w:rPr>
          <w:lang w:val="en-US"/>
        </w:rPr>
        <w:t xml:space="preserve"> </w:t>
      </w:r>
      <w:r>
        <w:rPr>
          <w:rFonts w:eastAsia="Times New Roman" w:cs="Times New Roman"/>
          <w:lang w:val="en-US"/>
        </w:rPr>
        <w:t xml:space="preserve">[6]. However, the </w:t>
      </w:r>
      <w:r>
        <w:rPr>
          <w:lang w:val="en-US"/>
        </w:rPr>
        <w:t>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Normal"/>
        <w:rPr>
          <w:rFonts w:eastAsia="Times New Roman" w:cs="Times New Roman"/>
          <w:lang w:val="en-US"/>
        </w:rPr>
      </w:pPr>
      <w:r>
        <w:rPr>
          <w:lang w:val="en-US"/>
        </w:rPr>
        <w:t xml:space="preserve">Noteworthy, the DS decomposition in solution has been extensively investigated for a long time (see, for example, </w:t>
      </w:r>
      <w:r>
        <w:rPr>
          <w:rFonts w:eastAsia="Times New Roman" w:cs="Times New Roman"/>
          <w:lang w:val="en-US"/>
        </w:rPr>
        <w:t xml:space="preserve">[1a,g]),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Normal"/>
        <w:rPr>
          <w:lang w:val="en-US"/>
        </w:rPr>
      </w:pPr>
      <w:r>
        <w:rPr>
          <w:lang w:val="en-US"/>
        </w:rPr>
        <w:t>A comparative study of the stability of the solid DSs (chlorides, tetrachlorozincates and tetrafluoroborates) was reported in</w:t>
      </w:r>
      <w:r>
        <w:rPr>
          <w:rFonts w:eastAsia="Times New Roman" w:cs="Times New Roman"/>
          <w:lang w:val="en-US"/>
        </w:rPr>
        <w:t xml:space="preserve"> [7a,c], however the decomposition products were not given. </w:t>
      </w:r>
      <w:r>
        <w:rPr>
          <w:rFonts w:eastAsia="Times New Roman" w:cs="Times New Roman" w:ascii="FreeSerif" w:hAnsi="FreeSerif"/>
          <w:lang w:val="en-US"/>
        </w:rPr>
        <w:t xml:space="preserve">The investigation of </w:t>
      </w:r>
      <w:r>
        <w:rPr>
          <w:lang w:val="en-US"/>
        </w:rPr>
        <w:t xml:space="preserve">the thermal decomposition of </w:t>
      </w:r>
      <w:r>
        <w:rPr>
          <w:vertAlign w:val="superscript"/>
          <w:lang w:val="en-US"/>
        </w:rPr>
        <w:t>14</w:t>
      </w:r>
      <w:r>
        <w:rPr>
          <w:lang w:val="en-US"/>
        </w:rPr>
        <w:t xml:space="preserve">N- and </w:t>
      </w:r>
      <w:r>
        <w:rPr>
          <w:vertAlign w:val="superscript"/>
          <w:lang w:val="en-US"/>
        </w:rPr>
        <w:t>15</w:t>
      </w:r>
      <w:r>
        <w:rPr>
          <w:lang w:val="en-US"/>
        </w:rPr>
        <w:t>N-substituted arenediazonium chlorides and tetrafluoroborates has shown that isotope effect is insensitive to the nature and position of substituents in the aromatic ring and the nature of the counterion</w:t>
      </w:r>
      <w:r>
        <w:rPr>
          <w:rFonts w:eastAsia="Times New Roman" w:cs="Times New Roman"/>
          <w:lang w:val="en-US"/>
        </w:rPr>
        <w:t xml:space="preserve"> [7b]</w:t>
      </w:r>
      <w:r>
        <w:rPr>
          <w:lang w:val="en-US"/>
        </w:rPr>
        <w:t xml:space="preserve">. The stability test of arenediazonium chlorides has demonstrated that the sensitivity to detonation decreases from </w:t>
      </w:r>
      <w:r>
        <w:rPr>
          <w:i/>
          <w:lang w:val="en-US"/>
        </w:rPr>
        <w:t>ortho-</w:t>
      </w:r>
      <w:r>
        <w:rPr>
          <w:lang w:val="en-US"/>
        </w:rPr>
        <w:t xml:space="preserve">, through </w:t>
      </w:r>
      <w:r>
        <w:rPr>
          <w:i/>
          <w:lang w:val="en-US"/>
        </w:rPr>
        <w:t>meta-</w:t>
      </w:r>
      <w:r>
        <w:rPr>
          <w:lang w:val="en-US"/>
        </w:rPr>
        <w:t xml:space="preserve">, to </w:t>
      </w:r>
      <w:r>
        <w:rPr>
          <w:i/>
          <w:lang w:val="en-US"/>
        </w:rPr>
        <w:t>para-</w:t>
      </w:r>
      <w:r>
        <w:rPr>
          <w:lang w:val="en-US"/>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Normal"/>
        <w:numPr>
          <w:ilvl w:val="0"/>
          <w:numId w:val="3"/>
        </w:numPr>
        <w:ind w:left="0" w:firstLine="397"/>
        <w:rPr>
          <w:lang w:val="en-US"/>
        </w:rPr>
      </w:pPr>
      <w:r>
        <w:rPr>
          <w:lang w:val="en-US"/>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rFonts w:eastAsia="Times New Roman" w:cs="Times New Roman"/>
          <w:b/>
          <w:bCs/>
          <w:lang w:val="en-US"/>
        </w:rPr>
        <w:t>1a-d</w:t>
      </w:r>
      <w:r>
        <w:rPr>
          <w:rFonts w:eastAsia="Times New Roman" w:cs="Times New Roman"/>
          <w:lang w:val="en-US"/>
        </w:rPr>
        <w:t xml:space="preserve"> </w:t>
      </w:r>
      <w:r>
        <w:rPr>
          <w:lang w:val="en-US"/>
        </w:rPr>
        <w:t xml:space="preserve">comparing to 4-nitrobenzenediazonium tosylate </w:t>
      </w:r>
      <w:r>
        <w:rPr>
          <w:rFonts w:eastAsia="Times New Roman" w:cs="Times New Roman"/>
          <w:b/>
          <w:bCs/>
          <w:lang w:val="en-US"/>
        </w:rPr>
        <w:t>2</w:t>
      </w:r>
      <w:r>
        <w:rPr>
          <w:lang w:val="en-US"/>
        </w:rPr>
        <w:t xml:space="preserve"> and tetrafluoroborate </w:t>
      </w:r>
      <w:r>
        <w:rPr>
          <w:rFonts w:eastAsia="Times New Roman" w:cs="Times New Roman"/>
          <w:b/>
          <w:bCs/>
          <w:lang w:val="en-US"/>
        </w:rPr>
        <w:t>3</w:t>
      </w:r>
      <w:r>
        <w:rPr>
          <w:lang w:val="en-US"/>
        </w:rPr>
        <w:t xml:space="preserve"> by </w:t>
      </w:r>
      <w:r>
        <w:rPr>
          <w:rFonts w:eastAsia="Times New Roman" w:cs="Times New Roman"/>
          <w:lang w:val="en-US"/>
        </w:rPr>
        <w:t xml:space="preserve">DSC/TGA and </w:t>
      </w:r>
      <w:r>
        <w:rPr>
          <w:lang w:val="en-US"/>
        </w:rPr>
        <w:t xml:space="preserve">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rFonts w:eastAsia="Times New Roman" w:cs="Times New Roman"/>
          <w:b/>
          <w:bCs/>
          <w:lang w:val="en-US"/>
        </w:rPr>
        <w:t xml:space="preserve">1a-d </w:t>
      </w:r>
      <w:r>
        <w:rPr>
          <w:lang w:val="en-US"/>
        </w:rPr>
        <w:t>for the following reasons. First, according to [7a], diazonium salts with NO</w:t>
      </w:r>
      <w:r>
        <w:rPr>
          <w:vertAlign w:val="subscript"/>
          <w:lang w:val="en-US"/>
        </w:rPr>
        <w:t>2</w:t>
      </w:r>
      <w:r>
        <w:rPr>
          <w:lang w:val="en-US"/>
        </w:rPr>
        <w:t>- moieties are the most explosive, therefore they represent the highest threshold of these properties. Secondly, DSs with NO</w:t>
      </w:r>
      <w:r>
        <w:rPr>
          <w:vertAlign w:val="subscript"/>
          <w:lang w:val="en-US"/>
        </w:rPr>
        <w:t>2</w:t>
      </w:r>
      <w:r>
        <w:rPr>
          <w:lang w:val="en-US"/>
        </w:rPr>
        <w:t>- and MeO- substituents in the aromatic ring differ sharply in their properties [3a, b], i.e. these two examples should cover the widest range of properties studied.</w:t>
      </w:r>
    </w:p>
    <w:p>
      <w:pPr>
        <w:pStyle w:val="Normal"/>
        <w:numPr>
          <w:ilvl w:val="3"/>
          <w:numId w:val="3"/>
        </w:numPr>
        <w:ind w:left="0" w:firstLine="397"/>
        <w:rPr>
          <w:lang w:val="en-US"/>
        </w:rPr>
      </w:pPr>
      <w:r>
        <w:rPr>
          <w:lang w:val="en-US"/>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rFonts w:eastAsia="Times New Roman" w:cs="Times New Roman"/>
          <w:b/>
          <w:bCs/>
          <w:lang w:val="en-US"/>
        </w:rPr>
        <w:t xml:space="preserve">1a-d, 2, 3 </w:t>
      </w:r>
      <w:r>
        <w:rPr>
          <w:lang w:val="en-US"/>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1"/>
        <w:numPr>
          <w:ilvl w:val="0"/>
          <w:numId w:val="2"/>
        </w:numPr>
        <w:ind w:left="0" w:firstLine="397"/>
        <w:rPr>
          <w:lang w:val="en-US"/>
        </w:rPr>
      </w:pPr>
      <w:r>
        <w:rPr>
          <w:lang w:val="en-US"/>
        </w:rPr>
        <w:t>MATERIALS AND METHODS</w:t>
      </w:r>
      <w:r>
        <w:rPr>
          <w:bCs/>
          <w:lang w:val="en-US"/>
        </w:rPr>
        <w:t xml:space="preserve"> </w:t>
      </w:r>
    </w:p>
    <w:p>
      <w:pPr>
        <w:pStyle w:val="ListParagraph"/>
        <w:numPr>
          <w:ilvl w:val="3"/>
          <w:numId w:val="3"/>
        </w:numPr>
        <w:tabs>
          <w:tab w:val="left" w:pos="450" w:leader="none"/>
        </w:tabs>
        <w:ind w:left="0" w:firstLine="397"/>
        <w:rPr>
          <w:lang w:val="en-US"/>
        </w:rPr>
      </w:pPr>
      <w:r>
        <w:rPr>
          <w:rFonts w:cs="Times New Roman" w:ascii="Times New Roman" w:hAnsi="Times New Roman"/>
          <w:lang w:val="en-US"/>
        </w:rPr>
        <w:t xml:space="preserve">Arenediazonium triflates </w:t>
      </w:r>
      <w:r>
        <w:rPr>
          <w:rFonts w:cs="Times New Roman" w:ascii="Times New Roman" w:hAnsi="Times New Roman"/>
          <w:b/>
          <w:bCs/>
          <w:lang w:val="en-US"/>
        </w:rPr>
        <w:t>1a-d</w:t>
      </w:r>
      <w:r>
        <w:rPr>
          <w:rFonts w:cs="Times New Roman" w:ascii="Times New Roman" w:hAnsi="Times New Roman"/>
          <w:lang w:val="en-US"/>
        </w:rPr>
        <w:t xml:space="preserve"> and 4-nitrobenzenediazonium tosylate </w:t>
      </w:r>
      <w:r>
        <w:rPr>
          <w:rFonts w:cs="Times New Roman" w:ascii="Times New Roman" w:hAnsi="Times New Roman"/>
          <w:b/>
          <w:bCs/>
          <w:lang w:val="en-US"/>
        </w:rPr>
        <w:t>2</w:t>
      </w:r>
      <w:r>
        <w:rPr>
          <w:rFonts w:cs="Times New Roman" w:ascii="Times New Roman" w:hAnsi="Times New Roman"/>
          <w:lang w:val="en-US"/>
        </w:rPr>
        <w:t xml:space="preserve"> were synthesized according to the procedure described previously [3a,b]. 4-Nitrobenzenediazonium tetrafluoroborate </w:t>
      </w:r>
      <w:r>
        <w:rPr>
          <w:rFonts w:cs="Times New Roman" w:ascii="Times New Roman" w:hAnsi="Times New Roman"/>
          <w:b/>
          <w:bCs/>
          <w:lang w:val="en-US"/>
        </w:rPr>
        <w:t>3</w:t>
      </w:r>
      <w:r>
        <w:rPr>
          <w:rFonts w:cs="Times New Roman" w:ascii="Times New Roman" w:hAnsi="Times New Roman"/>
          <w:lang w:val="en-US"/>
        </w:rPr>
        <w:t xml:space="preserve"> was purchased from </w:t>
      </w:r>
      <w:commentRangeStart w:id="0"/>
      <w:r>
        <w:rPr>
          <w:rFonts w:cs="Times New Roman" w:ascii="Times New Roman" w:hAnsi="Times New Roman"/>
          <w:highlight w:val="yellow"/>
          <w:lang w:val="en-US"/>
        </w:rPr>
        <w:t>Aldrich</w:t>
      </w:r>
      <w:r>
        <w:rPr>
          <w:rFonts w:cs="Times New Roman" w:ascii="Times New Roman" w:hAnsi="Times New Roman"/>
          <w:highlight w:val="yellow"/>
          <w:lang w:val="en-US"/>
        </w:rPr>
      </w:r>
      <w:commentRangeEnd w:id="0"/>
      <w:r>
        <w:commentReference w:id="0"/>
      </w:r>
      <w:r>
        <w:rPr>
          <w:rFonts w:cs="Times New Roman" w:ascii="Times New Roman" w:hAnsi="Times New Roman"/>
          <w:highlight w:val="yellow"/>
          <w:lang w:val="en-US"/>
        </w:rPr>
        <w:commentReference w:id="1"/>
      </w:r>
      <w:r>
        <w:rPr>
          <w:rFonts w:cs="Times New Roman" w:ascii="Times New Roman" w:hAnsi="Times New Roman"/>
          <w:lang w:val="en-US"/>
        </w:rPr>
        <w:t xml:space="preserve"> (CAS №</w:t>
      </w:r>
      <w:r>
        <w:rPr>
          <w:rFonts w:cs="Times New Roman" w:ascii="Times New Roman" w:hAnsi="Times New Roman"/>
          <w:highlight w:val="white"/>
          <w:lang w:val="en-US"/>
        </w:rPr>
        <w:t xml:space="preserve"> </w:t>
      </w:r>
      <w:r>
        <w:rPr>
          <w:rFonts w:cs="Times New Roman" w:ascii="Times New Roman" w:hAnsi="Times New Roman"/>
          <w:lang w:val="en-US"/>
        </w:rPr>
        <w:t>456-27-9).</w:t>
      </w:r>
    </w:p>
    <w:p>
      <w:pPr>
        <w:pStyle w:val="ListParagraph"/>
        <w:numPr>
          <w:ilvl w:val="3"/>
          <w:numId w:val="3"/>
        </w:numPr>
        <w:ind w:left="0" w:firstLine="567"/>
        <w:rPr>
          <w:rFonts w:ascii="Times New Roman" w:hAnsi="Times New Roman" w:cs="Times New Roman"/>
          <w:sz w:val="12"/>
          <w:szCs w:val="12"/>
          <w:lang w:val="en-US"/>
        </w:rPr>
      </w:pPr>
      <w:r>
        <w:rPr>
          <w:rFonts w:cs="Times New Roman" w:ascii="Times New Roman" w:hAnsi="Times New Roman"/>
          <w:sz w:val="12"/>
          <w:szCs w:val="12"/>
          <w:lang w:val="en-US"/>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0"/>
        <w:gridCol w:w="739"/>
        <w:gridCol w:w="4203"/>
        <w:gridCol w:w="785"/>
      </w:tblGrid>
      <w:tr>
        <w:trPr/>
        <w:tc>
          <w:tcPr>
            <w:tcW w:w="3400" w:type="dxa"/>
            <w:tcBorders/>
            <w:shd w:color="auto" w:fill="FFFFFF" w:val="clear"/>
          </w:tcPr>
          <w:p>
            <w:pPr>
              <w:pStyle w:val="Style24"/>
              <w:ind w:hanging="0"/>
              <w:jc w:val="right"/>
              <w:rPr>
                <w:lang w:val="en-US"/>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1a</w:t>
            </w:r>
          </w:p>
        </w:tc>
        <w:tc>
          <w:tcPr>
            <w:tcW w:w="4203" w:type="dxa"/>
            <w:tcBorders/>
            <w:shd w:color="auto" w:fill="FFFFFF" w:val="clear"/>
          </w:tcPr>
          <w:p>
            <w:pPr>
              <w:pStyle w:val="Style24"/>
              <w:ind w:hanging="0"/>
              <w:jc w:val="right"/>
              <w:rPr>
                <w:lang w:val="en-US"/>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Style24"/>
              <w:ind w:hanging="0"/>
              <w:jc w:val="center"/>
              <w:rPr>
                <w:b/>
                <w:b/>
                <w:bCs/>
                <w:lang w:val="en-US"/>
              </w:rPr>
            </w:pPr>
            <w:r>
              <w:rPr>
                <w:b/>
                <w:bCs/>
                <w:lang w:val="en-US"/>
              </w:rPr>
              <w:t>1d</w:t>
            </w:r>
          </w:p>
        </w:tc>
      </w:tr>
      <w:tr>
        <w:trPr/>
        <w:tc>
          <w:tcPr>
            <w:tcW w:w="3400" w:type="dxa"/>
            <w:tcBorders/>
            <w:shd w:color="auto" w:fill="FFFFFF" w:val="clear"/>
          </w:tcPr>
          <w:p>
            <w:pPr>
              <w:pStyle w:val="Style24"/>
              <w:ind w:hanging="0"/>
              <w:jc w:val="right"/>
              <w:rPr>
                <w:lang w:val="en-US"/>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1b</w:t>
            </w:r>
          </w:p>
        </w:tc>
        <w:tc>
          <w:tcPr>
            <w:tcW w:w="4203" w:type="dxa"/>
            <w:tcBorders/>
            <w:shd w:color="auto" w:fill="FFFFFF" w:val="clear"/>
          </w:tcPr>
          <w:p>
            <w:pPr>
              <w:pStyle w:val="Style24"/>
              <w:ind w:hanging="0"/>
              <w:jc w:val="right"/>
              <w:rPr>
                <w:lang w:val="en-US"/>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Style24"/>
              <w:ind w:hanging="0"/>
              <w:jc w:val="center"/>
              <w:rPr>
                <w:b/>
                <w:b/>
                <w:bCs/>
                <w:lang w:val="en-US"/>
              </w:rPr>
            </w:pPr>
            <w:r>
              <w:rPr>
                <w:b/>
                <w:bCs/>
                <w:lang w:val="en-US"/>
              </w:rPr>
              <w:t>2</w:t>
            </w:r>
          </w:p>
        </w:tc>
      </w:tr>
      <w:tr>
        <w:trPr/>
        <w:tc>
          <w:tcPr>
            <w:tcW w:w="3400" w:type="dxa"/>
            <w:tcBorders/>
            <w:shd w:color="auto" w:fill="FFFFFF" w:val="clear"/>
          </w:tcPr>
          <w:p>
            <w:pPr>
              <w:pStyle w:val="Style24"/>
              <w:ind w:hanging="0"/>
              <w:jc w:val="right"/>
              <w:rPr>
                <w:lang w:val="en-US"/>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1c</w:t>
            </w:r>
          </w:p>
        </w:tc>
        <w:tc>
          <w:tcPr>
            <w:tcW w:w="4203" w:type="dxa"/>
            <w:tcBorders/>
            <w:shd w:color="auto" w:fill="FFFFFF" w:val="clear"/>
          </w:tcPr>
          <w:p>
            <w:pPr>
              <w:pStyle w:val="Style24"/>
              <w:ind w:hanging="0"/>
              <w:jc w:val="right"/>
              <w:rPr>
                <w:lang w:val="en-US"/>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Style24"/>
              <w:ind w:hanging="0"/>
              <w:jc w:val="center"/>
              <w:rPr>
                <w:b/>
                <w:b/>
                <w:bCs/>
                <w:lang w:val="en-US"/>
              </w:rPr>
            </w:pPr>
            <w:r>
              <w:rPr>
                <w:b/>
                <w:bCs/>
                <w:lang w:val="en-US"/>
              </w:rPr>
              <w:t>3</w:t>
            </w:r>
          </w:p>
        </w:tc>
      </w:tr>
    </w:tbl>
    <w:p>
      <w:pPr>
        <w:pStyle w:val="Normal"/>
        <w:numPr>
          <w:ilvl w:val="2"/>
          <w:numId w:val="3"/>
        </w:numPr>
        <w:rPr>
          <w:sz w:val="12"/>
          <w:szCs w:val="12"/>
          <w:highlight w:val="yellow"/>
          <w:lang w:val="en-US"/>
        </w:rPr>
      </w:pPr>
      <w:r>
        <w:rPr>
          <w:sz w:val="12"/>
          <w:szCs w:val="12"/>
          <w:highlight w:val="yellow"/>
          <w:lang w:val="en-US"/>
        </w:rPr>
      </w:r>
    </w:p>
    <w:p>
      <w:pPr>
        <w:pStyle w:val="Normal"/>
        <w:jc w:val="center"/>
        <w:rPr>
          <w:lang w:val="en-US"/>
        </w:rPr>
      </w:pPr>
      <w:commentRangeStart w:id="2"/>
      <w:r>
        <w:rPr>
          <w:highlight w:val="yellow"/>
          <w:lang w:val="en-US"/>
        </w:rPr>
        <w:t>Scheme 1.</w:t>
      </w:r>
      <w:r>
        <w:rPr>
          <w:lang w:val="en-US"/>
        </w:rPr>
        <w:t xml:space="preserve"> </w:t>
      </w:r>
      <w:r>
        <w:rPr>
          <w:lang w:val="en-US"/>
        </w:rPr>
      </w:r>
      <w:commentRangeEnd w:id="2"/>
      <w:r>
        <w:commentReference w:id="2"/>
      </w:r>
      <w:r>
        <w:rPr>
          <w:lang w:val="en-US"/>
        </w:rPr>
        <w:commentReference w:id="3"/>
      </w:r>
      <w:r>
        <w:rPr>
          <w:lang w:val="en-US"/>
        </w:rPr>
        <w:t xml:space="preserve">The structures of </w:t>
      </w:r>
      <w:r>
        <w:rPr>
          <w:rFonts w:cs="Times New Roman" w:ascii="Times New Roman" w:hAnsi="Times New Roman"/>
          <w:lang w:val="en-US"/>
        </w:rPr>
        <w:t xml:space="preserve">arenediazonium triflates </w:t>
      </w:r>
      <w:r>
        <w:rPr>
          <w:rFonts w:cs="Times New Roman" w:ascii="Times New Roman" w:hAnsi="Times New Roman"/>
          <w:b/>
          <w:bCs/>
          <w:lang w:val="en-US"/>
        </w:rPr>
        <w:t xml:space="preserve">1a-d, </w:t>
      </w:r>
      <w:r>
        <w:rPr>
          <w:rFonts w:cs="Times New Roman" w:ascii="Times New Roman" w:hAnsi="Times New Roman"/>
          <w:lang w:val="en-US"/>
        </w:rPr>
        <w:t xml:space="preserve">4-nitrobenzenediazonium tosylate </w:t>
      </w:r>
      <w:r>
        <w:rPr>
          <w:rFonts w:cs="Times New Roman" w:ascii="Times New Roman" w:hAnsi="Times New Roman"/>
          <w:b/>
          <w:bCs/>
          <w:lang w:val="en-US"/>
        </w:rPr>
        <w:t xml:space="preserve">2 </w:t>
      </w:r>
      <w:r>
        <w:rPr>
          <w:rFonts w:cs="Times New Roman" w:ascii="Times New Roman" w:hAnsi="Times New Roman"/>
          <w:bCs/>
          <w:lang w:val="en-US"/>
        </w:rPr>
        <w:t xml:space="preserve">and </w:t>
      </w:r>
      <w:r>
        <w:rPr>
          <w:rFonts w:cs="Times New Roman" w:ascii="Times New Roman" w:hAnsi="Times New Roman"/>
          <w:lang w:val="en-US"/>
        </w:rPr>
        <w:t xml:space="preserve">4-nitrobenzenediazonium tetrafluoroborate </w:t>
      </w:r>
      <w:r>
        <w:rPr>
          <w:rFonts w:cs="Times New Roman" w:ascii="Times New Roman" w:hAnsi="Times New Roman"/>
          <w:b/>
          <w:bCs/>
          <w:lang w:val="en-US"/>
        </w:rPr>
        <w:t>3</w:t>
      </w:r>
    </w:p>
    <w:p>
      <w:pPr>
        <w:pStyle w:val="Normal"/>
        <w:rPr/>
      </w:pPr>
      <w:r>
        <w:rPr>
          <w:lang w:val="en-US"/>
        </w:rPr>
        <w:t xml:space="preserve">The DSC/TGA runs were made in argon atmosphere using open sample pans on Q600 SDT instrument (TA Instruments), </w:t>
      </w:r>
      <w:r>
        <w:rPr>
          <w:highlight w:val="green"/>
          <w:lang w:val="en-US"/>
        </w:rPr>
        <w:t>the heating rate of 5 degrees per minute, temperature range 20-600 °C, The typical sample size was 10 mg.</w:t>
      </w:r>
    </w:p>
    <w:p>
      <w:pPr>
        <w:pStyle w:val="Normal"/>
        <w:rPr/>
      </w:pPr>
      <w:r>
        <w:rPr>
          <w:lang w:val="en-US"/>
        </w:rPr>
        <w:t xml:space="preserve">Heat flow was measured under isothermal conditions in nitrogen atmosphere using TAM III microcalorimeter (TA Instruments). </w:t>
      </w:r>
      <w:bookmarkStart w:id="0" w:name="__DdeLink__3282_1754029866"/>
      <w:commentRangeStart w:id="4"/>
      <w:r>
        <w:rPr>
          <w:lang w:val="en-US"/>
        </w:rPr>
        <w:t>The typical sample size was 10 mg.</w:t>
      </w:r>
      <w:bookmarkEnd w:id="0"/>
      <w:r>
        <w:rPr>
          <w:lang w:val="en-US"/>
        </w:rPr>
        <w:t xml:space="preserve"> </w:t>
      </w:r>
      <w:r>
        <w:rPr>
          <w:lang w:val="en-US"/>
        </w:rPr>
      </w:r>
      <w:commentRangeEnd w:id="4"/>
      <w:r>
        <w:commentReference w:id="4"/>
      </w:r>
      <w:r>
        <w:rPr>
          <w:lang w:val="en-US"/>
        </w:rPr>
        <w:commentReference w:id="5"/>
      </w:r>
      <w:r>
        <w:rPr>
          <w:lang w:val="en-US"/>
        </w:rPr>
        <w:t xml:space="preserve">Sample was put in a glass beaker placed in a standard calorimeter ampoule made from </w:t>
      </w:r>
      <w:r>
        <w:rPr>
          <w:i/>
          <w:lang w:val="en-US"/>
        </w:rPr>
        <w:t>Hastelloy</w:t>
      </w:r>
      <w:r>
        <w:rPr>
          <w:lang w:val="en-US"/>
        </w:rPr>
        <w:t xml:space="preserve"> with a volume of 1 mL. </w:t>
      </w:r>
      <w:commentRangeStart w:id="6"/>
      <w:r>
        <w:rPr>
          <w:highlight w:val="yellow"/>
          <w:lang w:val="en-US"/>
        </w:rPr>
        <w:t xml:space="preserve">The </w:t>
      </w:r>
      <w:r>
        <w:rPr>
          <w:highlight w:val="green"/>
          <w:lang w:val="en-US"/>
        </w:rPr>
        <w:t>ampoule</w:t>
      </w:r>
      <w:r>
        <w:rPr>
          <w:lang w:val="en-US"/>
        </w:rPr>
        <w:t xml:space="preserve"> </w:t>
      </w:r>
      <w:r>
        <w:rPr>
          <w:lang w:val="en-US"/>
        </w:rPr>
      </w:r>
      <w:commentRangeEnd w:id="6"/>
      <w:r>
        <w:commentReference w:id="6"/>
      </w:r>
      <w:r>
        <w:rPr>
          <w:lang w:val="en-US"/>
        </w:rPr>
        <w:commentReference w:id="7"/>
      </w:r>
      <w:r>
        <w:rPr>
          <w:lang w:val="en-US"/>
        </w:rPr>
        <w:t xml:space="preserve">was evacuated and then purged with nitrogen, argon or air depending on experimental conditions. </w:t>
      </w:r>
      <w:r>
        <w:rPr>
          <w:highlight w:val="green"/>
          <w:lang w:val="en-US"/>
        </w:rPr>
        <w:t xml:space="preserve">The experiment on the study of heat flow in isothermal conditions was carried out at three temperatures 75, 80 and 85 °C, similar to the approach used in [8a-d] at a calorimetric study of the safety of energy materials. </w:t>
      </w:r>
      <w:r>
        <w:rPr>
          <w:i/>
          <w:iCs/>
          <w:highlight w:val="green"/>
          <w:lang w:val="en-US"/>
        </w:rPr>
        <w:t>(Эксперимент по изучению теплового потока в изотермических условиях проводился при трех температурах 75, 80 and 85 ° C, аналогично подходу применяемому в работах [8a-d] при калориметрическом исследовании безопасности высоко энергетических материалов.)</w:t>
      </w:r>
      <w:r>
        <w:rPr>
          <w:lang w:val="en-US"/>
        </w:rPr>
        <w:t xml:space="preserve"> The acquired experimental curves were approximated using the model of an autocatalytic process and the </w:t>
      </w:r>
      <w:commentRangeStart w:id="8"/>
      <w:r>
        <w:rPr>
          <w:highlight w:val="yellow"/>
          <w:lang w:val="en-US"/>
        </w:rPr>
        <w:t xml:space="preserve">Arrhenius </w:t>
      </w:r>
      <w:r>
        <w:rPr>
          <w:lang w:val="en-US"/>
        </w:rPr>
        <w:t>equation</w:t>
      </w:r>
      <w:r>
        <w:rPr>
          <w:lang w:val="en-US"/>
        </w:rPr>
      </w:r>
      <w:commentRangeEnd w:id="8"/>
      <w:r>
        <w:commentReference w:id="8"/>
      </w:r>
      <w:r>
        <w:rPr>
          <w:lang w:val="en-US"/>
        </w:rPr>
        <w:commentReference w:id="9"/>
      </w:r>
      <w:r>
        <w:rPr>
          <w:lang w:val="en-US"/>
        </w:rPr>
        <w:t>. The experimental data were processed using TAM Assistant Software v1.3.0.153. Gnuplot 4.5 [9a] and R Statistics v3.3.3 [9b] were used for mathematical processing, statistical analysis, and dependencies building.</w:t>
      </w:r>
    </w:p>
    <w:p>
      <w:pPr>
        <w:pStyle w:val="Normal"/>
        <w:rPr/>
      </w:pPr>
      <w:r>
        <w:rPr>
          <w:lang w:val="en-US"/>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Normal"/>
        <w:rPr/>
      </w:pPr>
      <w:r>
        <w:rPr>
          <w:lang w:val="en-US"/>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lang w:val="en-US"/>
        </w:rPr>
        <w:t></w:t>
      </w:r>
      <w:r>
        <w:rPr>
          <w:lang w:val="en-US"/>
        </w:rPr>
        <w:t xml:space="preserve"> 100% B followed by isocratic elution with B for 20 min</w:t>
      </w:r>
      <w:r>
        <w:rPr>
          <w:highlight w:val="yellow"/>
          <w:lang w:val="en-US"/>
        </w:rPr>
        <w:t xml:space="preserve">. </w:t>
      </w:r>
      <w:r>
        <w:rPr>
          <w:highlight w:val="green"/>
          <w:lang w:val="en-US"/>
        </w:rPr>
        <w:t>The operating parameters of the ESI-QTOF-MS were: gas flow rate, 9 L/min (N</w:t>
      </w:r>
      <w:r>
        <w:rPr>
          <w:highlight w:val="green"/>
          <w:vertAlign w:val="subscript"/>
          <w:lang w:val="en-US"/>
        </w:rPr>
        <w:t>2</w:t>
      </w:r>
      <w:r>
        <w:rPr>
          <w:highlight w:val="green"/>
          <w:lang w:val="en-US"/>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highlight w:val="green"/>
          <w:vertAlign w:val="subscript"/>
          <w:lang w:val="en-US"/>
        </w:rPr>
        <w:t>2</w:t>
      </w:r>
      <w:r>
        <w:rPr>
          <w:highlight w:val="green"/>
          <w:lang w:val="en-US"/>
        </w:rPr>
        <w:t>); drying gas temperature, 300 °C; nebulizer, 35 psi; Vaporizer temperature, 400 °C; capillary, 3500 V; skimmer, 65 V; octopole RF voltage, 750 V; fragmentor, 150 V; eneggy of collision 20 eV.</w:t>
      </w:r>
      <w:commentRangeStart w:id="10"/>
      <w:r>
        <w:rPr>
          <w:highlight w:val="yellow"/>
        </w:rPr>
        <w:t xml:space="preserve"> </w:t>
      </w:r>
      <w:r>
        <w:rPr>
          <w:highlight w:val="yellow"/>
        </w:rPr>
      </w:r>
      <w:commentRangeEnd w:id="10"/>
      <w:r>
        <w:commentReference w:id="10"/>
      </w:r>
      <w:r>
        <w:rPr>
          <w:highlight w:val="yellow"/>
        </w:rPr>
        <w:commentReference w:id="11"/>
      </w:r>
      <w:r>
        <w:rPr/>
        <w:t xml:space="preserve"> </w:t>
      </w:r>
      <w:r>
        <w:rPr>
          <w:lang w:val="en-US"/>
        </w:rPr>
        <w:t xml:space="preserve">For the LS-MS experiments, the DS decomposition products were dissolved in a water:acetonitrile mixture (1:1 v/v) at a concentration of 1 mg/mL. The volume of sample injected was 5 µL. Acquired LS-MS spectra were processed using the OpenMS 2.0 software package [10a,b]. </w:t>
      </w:r>
    </w:p>
    <w:p>
      <w:pPr>
        <w:pStyle w:val="Normal"/>
        <w:rPr/>
      </w:pPr>
      <w:r>
        <w:rPr>
          <w:lang w:val="en-US"/>
        </w:rPr>
        <w:t xml:space="preserve">For the theoretical study of suggested DS decomposition routes the quantum-chemical calculations were performed using </w:t>
      </w:r>
      <w:r>
        <w:rPr>
          <w:rFonts w:cs="Times New Roman" w:ascii="Times New Roman" w:hAnsi="Times New Roman"/>
          <w:lang w:val="en-US"/>
        </w:rPr>
        <w:t xml:space="preserve">Kohn−Sham density functional theory (DFT), global-hybrid GGA functional B3LYP and aug-cc-pVDZ basis set </w:t>
      </w:r>
      <w:r>
        <w:rPr>
          <w:lang w:val="en-US"/>
        </w:rPr>
        <w:t xml:space="preserve">in Gaussian 09 software package [11]. At the first step, the geometry of all molecules participating in the reactions was optimized. To prove the nature of </w:t>
      </w:r>
      <w:r>
        <w:rPr>
          <w:rFonts w:cs="Times New Roman" w:ascii="Times New Roman" w:hAnsi="Times New Roman"/>
          <w:lang w:val="en-US"/>
        </w:rPr>
        <w:t xml:space="preserve">the stationary points, the harmonic frequency calculations were done. Thereafter, </w:t>
      </w:r>
      <w:commentRangeStart w:id="12"/>
      <w:r>
        <w:rPr>
          <w:rFonts w:cs="Times New Roman" w:ascii="Times New Roman" w:hAnsi="Times New Roman"/>
          <w:lang w:val="en-US"/>
        </w:rPr>
        <w:t xml:space="preserve">the </w:t>
      </w:r>
      <w:r>
        <w:rPr>
          <w:lang w:val="en-US"/>
        </w:rPr>
        <w:t xml:space="preserve">vibrational frequencies and thermodynamic corrections </w:t>
      </w:r>
      <w:r>
        <w:rPr>
          <w:lang w:val="en-US"/>
        </w:rPr>
      </w:r>
      <w:commentRangeEnd w:id="12"/>
      <w:r>
        <w:commentReference w:id="12"/>
      </w:r>
      <w:r>
        <w:rPr>
          <w:lang w:val="en-US"/>
        </w:rPr>
        <w:t>were calculated at normal conditions (25 ° C, 1 atm) and at temperatures used for isothermal decomposition experiment (</w:t>
      </w:r>
      <w:commentRangeStart w:id="13"/>
      <w:r>
        <w:rPr>
          <w:lang w:val="en-US"/>
        </w:rPr>
        <w:t>75, 80 and 85 ° C</w:t>
      </w:r>
      <w:r>
        <w:rPr>
          <w:lang w:val="en-US"/>
        </w:rPr>
      </w:r>
      <w:commentRangeEnd w:id="13"/>
      <w:r>
        <w:commentReference w:id="13"/>
      </w:r>
      <w:r>
        <w:rPr>
          <w:lang w:val="en-US"/>
        </w:rPr>
        <w:commentReference w:id="14"/>
      </w:r>
      <w:r>
        <w:rPr>
          <w:lang w:val="en-US"/>
        </w:rPr>
        <w:t>).</w:t>
      </w:r>
    </w:p>
    <w:p>
      <w:pPr>
        <w:pStyle w:val="1"/>
        <w:numPr>
          <w:ilvl w:val="0"/>
          <w:numId w:val="0"/>
        </w:numPr>
        <w:ind w:left="397" w:firstLine="397"/>
        <w:rPr>
          <w:lang w:val="en-US"/>
        </w:rPr>
      </w:pPr>
      <w:r>
        <w:rPr>
          <w:lang w:val="en-US"/>
        </w:rPr>
        <w:t>RESULTS AND DISCUSSION</w:t>
      </w:r>
    </w:p>
    <w:p>
      <w:pPr>
        <w:pStyle w:val="2"/>
        <w:numPr>
          <w:ilvl w:val="1"/>
          <w:numId w:val="2"/>
        </w:numPr>
        <w:ind w:left="0" w:firstLine="397"/>
        <w:rPr>
          <w:lang w:val="en-US"/>
        </w:rPr>
      </w:pPr>
      <w:r>
        <w:rPr>
          <w:bCs/>
          <w:lang w:val="en-US"/>
        </w:rPr>
        <w:t>DSC/TGA results</w:t>
      </w:r>
    </w:p>
    <w:p>
      <w:pPr>
        <w:pStyle w:val="Normal"/>
        <w:rPr>
          <w:lang w:val="en-US"/>
        </w:rPr>
      </w:pPr>
      <w:r>
        <w:rPr>
          <w:highlight w:val="yellow"/>
          <w:lang w:val="en-US"/>
        </w:rPr>
        <w:t xml:space="preserve">Our study of the thermal and storage stability of arenediazonium triflates </w:t>
      </w:r>
      <w:r>
        <w:rPr>
          <w:rFonts w:eastAsia="Times New Roman" w:cs="Times New Roman"/>
          <w:b/>
          <w:bCs/>
          <w:highlight w:val="yellow"/>
          <w:lang w:val="en-US"/>
        </w:rPr>
        <w:t>1a-d,</w:t>
      </w:r>
      <w:r>
        <w:rPr>
          <w:rFonts w:eastAsia="Times New Roman" w:cs="Times New Roman"/>
          <w:highlight w:val="yellow"/>
          <w:lang w:val="en-US"/>
        </w:rPr>
        <w:t xml:space="preserve"> </w:t>
      </w:r>
      <w:r>
        <w:rPr>
          <w:highlight w:val="yellow"/>
          <w:lang w:val="en-US"/>
        </w:rPr>
        <w:t xml:space="preserve">4-nitrobenzenediazonium tosylate </w:t>
      </w:r>
      <w:r>
        <w:rPr>
          <w:rFonts w:eastAsia="Times New Roman" w:cs="Times New Roman"/>
          <w:b/>
          <w:bCs/>
          <w:highlight w:val="yellow"/>
          <w:lang w:val="en-US"/>
        </w:rPr>
        <w:t>2</w:t>
      </w:r>
      <w:r>
        <w:rPr>
          <w:highlight w:val="yellow"/>
          <w:lang w:val="en-US"/>
        </w:rPr>
        <w:t xml:space="preserve"> and tetrafluoroborate </w:t>
      </w:r>
      <w:r>
        <w:rPr>
          <w:rFonts w:eastAsia="Times New Roman" w:cs="Times New Roman"/>
          <w:b/>
          <w:bCs/>
          <w:highlight w:val="yellow"/>
          <w:lang w:val="en-US"/>
        </w:rPr>
        <w:t xml:space="preserve">3 </w:t>
      </w:r>
      <w:r>
        <w:rPr>
          <w:rFonts w:eastAsia="Times New Roman" w:cs="Times New Roman"/>
          <w:bCs/>
          <w:highlight w:val="yellow"/>
          <w:lang w:val="en-US"/>
        </w:rPr>
        <w:t>has begun</w:t>
      </w:r>
      <w:r>
        <w:rPr>
          <w:rFonts w:eastAsia="Times New Roman" w:cs="Times New Roman"/>
          <w:b/>
          <w:bCs/>
          <w:highlight w:val="yellow"/>
          <w:lang w:val="en-US"/>
        </w:rPr>
        <w:t xml:space="preserve"> </w:t>
      </w:r>
      <w:r>
        <w:rPr>
          <w:highlight w:val="yellow"/>
          <w:lang w:val="en-US"/>
        </w:rPr>
        <w:t>from collecting DCS/TGA data.</w:t>
      </w:r>
      <w:r>
        <w:rPr>
          <w:lang w:val="en-US"/>
        </w:rPr>
        <w:t xml:space="preserve"> Fig. 1-6 show DSC/TGA curves of thermal decomposition of DSs </w:t>
      </w:r>
      <w:r>
        <w:rPr>
          <w:b/>
          <w:lang w:val="en-US"/>
        </w:rPr>
        <w:t>1-3</w:t>
      </w:r>
      <w:r>
        <w:rPr>
          <w:lang w:val="en-US"/>
        </w:rPr>
        <w:t>. It can be seen that upon heating all the investigated DSs decompose with energy and weight loss. The temperatures and decomposition energies are summarized in Table 1.</w:t>
      </w:r>
    </w:p>
    <w:p>
      <w:pPr>
        <w:pStyle w:val="Normal"/>
        <w:rPr>
          <w:lang w:val="en-US"/>
        </w:rPr>
      </w:pPr>
      <w:r>
        <w:rPr>
          <w:lang w:val="en-US"/>
        </w:rPr>
        <w:t xml:space="preserve">For the DSs </w:t>
      </w:r>
      <w:r>
        <w:rPr>
          <w:b/>
          <w:lang w:val="en-US"/>
        </w:rPr>
        <w:t>1a,b,d, 3</w:t>
      </w:r>
      <w:r>
        <w:rPr>
          <w:lang w:val="en-US"/>
        </w:rPr>
        <w:t xml:space="preserve"> additional low-temperature endothermic effects are observed in the temperature range close to their melting point, whereas DSs </w:t>
      </w:r>
      <w:r>
        <w:rPr>
          <w:b/>
          <w:lang w:val="en-US"/>
        </w:rPr>
        <w:t xml:space="preserve">1c, 2 </w:t>
      </w:r>
      <w:r>
        <w:rPr>
          <w:lang w:val="en-US"/>
        </w:rPr>
        <w:t xml:space="preserve">decomposed only exothermically (Fig. 1-6, Table 1). Note that DS </w:t>
      </w:r>
      <w:r>
        <w:rPr>
          <w:b/>
          <w:lang w:val="en-US"/>
        </w:rPr>
        <w:t xml:space="preserve">2 </w:t>
      </w:r>
      <w:r>
        <w:rPr>
          <w:lang w:val="en-US"/>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lang w:val="en-US"/>
        </w:rPr>
        <w:t>1a</w:t>
      </w:r>
      <w:r>
        <w:rPr>
          <w:lang w:val="en-US"/>
        </w:rPr>
        <w:t xml:space="preserve">, </w:t>
      </w:r>
      <w:r>
        <w:rPr>
          <w:b/>
          <w:bCs/>
          <w:lang w:val="en-US"/>
        </w:rPr>
        <w:t>1b</w:t>
      </w:r>
      <w:r>
        <w:rPr>
          <w:lang w:val="en-US"/>
        </w:rPr>
        <w:t xml:space="preserve">, </w:t>
      </w:r>
      <w:r>
        <w:rPr>
          <w:b/>
          <w:bCs/>
          <w:lang w:val="en-US"/>
        </w:rPr>
        <w:t xml:space="preserve">1d </w:t>
      </w:r>
      <w:r>
        <w:rPr>
          <w:lang w:val="en-US"/>
        </w:rPr>
        <w:t>the endothermic peaks are not accompanied by a weight loss and are probably associated with the destruction of the crystal lattice during melting.</w:t>
      </w:r>
    </w:p>
    <w:p>
      <w:pPr>
        <w:pStyle w:val="Normal"/>
        <w:rPr>
          <w:lang w:val="en-US"/>
        </w:rPr>
      </w:pPr>
      <w:r>
        <w:rPr>
          <w:lang w:val="en-US"/>
        </w:rPr>
        <w:t xml:space="preserve">The weight loss upon heating DS </w:t>
      </w:r>
      <w:r>
        <w:rPr>
          <w:b/>
          <w:lang w:val="en-US"/>
        </w:rPr>
        <w:t>3</w:t>
      </w:r>
      <w:r>
        <w:rPr>
          <w:lang w:val="en-US"/>
        </w:rPr>
        <w:t xml:space="preserve"> in the endothermic process, starting at 33.7 ° C is 28.5%, which corresponds exactly to the elimination of volatile BF</w:t>
      </w:r>
      <w:r>
        <w:rPr>
          <w:vertAlign w:val="subscript"/>
          <w:lang w:val="en-US"/>
        </w:rPr>
        <w:t>3</w:t>
      </w:r>
      <w:r>
        <w:rPr>
          <w:lang w:val="en-US"/>
        </w:rPr>
        <w:t xml:space="preserve"> (28.6%) according to reaction (1):</w:t>
      </w:r>
    </w:p>
    <w:p>
      <w:pPr>
        <w:pStyle w:val="Normal"/>
        <w:ind w:hanging="0"/>
        <w:jc w:val="center"/>
        <w:rPr>
          <w:lang w:val="en-US"/>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firstLine="426"/>
        <w:rPr>
          <w:rFonts w:ascii="Times New Roman" w:hAnsi="Times New Roman" w:cs="Times New Roman"/>
          <w:lang w:val="en-US"/>
        </w:rPr>
      </w:pPr>
      <w:r>
        <w:rPr>
          <w:rFonts w:cs="Times New Roman" w:ascii="Times New Roman" w:hAnsi="Times New Roman"/>
          <w:lang w:val="en-US"/>
        </w:rPr>
        <w:t xml:space="preserve">This indicates that 4-nitrobenzene diazonium fluoride </w:t>
      </w:r>
      <w:r>
        <w:rPr>
          <w:rFonts w:cs="Times New Roman" w:ascii="Times New Roman" w:hAnsi="Times New Roman"/>
          <w:b/>
          <w:lang w:val="en-US"/>
        </w:rPr>
        <w:t>3a</w:t>
      </w:r>
      <w:r>
        <w:rPr>
          <w:rFonts w:cs="Times New Roman" w:ascii="Times New Roman" w:hAnsi="Times New Roman"/>
          <w:lang w:val="en-US"/>
        </w:rPr>
        <w:t xml:space="preserve"> should undergo further decomposition at 146.5 ° C.</w:t>
      </w:r>
    </w:p>
    <w:p>
      <w:pPr>
        <w:pStyle w:val="Normal"/>
        <w:ind w:firstLine="426"/>
        <w:rPr>
          <w:lang w:val="en-US"/>
        </w:rPr>
      </w:pPr>
      <w:r>
        <w:rPr>
          <w:lang w:val="en-US"/>
        </w:rPr>
        <w:t xml:space="preserve">The major weight loss upon heating of DSs </w:t>
      </w:r>
      <w:r>
        <w:rPr>
          <w:b/>
          <w:lang w:val="en-US"/>
        </w:rPr>
        <w:t>1-3</w:t>
      </w:r>
      <w:r>
        <w:rPr>
          <w:lang w:val="en-US"/>
        </w:rPr>
        <w:t xml:space="preserve"> occurs in exothermic processes, which is clearly associated with the formation of volatile decomposition products (Fig. 1-6).</w:t>
      </w:r>
    </w:p>
    <w:p>
      <w:pPr>
        <w:pStyle w:val="Normal"/>
        <w:ind w:hanging="0"/>
        <w:rPr>
          <w:lang w:val="en-US"/>
        </w:rPr>
      </w:pPr>
      <w:r>
        <w:rPr>
          <w:lang w:val="en-US"/>
        </w:rPr>
      </w:r>
    </w:p>
    <w:p>
      <w:pPr>
        <w:pStyle w:val="Normal"/>
        <w:ind w:hanging="0"/>
        <w:rPr>
          <w:lang w:val="en-US"/>
        </w:rPr>
      </w:pPr>
      <w:r>
        <w:rPr>
          <w:lang w:val="en-US"/>
        </w:rPr>
        <w:t xml:space="preserve">Table 1. Temperatures and decomposition energies of diazonium salts </w:t>
      </w:r>
      <w:r>
        <w:rPr>
          <w:b/>
          <w:lang w:val="en-US"/>
        </w:rPr>
        <w:t>1-3</w:t>
      </w:r>
      <w:r>
        <w:rPr>
          <w:lang w:val="en-US"/>
        </w:rPr>
        <w:t xml:space="preserve"> according to DSC\TGA experiments data. </w:t>
      </w:r>
    </w:p>
    <w:tbl>
      <w:tblPr>
        <w:tblW w:w="5000" w:type="pct"/>
        <w:jc w:val="left"/>
        <w:tblInd w:w="7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73" w:type="dxa"/>
          <w:bottom w:w="0" w:type="dxa"/>
          <w:right w:w="108" w:type="dxa"/>
        </w:tblCellMar>
        <w:tblLook w:val="0000" w:noVBand="0" w:noHBand="0" w:lastColumn="0" w:firstColumn="0" w:lastRow="0" w:firstRow="0"/>
      </w:tblPr>
      <w:tblGrid>
        <w:gridCol w:w="2769"/>
        <w:gridCol w:w="1028"/>
        <w:gridCol w:w="2483"/>
        <w:gridCol w:w="1"/>
        <w:gridCol w:w="910"/>
        <w:gridCol w:w="2447"/>
      </w:tblGrid>
      <w:tr>
        <w:trPr/>
        <w:tc>
          <w:tcPr>
            <w:tcW w:w="2769"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bCs/>
                <w:color w:val="000000"/>
                <w:lang w:val="en-US"/>
              </w:rPr>
            </w:pPr>
            <w:r>
              <w:rPr>
                <w:bCs/>
                <w:color w:val="000000"/>
                <w:lang w:val="en-US"/>
              </w:rPr>
              <w:t>Diazonium salts</w:t>
            </w:r>
          </w:p>
        </w:tc>
        <w:tc>
          <w:tcPr>
            <w:tcW w:w="3512"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lang w:val="en-US"/>
              </w:rPr>
            </w:pPr>
            <w:r>
              <w:rPr>
                <w:lang w:val="en-US"/>
              </w:rPr>
              <w:t>Endothermic process</w:t>
            </w:r>
          </w:p>
        </w:tc>
        <w:tc>
          <w:tcPr>
            <w:tcW w:w="335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lang w:val="en-US"/>
              </w:rPr>
            </w:pPr>
            <w:r>
              <w:rPr>
                <w:lang w:val="en-US"/>
              </w:rPr>
              <w:t>Exothermic process</w:t>
            </w:r>
          </w:p>
        </w:tc>
      </w:tr>
      <w:tr>
        <w:trPr/>
        <w:tc>
          <w:tcPr>
            <w:tcW w:w="276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rPr>
                <w:lang w:val="en-US"/>
              </w:rPr>
            </w:pPr>
            <w:r>
              <w:rPr>
                <w:lang w:val="en-US"/>
              </w:rPr>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xml:space="preserve"> J/g (kJ/mol)</w:t>
            </w:r>
          </w:p>
        </w:tc>
        <w:tc>
          <w:tcPr>
            <w:tcW w:w="91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J/g (kJ/mol)</w:t>
            </w:r>
          </w:p>
        </w:tc>
      </w:tr>
      <w:tr>
        <w:trPr/>
        <w:tc>
          <w:tcPr>
            <w:tcW w:w="2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left"/>
              <w:rPr>
                <w:lang w:val="en-US"/>
              </w:rPr>
            </w:pP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104.1</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73.49 (21.98)</w:t>
            </w:r>
          </w:p>
        </w:tc>
        <w:tc>
          <w:tcPr>
            <w:tcW w:w="91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color w:val="000000"/>
                <w:szCs w:val="28"/>
                <w:lang w:val="en-US"/>
              </w:rPr>
            </w:pPr>
            <w:r>
              <w:rPr>
                <w:color w:val="000000"/>
                <w:szCs w:val="28"/>
                <w:lang w:val="en-US"/>
              </w:rPr>
              <w:t>143.3</w:t>
            </w:r>
          </w:p>
        </w:tc>
        <w:tc>
          <w:tcPr>
            <w:tcW w:w="2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lang w:val="en-US"/>
              </w:rPr>
            </w:pPr>
            <w:r>
              <w:rPr>
                <w:color w:val="000000"/>
                <w:szCs w:val="28"/>
                <w:lang w:val="en-US"/>
              </w:rPr>
              <w:t>-753.4 (-225.3)</w:t>
            </w:r>
          </w:p>
        </w:tc>
      </w:tr>
      <w:tr>
        <w:trPr/>
        <w:tc>
          <w:tcPr>
            <w:tcW w:w="2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left"/>
              <w:rPr>
                <w:lang w:val="en-US"/>
              </w:rPr>
            </w:pP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102.5</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43.6 (10.04)</w:t>
            </w:r>
          </w:p>
        </w:tc>
        <w:tc>
          <w:tcPr>
            <w:tcW w:w="91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color w:val="000000"/>
                <w:szCs w:val="28"/>
                <w:lang w:val="en-US"/>
              </w:rPr>
            </w:pPr>
            <w:r>
              <w:rPr>
                <w:color w:val="000000"/>
                <w:szCs w:val="28"/>
                <w:lang w:val="en-US"/>
              </w:rPr>
              <w:t>111.2</w:t>
            </w:r>
          </w:p>
        </w:tc>
        <w:tc>
          <w:tcPr>
            <w:tcW w:w="2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lang w:val="en-US"/>
              </w:rPr>
            </w:pPr>
            <w:r>
              <w:rPr>
                <w:color w:val="000000"/>
                <w:szCs w:val="28"/>
                <w:lang w:val="en-US"/>
              </w:rPr>
              <w:t>-840.4 (-251.3)</w:t>
            </w:r>
          </w:p>
        </w:tc>
      </w:tr>
      <w:tr>
        <w:trPr/>
        <w:tc>
          <w:tcPr>
            <w:tcW w:w="2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w:t>
            </w:r>
          </w:p>
        </w:tc>
        <w:tc>
          <w:tcPr>
            <w:tcW w:w="91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color w:val="000000"/>
                <w:szCs w:val="28"/>
                <w:lang w:val="en-US"/>
              </w:rPr>
            </w:pPr>
            <w:r>
              <w:rPr>
                <w:color w:val="000000"/>
                <w:szCs w:val="28"/>
                <w:lang w:val="en-US"/>
              </w:rPr>
              <w:t>116.4</w:t>
            </w:r>
          </w:p>
        </w:tc>
        <w:tc>
          <w:tcPr>
            <w:tcW w:w="2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lang w:val="en-US"/>
              </w:rPr>
            </w:pPr>
            <w:r>
              <w:rPr>
                <w:color w:val="000000"/>
                <w:szCs w:val="28"/>
                <w:lang w:val="en-US"/>
              </w:rPr>
              <w:t>-219.9 (-65.7)</w:t>
            </w:r>
          </w:p>
        </w:tc>
      </w:tr>
      <w:tr>
        <w:trPr/>
        <w:tc>
          <w:tcPr>
            <w:tcW w:w="2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left"/>
              <w:rPr>
                <w:lang w:val="en-US"/>
              </w:rPr>
            </w:pP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88.4</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102.2 (29.05)</w:t>
            </w:r>
          </w:p>
        </w:tc>
        <w:tc>
          <w:tcPr>
            <w:tcW w:w="91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color w:val="000000"/>
                <w:szCs w:val="28"/>
                <w:lang w:val="en-US"/>
              </w:rPr>
            </w:pPr>
            <w:r>
              <w:rPr>
                <w:color w:val="000000"/>
                <w:szCs w:val="28"/>
                <w:lang w:val="en-US"/>
              </w:rPr>
              <w:t>136.6</w:t>
            </w:r>
          </w:p>
        </w:tc>
        <w:tc>
          <w:tcPr>
            <w:tcW w:w="2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lang w:val="en-US"/>
              </w:rPr>
            </w:pPr>
            <w:r>
              <w:rPr>
                <w:color w:val="000000"/>
                <w:szCs w:val="28"/>
                <w:lang w:val="en-US"/>
              </w:rPr>
              <w:t>-328.9 (-93.5)</w:t>
            </w:r>
          </w:p>
        </w:tc>
      </w:tr>
      <w:tr>
        <w:trPr/>
        <w:tc>
          <w:tcPr>
            <w:tcW w:w="2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w:t>
            </w:r>
          </w:p>
        </w:tc>
        <w:tc>
          <w:tcPr>
            <w:tcW w:w="91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color w:val="000000"/>
                <w:szCs w:val="28"/>
                <w:lang w:val="en-US"/>
              </w:rPr>
            </w:pPr>
            <w:r>
              <w:rPr>
                <w:color w:val="000000"/>
                <w:szCs w:val="28"/>
                <w:lang w:val="en-US"/>
              </w:rPr>
              <w:t>69.37</w:t>
            </w:r>
          </w:p>
          <w:p>
            <w:pPr>
              <w:pStyle w:val="Normal"/>
              <w:spacing w:lineRule="auto" w:line="240"/>
              <w:ind w:hanging="0"/>
              <w:jc w:val="center"/>
              <w:rPr>
                <w:color w:val="000000"/>
                <w:szCs w:val="28"/>
                <w:lang w:val="en-US"/>
              </w:rPr>
            </w:pPr>
            <w:r>
              <w:rPr>
                <w:color w:val="000000"/>
                <w:szCs w:val="28"/>
                <w:lang w:val="en-US"/>
              </w:rPr>
              <w:t>146.6</w:t>
            </w:r>
          </w:p>
        </w:tc>
        <w:tc>
          <w:tcPr>
            <w:tcW w:w="2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color w:val="000000"/>
                <w:szCs w:val="28"/>
                <w:lang w:val="en-US"/>
              </w:rPr>
            </w:pPr>
            <w:r>
              <w:rPr>
                <w:color w:val="000000"/>
                <w:szCs w:val="28"/>
                <w:lang w:val="en-US"/>
              </w:rPr>
              <w:t>-24.47 (-7.8)</w:t>
            </w:r>
          </w:p>
          <w:p>
            <w:pPr>
              <w:pStyle w:val="Normal"/>
              <w:spacing w:lineRule="auto" w:line="240"/>
              <w:ind w:hanging="0"/>
              <w:jc w:val="center"/>
              <w:rPr>
                <w:color w:val="000000"/>
                <w:szCs w:val="28"/>
                <w:lang w:val="en-US"/>
              </w:rPr>
            </w:pPr>
            <w:r>
              <w:rPr>
                <w:color w:val="000000"/>
                <w:szCs w:val="28"/>
                <w:lang w:val="en-US"/>
              </w:rPr>
              <w:t>-323.0 (-103.7)</w:t>
            </w:r>
          </w:p>
        </w:tc>
      </w:tr>
      <w:tr>
        <w:trPr/>
        <w:tc>
          <w:tcPr>
            <w:tcW w:w="27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33.7</w:t>
            </w:r>
          </w:p>
        </w:tc>
        <w:tc>
          <w:tcPr>
            <w:tcW w:w="24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tcPr>
          <w:p>
            <w:pPr>
              <w:pStyle w:val="Normal"/>
              <w:spacing w:lineRule="auto" w:line="240"/>
              <w:ind w:hanging="0"/>
              <w:jc w:val="center"/>
              <w:rPr>
                <w:color w:val="000000"/>
                <w:szCs w:val="28"/>
                <w:lang w:val="en-US"/>
              </w:rPr>
            </w:pPr>
            <w:r>
              <w:rPr>
                <w:color w:val="000000"/>
                <w:szCs w:val="28"/>
                <w:lang w:val="en-US"/>
              </w:rPr>
              <w:t>617.3 (146.3)</w:t>
            </w:r>
          </w:p>
        </w:tc>
        <w:tc>
          <w:tcPr>
            <w:tcW w:w="91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color w:val="000000"/>
                <w:szCs w:val="28"/>
                <w:lang w:val="en-US"/>
              </w:rPr>
            </w:pPr>
            <w:r>
              <w:rPr>
                <w:color w:val="000000"/>
                <w:szCs w:val="28"/>
                <w:lang w:val="en-US"/>
              </w:rPr>
              <w:t>146.5</w:t>
            </w:r>
          </w:p>
        </w:tc>
        <w:tc>
          <w:tcPr>
            <w:tcW w:w="24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73" w:type="dxa"/>
            </w:tcMar>
            <w:vAlign w:val="center"/>
          </w:tcPr>
          <w:p>
            <w:pPr>
              <w:pStyle w:val="Normal"/>
              <w:spacing w:lineRule="auto" w:line="240"/>
              <w:ind w:hanging="0"/>
              <w:jc w:val="center"/>
              <w:rPr>
                <w:color w:val="000000"/>
                <w:szCs w:val="28"/>
                <w:lang w:val="en-US"/>
              </w:rPr>
            </w:pPr>
            <w:r>
              <w:rPr>
                <w:color w:val="000000"/>
                <w:szCs w:val="28"/>
                <w:lang w:val="en-US"/>
              </w:rPr>
              <w:t>-229.2 (-54.3)</w:t>
            </w:r>
          </w:p>
        </w:tc>
      </w:tr>
    </w:tbl>
    <w:p>
      <w:pPr>
        <w:pStyle w:val="Normal"/>
        <w:rPr>
          <w:lang w:val="en-US"/>
        </w:rPr>
      </w:pPr>
      <w:r>
        <w:rPr>
          <w:lang w:val="en-US"/>
        </w:rPr>
      </w:r>
    </w:p>
    <w:p>
      <w:pPr>
        <w:pStyle w:val="Normal"/>
        <w:rPr>
          <w:lang w:val="en-US"/>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hanging="0"/>
        <w:jc w:val="center"/>
        <w:rPr>
          <w:lang w:val="en-US"/>
        </w:rPr>
      </w:pPr>
      <w:r>
        <w:rPr>
          <w:lang w:val="en-US"/>
        </w:rPr>
        <w:t xml:space="preserve">Figure 1. DSC/TGA thermograms of thermal decomposition of DS </w:t>
      </w: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1a</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hanging="0"/>
        <w:jc w:val="center"/>
        <w:rPr>
          <w:lang w:val="en-US"/>
        </w:rPr>
      </w:pPr>
      <w:r>
        <w:rPr>
          <w:lang w:val="en-US"/>
        </w:rPr>
        <w:t xml:space="preserve">Figure 2. DSC/TGA thermograms of thermal decomposition of </w:t>
      </w: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1b</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hanging="0"/>
        <w:jc w:val="center"/>
        <w:rPr>
          <w:lang w:val="en-US"/>
        </w:rPr>
      </w:pPr>
      <w:r>
        <w:rPr>
          <w:lang w:val="en-US"/>
        </w:rPr>
        <w:t>Figure 3. DSC/TGA thermograms of thermal decomposition of 4</w:t>
      </w:r>
      <w:r>
        <w:rPr>
          <w:color w:val="000000"/>
          <w:szCs w:val="28"/>
          <w:lang w:val="en-US"/>
        </w:rPr>
        <w:t>-NO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1c</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hanging="0"/>
        <w:jc w:val="center"/>
        <w:rPr>
          <w:lang w:val="en-US"/>
        </w:rPr>
      </w:pPr>
      <w:r>
        <w:rPr>
          <w:lang w:val="en-US"/>
        </w:rPr>
        <w:t xml:space="preserve">Figure 4. DSC/TGA thermograms of thermal decomposition of </w:t>
      </w: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1d</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hanging="0"/>
        <w:jc w:val="center"/>
        <w:rPr>
          <w:lang w:val="en-US"/>
        </w:rPr>
      </w:pPr>
      <w:r>
        <w:rPr>
          <w:lang w:val="en-US"/>
        </w:rPr>
        <w:t xml:space="preserve">Figure 5.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bCs/>
          <w:color w:val="000000"/>
          <w:szCs w:val="28"/>
          <w:lang w:val="en-US"/>
        </w:rPr>
        <w:t>2 c</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hanging="0"/>
        <w:jc w:val="center"/>
        <w:rPr>
          <w:lang w:val="en-US"/>
        </w:rPr>
      </w:pPr>
      <w:r>
        <w:rPr>
          <w:lang w:val="en-US"/>
        </w:rPr>
        <w:t xml:space="preserve">Figure 6.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bCs/>
          <w:color w:val="000000"/>
          <w:szCs w:val="28"/>
          <w:lang w:val="en-US"/>
        </w:rPr>
        <w:t>3</w:t>
      </w:r>
    </w:p>
    <w:p>
      <w:pPr>
        <w:pStyle w:val="Normal"/>
        <w:ind w:firstLine="567"/>
        <w:rPr>
          <w:lang w:val="en-US"/>
        </w:rPr>
      </w:pPr>
      <w:r>
        <w:rPr>
          <w:lang w:val="en-US"/>
        </w:rPr>
        <w:t xml:space="preserve">The exothermic effects </w:t>
      </w:r>
      <w:r>
        <w:rPr>
          <w:rFonts w:eastAsia="Symbol" w:cs="Symbol" w:ascii="Symbol" w:hAnsi="Symbol"/>
          <w:lang w:val="en-US"/>
        </w:rPr>
        <w:t></w:t>
      </w:r>
      <w:r>
        <w:rPr>
          <w:lang w:val="en-US"/>
        </w:rPr>
        <w:t>H</w:t>
      </w:r>
      <w:r>
        <w:rPr>
          <w:vertAlign w:val="subscript"/>
          <w:lang w:val="en-US"/>
        </w:rPr>
        <w:t>exoterm</w:t>
      </w:r>
      <w:r>
        <w:rPr>
          <w:lang w:val="en-US"/>
        </w:rPr>
        <w:t xml:space="preserve"> of DSs </w:t>
      </w:r>
      <w:r>
        <w:rPr>
          <w:b/>
          <w:lang w:val="en-US"/>
        </w:rPr>
        <w:t>1-3</w:t>
      </w:r>
      <w:r>
        <w:rPr>
          <w:lang w:val="en-US"/>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lang w:val="en-US"/>
        </w:rPr>
        <w:t>1a-d</w:t>
      </w:r>
      <w:r>
        <w:rPr>
          <w:lang w:val="en-US"/>
        </w:rPr>
        <w:t xml:space="preserve"> with a triflate counterion, the energy release during decomposition is the highest for 3-nitro-derivative </w:t>
      </w:r>
      <w:r>
        <w:rPr>
          <w:b/>
          <w:lang w:val="en-US"/>
        </w:rPr>
        <w:t>1b</w:t>
      </w:r>
      <w:r>
        <w:rPr>
          <w:lang w:val="en-US"/>
        </w:rPr>
        <w:t xml:space="preserve"> and decreases noticeably in the row </w:t>
      </w:r>
      <w:r>
        <w:rPr>
          <w:b/>
          <w:bCs/>
          <w:lang w:val="en-US"/>
        </w:rPr>
        <w:t>1b</w:t>
      </w:r>
      <w:r>
        <w:rPr>
          <w:lang w:val="en-US"/>
        </w:rPr>
        <w:t xml:space="preserve"> &gt; </w:t>
      </w:r>
      <w:r>
        <w:rPr>
          <w:b/>
          <w:bCs/>
          <w:lang w:val="en-US"/>
        </w:rPr>
        <w:t>1a</w:t>
      </w:r>
      <w:r>
        <w:rPr>
          <w:lang w:val="en-US"/>
        </w:rPr>
        <w:t xml:space="preserve"> &gt; </w:t>
      </w:r>
      <w:r>
        <w:rPr>
          <w:b/>
          <w:bCs/>
          <w:lang w:val="en-US"/>
        </w:rPr>
        <w:t>1d</w:t>
      </w:r>
      <w:r>
        <w:rPr>
          <w:lang w:val="en-US"/>
        </w:rPr>
        <w:t xml:space="preserve"> &gt; </w:t>
      </w:r>
      <w:r>
        <w:rPr>
          <w:b/>
          <w:bCs/>
          <w:lang w:val="en-US"/>
        </w:rPr>
        <w:t>1c</w:t>
      </w:r>
      <w:r>
        <w:rPr>
          <w:lang w:val="en-US"/>
        </w:rPr>
        <w:t xml:space="preserve">. Among DSs having the same 4-nitrobenzene diazonium cation and different counterions, the energy release decreases in the row </w:t>
      </w:r>
      <w:r>
        <w:rPr>
          <w:b/>
          <w:bCs/>
          <w:lang w:val="en-US"/>
        </w:rPr>
        <w:t>2c</w:t>
      </w:r>
      <w:r>
        <w:rPr>
          <w:lang w:val="en-US"/>
        </w:rPr>
        <w:t xml:space="preserve"> &gt; </w:t>
      </w:r>
      <w:r>
        <w:rPr>
          <w:b/>
          <w:bCs/>
          <w:lang w:val="en-US"/>
        </w:rPr>
        <w:t>1c</w:t>
      </w:r>
      <w:r>
        <w:rPr>
          <w:lang w:val="en-US"/>
        </w:rPr>
        <w:t xml:space="preserve"> </w:t>
      </w:r>
      <w:r>
        <w:rPr>
          <w:rFonts w:cs="Times New Roman" w:ascii="Times New Roman" w:hAnsi="Times New Roman"/>
          <w:lang w:val="en-US"/>
        </w:rPr>
        <w:t>≈</w:t>
      </w:r>
      <w:r>
        <w:rPr>
          <w:lang w:val="en-US"/>
        </w:rPr>
        <w:t xml:space="preserve"> </w:t>
      </w:r>
      <w:r>
        <w:rPr>
          <w:b/>
          <w:bCs/>
          <w:lang w:val="en-US"/>
        </w:rPr>
        <w:t>3</w:t>
      </w:r>
      <w:r>
        <w:rPr>
          <w:bCs/>
          <w:lang w:val="en-US"/>
        </w:rPr>
        <w:t xml:space="preserve">. Therefore, </w:t>
      </w:r>
      <w:r>
        <w:rPr>
          <w:lang w:val="en-US"/>
        </w:rPr>
        <w:t>the highest heat release is observed for DS with a TsO- counterion. However, a change in the counterion nature affects exothermic decomposition process substantially less than the position and type of substituents in the benzene ring.</w:t>
      </w:r>
    </w:p>
    <w:p>
      <w:pPr>
        <w:pStyle w:val="2"/>
        <w:numPr>
          <w:ilvl w:val="1"/>
          <w:numId w:val="2"/>
        </w:numPr>
        <w:ind w:left="0" w:firstLine="397"/>
        <w:rPr>
          <w:lang w:val="en-US"/>
        </w:rPr>
      </w:pPr>
      <w:r>
        <w:rPr>
          <w:lang w:val="en-US"/>
        </w:rPr>
        <w:t>Isothermal flow calorimetry results</w:t>
      </w:r>
    </w:p>
    <w:p>
      <w:pPr>
        <w:pStyle w:val="Style20"/>
        <w:rPr>
          <w:lang w:val="en-US"/>
        </w:rPr>
      </w:pPr>
      <w:r>
        <w:rPr>
          <w:highlight w:val="yellow"/>
          <w:lang w:val="en-US"/>
        </w:rPr>
        <w:t>With DSC/TGA data in our hands we moved on to isothermal flow calorimetry analysis of DSs studied</w:t>
      </w:r>
      <w:r>
        <w:rPr>
          <w:lang w:val="en-US"/>
        </w:rPr>
        <w:t xml:space="preserve">.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cs="Times New Roman" w:ascii="Times New Roman" w:hAnsi="Times New Roman"/>
          <w:lang w:val="en-US"/>
        </w:rPr>
        <w:t>ADTS</w:t>
      </w:r>
      <w:r>
        <w:rPr>
          <w:lang w:val="en-US"/>
        </w:rPr>
        <w:t xml:space="preserve"> </w:t>
      </w:r>
      <w:r>
        <w:rPr>
          <w:b/>
          <w:bCs/>
          <w:lang w:val="en-US"/>
        </w:rPr>
        <w:t xml:space="preserve">2 </w:t>
      </w:r>
      <w:r>
        <w:rPr>
          <w:bCs/>
          <w:lang w:val="en-US"/>
        </w:rPr>
        <w:t xml:space="preserve">from </w:t>
      </w:r>
      <w:r>
        <w:rPr>
          <w:lang w:val="en-US"/>
        </w:rPr>
        <w:t xml:space="preserve">three synthetic batches obtained under identical conditions (samples 1-3) and samples of </w:t>
      </w:r>
      <w:r>
        <w:rPr>
          <w:rFonts w:cs="Times New Roman" w:ascii="Times New Roman" w:hAnsi="Times New Roman"/>
          <w:lang w:val="en-US"/>
        </w:rPr>
        <w:t>ADTS</w:t>
      </w:r>
      <w:r>
        <w:rPr>
          <w:lang w:val="en-US"/>
        </w:rPr>
        <w:t xml:space="preserve"> </w:t>
      </w:r>
      <w:r>
        <w:rPr>
          <w:b/>
          <w:bCs/>
          <w:lang w:val="en-US"/>
        </w:rPr>
        <w:t xml:space="preserve">2 </w:t>
      </w:r>
      <w:r>
        <w:rPr>
          <w:lang w:val="en-US"/>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Normal"/>
        <w:rPr>
          <w:lang w:val="en-US"/>
        </w:rPr>
      </w:pPr>
      <w:r>
        <w:rPr>
          <w:lang w:val="en-US"/>
        </w:rPr>
      </w:r>
    </w:p>
    <w:p>
      <w:pPr>
        <w:pStyle w:val="Normal"/>
        <w:ind w:hanging="0"/>
        <w:rPr>
          <w:lang w:val="en-US"/>
        </w:rPr>
      </w:pPr>
      <w:r>
        <w:rPr>
          <w:lang w:val="en-US"/>
        </w:rPr>
        <w:t xml:space="preserve">Table 2. The reproducibility of the DS </w:t>
      </w:r>
      <w:r>
        <w:rPr>
          <w:b/>
          <w:lang w:val="en-US"/>
        </w:rPr>
        <w:t>2</w:t>
      </w:r>
      <w:r>
        <w:rPr>
          <w:lang w:val="en-US"/>
        </w:rPr>
        <w:t xml:space="preserve"> thermal decomposition parameters measured at 85 ° </w:t>
      </w:r>
      <w:r>
        <w:rPr>
          <w:bCs/>
          <w:lang w:val="en-US"/>
        </w:rPr>
        <w:t>C</w:t>
      </w:r>
      <w:r>
        <w:rPr>
          <w:lang w:val="en-US"/>
        </w:rPr>
        <w:t xml:space="preserve"> depending on synthetic batch and a number of repricipitations (k – rate constant, С</w:t>
      </w:r>
      <w:r>
        <w:rPr>
          <w:vertAlign w:val="subscript"/>
          <w:lang w:val="en-US"/>
        </w:rPr>
        <w:t>0</w:t>
      </w:r>
      <w:r>
        <w:rPr>
          <w:lang w:val="en-US"/>
        </w:rPr>
        <w:t xml:space="preserve"> — initial product concentration according to equation 2, </w:t>
      </w:r>
      <w:r>
        <w:rPr>
          <w:rFonts w:ascii="Symbol" w:hAnsi="Symbol"/>
          <w:sz w:val="16"/>
          <w:szCs w:val="16"/>
          <w:lang w:val="en-US"/>
        </w:rPr>
        <w:t></w:t>
      </w:r>
      <w:r>
        <w:rPr>
          <w:lang w:val="en-US"/>
        </w:rPr>
        <w:t>H - integral enthalpy, P</w:t>
      </w:r>
      <w:r>
        <w:rPr>
          <w:vertAlign w:val="subscript"/>
          <w:lang w:val="en-US"/>
        </w:rPr>
        <w:t>0</w:t>
      </w:r>
      <w:r>
        <w:rPr>
          <w:lang w:val="en-US"/>
        </w:rPr>
        <w:t xml:space="preserve"> — initial heat flow). </w:t>
      </w:r>
    </w:p>
    <w:p>
      <w:pPr>
        <w:pStyle w:val="Normal"/>
        <w:ind w:hanging="0"/>
        <w:rPr>
          <w:lang w:val="en-US"/>
        </w:rPr>
      </w:pPr>
      <w:r>
        <w:rPr>
          <w:lang w:val="en-US"/>
        </w:rPr>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000" w:noVBand="0" w:noHBand="0" w:lastColumn="0" w:firstColumn="0" w:lastRow="0" w:firstRow="0"/>
      </w:tblPr>
      <w:tblGrid>
        <w:gridCol w:w="4359"/>
        <w:gridCol w:w="1930"/>
        <w:gridCol w:w="1475"/>
        <w:gridCol w:w="1391"/>
      </w:tblGrid>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Sample</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rFonts w:cs="Arial" w:ascii="Free Times" w:hAnsi="Free Times"/>
                <w:b/>
                <w:sz w:val="22"/>
                <w:szCs w:val="22"/>
                <w:lang w:val="en-US"/>
              </w:rPr>
              <w:t>k, g·mol</w:t>
            </w:r>
            <w:r>
              <w:rPr>
                <w:rFonts w:cs="Arial" w:ascii="Free Times" w:hAnsi="Free Times"/>
                <w:b/>
                <w:sz w:val="22"/>
                <w:szCs w:val="22"/>
                <w:vertAlign w:val="superscript"/>
                <w:lang w:val="en-US"/>
              </w:rPr>
              <w:t>-1</w:t>
            </w:r>
            <w:r>
              <w:rPr>
                <w:rFonts w:cs="Arial" w:ascii="Free Times" w:hAnsi="Free Times"/>
                <w:b/>
                <w:sz w:val="22"/>
                <w:szCs w:val="22"/>
                <w:lang w:val="en-US"/>
              </w:rPr>
              <w:t>·с</w:t>
            </w:r>
            <w:r>
              <w:rPr>
                <w:rFonts w:cs="Arial" w:ascii="Free Times" w:hAnsi="Free Times"/>
                <w:b/>
                <w:sz w:val="22"/>
                <w:szCs w:val="22"/>
                <w:vertAlign w:val="superscript"/>
                <w:lang w:val="en-US"/>
              </w:rPr>
              <w:t>-1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rFonts w:cs="Arial" w:ascii="Symbol" w:hAnsi="Symbol"/>
                <w:b/>
                <w:sz w:val="16"/>
                <w:szCs w:val="16"/>
                <w:lang w:val="en-US"/>
              </w:rPr>
              <w:t></w:t>
            </w:r>
            <w:r>
              <w:rPr>
                <w:rFonts w:cs="Arial" w:ascii="Free Times" w:hAnsi="Free Times"/>
                <w:b/>
                <w:sz w:val="22"/>
                <w:szCs w:val="22"/>
                <w:lang w:val="en-US"/>
              </w:rPr>
              <w:t>H, kJ·mol</w:t>
            </w:r>
            <w:r>
              <w:rPr>
                <w:rFonts w:cs="Arial" w:ascii="Free Times" w:hAnsi="Free Times"/>
                <w:b/>
                <w:sz w:val="22"/>
                <w:szCs w:val="22"/>
                <w:vertAlign w:val="superscript"/>
                <w:lang w:val="en-US"/>
              </w:rPr>
              <w:t>-1</w:t>
            </w:r>
            <w:r>
              <w:rPr>
                <w:rFonts w:cs="Arial" w:ascii="Free Times" w:hAnsi="Free Times"/>
                <w:b/>
                <w:sz w:val="22"/>
                <w:szCs w:val="22"/>
                <w:lang w:val="en-US"/>
              </w:rPr>
              <w:t xml:space="preserve"> </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lang w:val="en-US"/>
              </w:rPr>
            </w:pPr>
            <w:r>
              <w:rPr>
                <w:rFonts w:cs="Arial" w:ascii="Free Times" w:hAnsi="Free Times"/>
                <w:b/>
                <w:sz w:val="22"/>
                <w:szCs w:val="22"/>
                <w:lang w:val="en-US"/>
              </w:rPr>
              <w:t>P</w:t>
            </w:r>
            <w:r>
              <w:rPr>
                <w:rFonts w:cs="Arial" w:ascii="Free Times" w:hAnsi="Free Times"/>
                <w:b/>
                <w:sz w:val="22"/>
                <w:szCs w:val="22"/>
                <w:vertAlign w:val="subscript"/>
                <w:lang w:val="en-US"/>
              </w:rPr>
              <w:t>0</w:t>
            </w:r>
            <w:r>
              <w:rPr>
                <w:rFonts w:cs="Arial" w:ascii="Free Times" w:hAnsi="Free Times"/>
                <w:b/>
                <w:sz w:val="22"/>
                <w:szCs w:val="22"/>
                <w:lang w:val="en-US"/>
              </w:rPr>
              <w:t>,</w:t>
            </w:r>
            <w:r>
              <w:rPr>
                <w:rFonts w:cs="Arial" w:ascii="Free Times" w:hAnsi="Free Times"/>
                <w:b/>
                <w:sz w:val="22"/>
                <w:szCs w:val="22"/>
                <w:vertAlign w:val="subscript"/>
                <w:lang w:val="en-US"/>
              </w:rPr>
              <w:t xml:space="preserve"> </w:t>
            </w:r>
            <w:r>
              <w:rPr>
                <w:rFonts w:cs="Times New Roman" w:ascii="Free Times" w:hAnsi="Free Times"/>
                <w:b/>
                <w:sz w:val="22"/>
                <w:szCs w:val="22"/>
                <w:lang w:val="en-US"/>
              </w:rPr>
              <w:t>mW/g</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43"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93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rFonts w:cs="Arial" w:ascii="Free Times" w:hAnsi="Free Times"/>
                <w:sz w:val="22"/>
                <w:szCs w:val="22"/>
                <w:lang w:val="en-US"/>
              </w:rPr>
              <w:t>Sample 1 Nitrogen (repricipitation 1)</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0.0875 ± 0.0117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234.2 ± 3.0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 xml:space="preserve">  </w:t>
            </w:r>
            <w:r>
              <w:rPr>
                <w:rFonts w:cs="Arial" w:ascii="Free Times" w:hAnsi="Free Times"/>
                <w:sz w:val="22"/>
                <w:szCs w:val="22"/>
                <w:lang w:val="en-US"/>
              </w:rPr>
              <w:t>31.2 ± 8.1</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rFonts w:cs="Arial" w:ascii="Free Times" w:hAnsi="Free Times"/>
                <w:sz w:val="22"/>
                <w:szCs w:val="22"/>
                <w:lang w:val="en-US"/>
              </w:rPr>
              <w:t>Sample 2 Nitrogen, (source, repricipitation 1)</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0.0825 ± 0.0119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243.6 ± 20.7</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12.7 ± 3.5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rFonts w:cs="Arial" w:ascii="Free Times" w:hAnsi="Free Times"/>
                <w:sz w:val="22"/>
                <w:szCs w:val="22"/>
                <w:lang w:val="en-US"/>
              </w:rPr>
              <w:t>Sample 3 Nitrogen, (source, repricipitation 1)</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0.0848 ± 0.0091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235.5 ± 7.0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10.1 ± 3.5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43"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93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rFonts w:cs="Arial" w:ascii="Free Times" w:hAnsi="Free Times"/>
                <w:sz w:val="22"/>
                <w:szCs w:val="22"/>
                <w:lang w:val="en-US"/>
              </w:rPr>
              <w:t>Sample 3 Air, repricipitation 2</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0.0862 ± 0.0107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229.0 ± 28.9</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8.7 ± 8.5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rFonts w:cs="Arial" w:ascii="Free Times" w:hAnsi="Free Times"/>
                <w:sz w:val="22"/>
                <w:szCs w:val="22"/>
                <w:lang w:val="en-US"/>
              </w:rPr>
              <w:t>Sample 3 Argon, repricipitation 2</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0.1002 ± 0.0113</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242.3 ± 8.0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 xml:space="preserve">12.8 ± 2.4 </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Free Times" w:hAnsi="Free Times" w:cs="Arial"/>
                <w:sz w:val="22"/>
                <w:szCs w:val="22"/>
                <w:lang w:val="en-US"/>
              </w:rPr>
            </w:pPr>
            <w:r>
              <w:rPr>
                <w:rFonts w:cs="Arial" w:ascii="Free Times" w:hAnsi="Free Times"/>
                <w:sz w:val="22"/>
                <w:szCs w:val="22"/>
                <w:lang w:val="en-US"/>
              </w:rPr>
              <w:t xml:space="preserve">Sample 2, 3 Nitrogen, </w:t>
            </w:r>
          </w:p>
          <w:p>
            <w:pPr>
              <w:pStyle w:val="Style24"/>
              <w:spacing w:lineRule="auto" w:line="240"/>
              <w:ind w:hanging="0"/>
              <w:jc w:val="center"/>
              <w:rPr>
                <w:lang w:val="en-US"/>
              </w:rPr>
            </w:pPr>
            <w:r>
              <w:rPr>
                <w:rFonts w:cs="Arial" w:ascii="Free Times" w:hAnsi="Free Times"/>
                <w:sz w:val="22"/>
                <w:szCs w:val="22"/>
                <w:lang w:val="en-US"/>
              </w:rPr>
              <w:t>(source, repricipitation 1, 2)</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0.0838 ± 0.0059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238.9 ± 7.8</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11.2 ± 2.3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43" w:type="dxa"/>
            </w:tcMar>
            <w:vAlign w:val="center"/>
          </w:tcPr>
          <w:p>
            <w:pPr>
              <w:pStyle w:val="Style24"/>
              <w:ind w:hanging="0"/>
              <w:jc w:val="center"/>
              <w:rPr>
                <w:sz w:val="4"/>
                <w:szCs w:val="4"/>
                <w:lang w:val="en-US"/>
              </w:rPr>
            </w:pPr>
            <w:r>
              <w:rPr>
                <w:sz w:val="4"/>
                <w:szCs w:val="4"/>
                <w:lang w:val="en-US"/>
              </w:rPr>
            </w:r>
          </w:p>
        </w:tc>
        <w:tc>
          <w:tcPr>
            <w:tcW w:w="193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rFonts w:cs="Arial" w:ascii="Free Times" w:hAnsi="Free Times"/>
                <w:sz w:val="22"/>
                <w:szCs w:val="22"/>
                <w:lang w:val="en-US"/>
              </w:rPr>
              <w:t>Sample 4 Nitrogen, source</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0.0832 ± 0.0109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241.7 ± 16.2</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12.0 ± 2.0</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rFonts w:cs="Arial" w:ascii="Free Times" w:hAnsi="Free Times"/>
                <w:sz w:val="22"/>
                <w:szCs w:val="22"/>
                <w:lang w:val="en-US"/>
              </w:rPr>
              <w:t>Sample 4 Nitrogen, repricipitation 1</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0.0838 ± 0.0158</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235.1 ± 17.9</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10.2 ± 6.3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rFonts w:cs="Arial" w:ascii="Free Times" w:hAnsi="Free Times"/>
                <w:sz w:val="22"/>
                <w:szCs w:val="22"/>
                <w:lang w:val="en-US"/>
              </w:rPr>
              <w:t>Sample 4 Nitrogen, repricipitation 2</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0.0931 ± 0.0071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238.1 ± 6.8</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11.3 ± 2.3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40" w:type="dxa"/>
            </w:tcMar>
            <w:vAlign w:val="center"/>
          </w:tcPr>
          <w:p>
            <w:pPr>
              <w:pStyle w:val="Style24"/>
              <w:ind w:hanging="0"/>
              <w:jc w:val="center"/>
              <w:rPr>
                <w:sz w:val="4"/>
                <w:szCs w:val="4"/>
                <w:lang w:val="en-US"/>
              </w:rPr>
            </w:pPr>
            <w:r>
              <w:rPr>
                <w:sz w:val="4"/>
                <w:szCs w:val="4"/>
                <w:lang w:val="en-US"/>
              </w:rPr>
            </w:r>
          </w:p>
        </w:tc>
        <w:tc>
          <w:tcPr>
            <w:tcW w:w="193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General statistics</w:t>
            </w:r>
          </w:p>
        </w:tc>
        <w:tc>
          <w:tcPr>
            <w:tcW w:w="193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0.0882 ± 0.0045</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237.7 ± 4.6</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13.8 ± 3.3</w:t>
            </w:r>
          </w:p>
        </w:tc>
      </w:tr>
    </w:tbl>
    <w:p>
      <w:pPr>
        <w:pStyle w:val="Normal"/>
        <w:jc w:val="center"/>
        <w:rPr>
          <w:highlight w:val="yellow"/>
          <w:lang w:val="en-US"/>
        </w:rPr>
      </w:pPr>
      <w:r>
        <w:rPr>
          <w:highlight w:val="yellow"/>
          <w:lang w:val="en-US"/>
        </w:rPr>
      </w:r>
    </w:p>
    <w:p>
      <w:pPr>
        <w:pStyle w:val="Normal"/>
        <w:rPr/>
      </w:pPr>
      <w:r>
        <w:rPr>
          <w:lang w:val="en-US"/>
        </w:rPr>
        <w:t xml:space="preserve">Table 1 and Fig. 7-10 show the results of isothermal decomposition of DSs </w:t>
      </w:r>
      <w:r>
        <w:rPr>
          <w:b/>
          <w:bCs/>
          <w:lang w:val="en-US"/>
        </w:rPr>
        <w:t>1-3</w:t>
      </w:r>
      <w:r>
        <w:rPr>
          <w:bCs/>
          <w:lang w:val="en-US"/>
        </w:rPr>
        <w:t xml:space="preserve"> at</w:t>
      </w:r>
      <w:r>
        <w:rPr>
          <w:b/>
          <w:bCs/>
          <w:lang w:val="en-US"/>
        </w:rPr>
        <w:t xml:space="preserve"> </w:t>
      </w:r>
      <w:r>
        <w:rPr>
          <w:lang w:val="en-US"/>
        </w:rPr>
        <w:t>75 </w:t>
      </w:r>
      <w:r>
        <w:rPr>
          <w:vertAlign w:val="superscript"/>
          <w:lang w:val="en-US"/>
        </w:rPr>
        <w:t>о</w:t>
      </w:r>
      <w:r>
        <w:rPr>
          <w:lang w:val="en-US"/>
        </w:rPr>
        <w:t>С, 80 </w:t>
      </w:r>
      <w:r>
        <w:rPr>
          <w:vertAlign w:val="superscript"/>
          <w:lang w:val="en-US"/>
        </w:rPr>
        <w:t>о</w:t>
      </w:r>
      <w:r>
        <w:rPr>
          <w:lang w:val="en-US"/>
        </w:rPr>
        <w:t>С, and 85 </w:t>
      </w:r>
      <w:r>
        <w:rPr>
          <w:vertAlign w:val="superscript"/>
          <w:lang w:val="en-US"/>
        </w:rPr>
        <w:t>о</w:t>
      </w:r>
      <w:r>
        <w:rPr>
          <w:lang w:val="en-US"/>
        </w:rPr>
        <w:t>С. At 75 </w:t>
      </w:r>
      <w:r>
        <w:rPr>
          <w:vertAlign w:val="superscript"/>
          <w:lang w:val="en-US"/>
        </w:rPr>
        <w:t>о</w:t>
      </w:r>
      <w:r>
        <w:rPr>
          <w:lang w:val="en-US"/>
        </w:rPr>
        <w:t xml:space="preserve">С, the maximum heat flow values obtained for the 4-nitrobenzene diazonium salts </w:t>
      </w:r>
      <w:r>
        <w:rPr>
          <w:b/>
          <w:bCs/>
          <w:lang w:val="en-US"/>
        </w:rPr>
        <w:t xml:space="preserve">1c, 2, 3 </w:t>
      </w:r>
      <w:r>
        <w:rPr>
          <w:lang w:val="en-US"/>
        </w:rPr>
        <w:t xml:space="preserve">almost do not depend on the counterion nature. However, it can be noted that the </w:t>
      </w:r>
      <w:commentRangeStart w:id="15"/>
      <w:r>
        <w:rPr>
          <w:highlight w:val="green"/>
          <w:lang w:val="en-US"/>
        </w:rPr>
        <w:t>heat flow</w:t>
      </w:r>
      <w:r>
        <w:rPr>
          <w:highlight w:val="green"/>
          <w:lang w:val="en-US"/>
        </w:rPr>
      </w:r>
      <w:commentRangeEnd w:id="15"/>
      <w:r>
        <w:commentReference w:id="15"/>
      </w:r>
      <w:r>
        <w:rPr>
          <w:lang w:val="en-US"/>
        </w:rPr>
        <w:t xml:space="preserve"> </w:t>
      </w:r>
      <w:r>
        <w:rPr>
          <w:highlight w:val="yellow"/>
          <w:lang w:val="en-US"/>
        </w:rPr>
        <w:t>curve</w:t>
      </w:r>
      <w:r>
        <w:rPr>
          <w:lang w:val="en-US"/>
        </w:rPr>
        <w:t xml:space="preserve"> acquired during DS </w:t>
      </w:r>
      <w:r>
        <w:rPr>
          <w:b/>
          <w:bCs/>
          <w:lang w:val="en-US"/>
        </w:rPr>
        <w:t xml:space="preserve">1c </w:t>
      </w:r>
      <w:r>
        <w:rPr>
          <w:bCs/>
          <w:lang w:val="en-US"/>
        </w:rPr>
        <w:t>decomposition</w:t>
      </w:r>
      <w:r>
        <w:rPr>
          <w:lang w:val="en-US"/>
        </w:rPr>
        <w:t xml:space="preserve"> is much steeper. Additionally, the P</w:t>
      </w:r>
      <w:r>
        <w:rPr>
          <w:vertAlign w:val="subscript"/>
          <w:lang w:val="en-US"/>
        </w:rPr>
        <w:t>max</w:t>
      </w:r>
      <w:r>
        <w:rPr>
          <w:lang w:val="en-US"/>
        </w:rPr>
        <w:t xml:space="preserve"> values obtained for this DS at 80 and 85 </w:t>
      </w:r>
      <w:r>
        <w:rPr>
          <w:vertAlign w:val="superscript"/>
          <w:lang w:val="en-US"/>
        </w:rPr>
        <w:t>о</w:t>
      </w:r>
      <w:r>
        <w:rPr>
          <w:lang w:val="en-US"/>
        </w:rPr>
        <w:t xml:space="preserve">С are significantly higher than those for DS </w:t>
      </w:r>
      <w:r>
        <w:rPr>
          <w:b/>
          <w:lang w:val="en-US"/>
        </w:rPr>
        <w:t>2</w:t>
      </w:r>
      <w:r>
        <w:rPr>
          <w:lang w:val="en-US"/>
        </w:rPr>
        <w:t xml:space="preserve"> and </w:t>
      </w:r>
      <w:r>
        <w:rPr>
          <w:b/>
          <w:lang w:val="en-US"/>
        </w:rPr>
        <w:t>3</w:t>
      </w:r>
      <w:r>
        <w:rPr>
          <w:lang w:val="en-US"/>
        </w:rPr>
        <w:t>. The P</w:t>
      </w:r>
      <w:r>
        <w:rPr>
          <w:vertAlign w:val="subscript"/>
          <w:lang w:val="en-US"/>
        </w:rPr>
        <w:t>max</w:t>
      </w:r>
      <w:r>
        <w:rPr>
          <w:lang w:val="en-US"/>
        </w:rPr>
        <w:t xml:space="preserve"> values found for 4-methoxybenzenediazonium triflate </w:t>
      </w:r>
      <w:r>
        <w:rPr>
          <w:rFonts w:ascii="Times New Roman" w:hAnsi="Times New Roman"/>
          <w:b/>
          <w:bCs/>
          <w:lang w:val="en-US"/>
        </w:rPr>
        <w:t>1d</w:t>
      </w:r>
      <w:r>
        <w:rPr>
          <w:rFonts w:ascii="Times New Roman" w:hAnsi="Times New Roman"/>
          <w:bCs/>
          <w:lang w:val="en-US"/>
        </w:rPr>
        <w:t xml:space="preserve"> are noticeably smaller comparing to 4-nitro</w:t>
      </w:r>
      <w:r>
        <w:rPr>
          <w:lang w:val="en-US"/>
        </w:rPr>
        <w:t xml:space="preserve">benzenediazonium triflate </w:t>
      </w:r>
      <w:r>
        <w:rPr>
          <w:rFonts w:ascii="Times New Roman" w:hAnsi="Times New Roman"/>
          <w:b/>
          <w:bCs/>
          <w:lang w:val="en-US"/>
        </w:rPr>
        <w:t xml:space="preserve">1c. </w:t>
      </w:r>
      <w:r>
        <w:rPr>
          <w:rFonts w:ascii="Times New Roman" w:hAnsi="Times New Roman"/>
          <w:bCs/>
          <w:lang w:val="en-US"/>
        </w:rPr>
        <w:t>Among the</w:t>
      </w:r>
      <w:r>
        <w:rPr>
          <w:rFonts w:ascii="Times New Roman" w:hAnsi="Times New Roman"/>
          <w:b/>
          <w:bCs/>
          <w:lang w:val="en-US"/>
        </w:rPr>
        <w:t xml:space="preserve"> </w:t>
      </w:r>
      <w:r>
        <w:rPr>
          <w:lang w:val="en-US"/>
        </w:rPr>
        <w:t xml:space="preserve">nitrobenzenediazonium triflates </w:t>
      </w:r>
      <w:r>
        <w:rPr>
          <w:b/>
          <w:lang w:val="en-US"/>
        </w:rPr>
        <w:t>1a-c</w:t>
      </w:r>
      <w:r>
        <w:rPr>
          <w:lang w:val="en-US"/>
        </w:rPr>
        <w:t xml:space="preserve">, the maximum heat flow decreases from </w:t>
      </w:r>
      <w:r>
        <w:rPr>
          <w:i/>
          <w:lang w:val="en-US"/>
        </w:rPr>
        <w:t>para-</w:t>
      </w:r>
      <w:r>
        <w:rPr>
          <w:lang w:val="en-US"/>
        </w:rPr>
        <w:t xml:space="preserve"> </w:t>
      </w:r>
      <w:r>
        <w:rPr>
          <w:b/>
          <w:lang w:val="en-US"/>
        </w:rPr>
        <w:t>1c</w:t>
      </w:r>
      <w:r>
        <w:rPr>
          <w:lang w:val="en-US"/>
        </w:rPr>
        <w:t xml:space="preserve">, through </w:t>
      </w:r>
      <w:r>
        <w:rPr>
          <w:i/>
          <w:lang w:val="en-US"/>
        </w:rPr>
        <w:t>meta-</w:t>
      </w:r>
      <w:r>
        <w:rPr>
          <w:lang w:val="en-US"/>
        </w:rPr>
        <w:t xml:space="preserve"> </w:t>
      </w:r>
      <w:r>
        <w:rPr>
          <w:b/>
          <w:lang w:val="en-US"/>
        </w:rPr>
        <w:t>1b</w:t>
      </w:r>
      <w:r>
        <w:rPr>
          <w:lang w:val="en-US"/>
        </w:rPr>
        <w:t xml:space="preserve">, to </w:t>
      </w:r>
      <w:r>
        <w:rPr>
          <w:i/>
          <w:lang w:val="en-US"/>
        </w:rPr>
        <w:t>ortho-</w:t>
      </w:r>
      <w:r>
        <w:rPr>
          <w:lang w:val="en-US"/>
        </w:rPr>
        <w:t xml:space="preserve"> </w:t>
      </w:r>
      <w:r>
        <w:rPr>
          <w:b/>
          <w:lang w:val="en-US"/>
        </w:rPr>
        <w:t>1a</w:t>
      </w:r>
      <w:r>
        <w:rPr>
          <w:lang w:val="en-US"/>
        </w:rPr>
        <w:t xml:space="preserve"> substitution. The values of P</w:t>
      </w:r>
      <w:r>
        <w:rPr>
          <w:vertAlign w:val="subscript"/>
          <w:lang w:val="en-US"/>
        </w:rPr>
        <w:t>max</w:t>
      </w:r>
      <w:r>
        <w:rPr>
          <w:lang w:val="en-US"/>
        </w:rPr>
        <w:t xml:space="preserve"> are important not only for mathematical modeling of the reaction kinetics, but also for quantitative description of the compound safety that is essential for practical application.</w:t>
      </w:r>
    </w:p>
    <w:p>
      <w:pPr>
        <w:pStyle w:val="Normal"/>
        <w:rPr>
          <w:lang w:val="en-US"/>
        </w:rPr>
      </w:pPr>
      <w:r>
        <w:rPr>
          <w:lang w:val="en-US"/>
        </w:rPr>
      </w:r>
    </w:p>
    <w:p>
      <w:pPr>
        <w:pStyle w:val="Normal"/>
        <w:rPr>
          <w:lang w:val="en-US"/>
        </w:rPr>
      </w:pPr>
      <w:r>
        <w:rPr>
          <w:lang w:val="en-US"/>
        </w:rPr>
        <w:t xml:space="preserve">Table 3. Integral enthalpy and maximum heat flow values found during isothermal decomposition of diazonium salts </w:t>
      </w:r>
      <w:r>
        <w:rPr>
          <w:b/>
          <w:lang w:val="en-US"/>
        </w:rPr>
        <w:t>1-3</w:t>
      </w:r>
      <w:r>
        <w:rPr>
          <w:lang w:val="en-US"/>
        </w:rPr>
        <w:t xml:space="preserve"> (</w:t>
      </w:r>
      <w:r>
        <w:rPr>
          <w:rFonts w:ascii="Symbol" w:hAnsi="Symbol"/>
          <w:lang w:val="en-US"/>
        </w:rPr>
        <w:t></w:t>
      </w:r>
      <w:r>
        <w:rPr>
          <w:lang w:val="en-US"/>
        </w:rPr>
        <w:t>H – integral enthalpy, P</w:t>
      </w:r>
      <w:r>
        <w:rPr>
          <w:vertAlign w:val="subscript"/>
          <w:lang w:val="en-US"/>
        </w:rPr>
        <w:t>max</w:t>
      </w:r>
      <w:r>
        <w:rPr>
          <w:lang w:val="en-US"/>
        </w:rPr>
        <w:t xml:space="preserve"> – maximum heat flow value).</w:t>
      </w:r>
    </w:p>
    <w:tbl>
      <w:tblPr>
        <w:tblW w:w="9640"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32" w:type="dxa"/>
          <w:bottom w:w="55" w:type="dxa"/>
          <w:right w:w="55" w:type="dxa"/>
        </w:tblCellMar>
        <w:tblLook w:val="0000" w:noVBand="0" w:noHBand="0" w:lastColumn="0" w:firstColumn="0" w:lastRow="0" w:firstRow="0"/>
      </w:tblPr>
      <w:tblGrid>
        <w:gridCol w:w="2811"/>
        <w:gridCol w:w="1082"/>
        <w:gridCol w:w="1083"/>
        <w:gridCol w:w="1107"/>
        <w:gridCol w:w="1"/>
        <w:gridCol w:w="1165"/>
        <w:gridCol w:w="1152"/>
        <w:gridCol w:w="1238"/>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273" w:type="dxa"/>
            <w:gridSpan w:val="4"/>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spacing w:lineRule="auto" w:line="240"/>
              <w:ind w:hanging="0"/>
              <w:rPr>
                <w:lang w:val="en-US"/>
              </w:rPr>
            </w:pPr>
            <w:r>
              <w:rPr>
                <w:rFonts w:eastAsia="Symbol" w:cs="Symbol" w:ascii="Symbol" w:hAnsi="Symbol"/>
                <w:b w:val="false"/>
                <w:bCs w:val="false"/>
                <w:sz w:val="16"/>
                <w:szCs w:val="16"/>
                <w:lang w:val="en-US"/>
              </w:rPr>
              <w:t></w:t>
            </w:r>
            <w:r>
              <w:rPr>
                <w:rFonts w:cs="Times New Roman" w:ascii="Times New Roman" w:hAnsi="Times New Roman"/>
                <w:b w:val="false"/>
                <w:bCs w:val="false"/>
                <w:lang w:val="en-US"/>
              </w:rPr>
              <w:t>H, kJ/mol</w:t>
            </w:r>
          </w:p>
        </w:tc>
        <w:tc>
          <w:tcPr>
            <w:tcW w:w="355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cs="Times New Roman" w:ascii="Times New Roman" w:hAnsi="Times New Roman"/>
                <w:lang w:val="en-US"/>
              </w:rPr>
              <w:t>P</w:t>
            </w:r>
            <w:r>
              <w:rPr>
                <w:rFonts w:cs="Times New Roman" w:ascii="Times New Roman" w:hAnsi="Times New Roman"/>
                <w:vertAlign w:val="subscript"/>
                <w:lang w:val="en-US"/>
              </w:rPr>
              <w:t>max</w:t>
            </w:r>
            <w:r>
              <w:rPr>
                <w:rFonts w:cs="Times New Roman" w:ascii="Times New Roman" w:hAnsi="Times New Roman"/>
                <w:lang w:val="en-US"/>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Normal"/>
              <w:rPr>
                <w:lang w:val="en-US"/>
              </w:rPr>
            </w:pPr>
            <w:r>
              <w:rPr>
                <w:lang w:val="en-US"/>
              </w:rPr>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396.0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1.49</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225.4</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14.15</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200.0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235.1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250.0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47.89</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183.2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106.0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2.97</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253.0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232.4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231.0 </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34.82</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173.0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156.0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147.0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31.63</w:t>
            </w:r>
          </w:p>
        </w:tc>
        <w:tc>
          <w:tcPr>
            <w:tcW w:w="12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66.87</w:t>
            </w:r>
          </w:p>
        </w:tc>
      </w:tr>
    </w:tbl>
    <w:p>
      <w:pPr>
        <w:pStyle w:val="Normal"/>
        <w:rPr>
          <w:color w:val="000000"/>
          <w:lang w:val="en-US"/>
        </w:rPr>
      </w:pPr>
      <w:r>
        <w:rPr>
          <w:color w:val="000000"/>
          <w:lang w:val="en-US"/>
        </w:rPr>
      </w:r>
    </w:p>
    <w:p>
      <w:pPr>
        <w:pStyle w:val="Normal"/>
        <w:rPr>
          <w:lang w:val="en-US"/>
        </w:rPr>
      </w:pPr>
      <w:r>
        <w:rPr>
          <w:lang w:val="en-US"/>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lang w:val="en-US"/>
        </w:rPr>
        <w:t>k</w:t>
      </w:r>
      <w:r>
        <w:rPr>
          <w:lang w:val="en-US"/>
        </w:rPr>
        <w:t xml:space="preserve"> - rate constant, and P</w:t>
      </w:r>
      <w:r>
        <w:rPr>
          <w:vertAlign w:val="subscript"/>
          <w:lang w:val="en-US"/>
        </w:rPr>
        <w:t>0</w:t>
      </w:r>
      <w:r>
        <w:rPr>
          <w:lang w:val="en-US"/>
        </w:rPr>
        <w:t>, P</w:t>
      </w:r>
      <w:r>
        <w:rPr>
          <w:vertAlign w:val="subscript"/>
          <w:lang w:val="en-US"/>
        </w:rPr>
        <w:t>max</w:t>
      </w:r>
      <w:r>
        <w:rPr>
          <w:lang w:val="en-US"/>
        </w:rPr>
        <w:t xml:space="preserve"> - values of the initial and maximum heat flows in the autocatalytic reaction equation 2. Table 4 shows calculated kinetic parameters found as result of approximation of the experimental heat flow curves of DSs </w:t>
      </w:r>
      <w:r>
        <w:rPr>
          <w:b/>
          <w:bCs/>
          <w:lang w:val="en-US"/>
        </w:rPr>
        <w:t>1a-1d, 2, 3</w:t>
      </w:r>
      <w:r>
        <w:rPr>
          <w:bCs/>
          <w:lang w:val="en-US"/>
        </w:rPr>
        <w:t xml:space="preserve">. The following kinetic equation for </w:t>
      </w:r>
      <w:r>
        <w:rPr>
          <w:lang w:val="en-US"/>
        </w:rPr>
        <w:t>autocatalytic reactions that was applied:</w:t>
      </w:r>
      <w:r>
        <w:rPr>
          <w:bCs/>
          <w:lang w:val="en-US"/>
        </w:rPr>
        <w:t xml:space="preserve"> </w:t>
      </w:r>
      <w:r>
        <w:rPr>
          <w:b/>
          <w:bCs/>
          <w:i/>
          <w:iCs/>
          <w:sz w:val="28"/>
          <w:szCs w:val="28"/>
          <w:lang w:val="en-US"/>
        </w:rPr>
        <w:t>a A </w:t>
      </w:r>
      <w:r>
        <w:rPr>
          <w:rFonts w:eastAsia="Liberation Serif" w:cs="Liberation Serif"/>
          <w:b/>
          <w:bCs/>
          <w:i/>
          <w:iCs/>
          <w:sz w:val="28"/>
          <w:szCs w:val="28"/>
          <w:lang w:val="en-US"/>
        </w:rPr>
        <w:t>→ </w:t>
      </w:r>
      <w:r>
        <w:rPr>
          <w:b/>
          <w:bCs/>
          <w:i/>
          <w:iCs/>
          <w:sz w:val="28"/>
          <w:szCs w:val="28"/>
          <w:lang w:val="en-US"/>
        </w:rPr>
        <w:t>c C</w:t>
      </w:r>
      <w:r>
        <w:rPr>
          <w:b/>
          <w:bCs/>
          <w:i/>
          <w:iCs/>
          <w:lang w:val="en-US"/>
        </w:rPr>
        <w:t xml:space="preserve"> </w:t>
      </w:r>
    </w:p>
    <w:p>
      <w:pPr>
        <w:pStyle w:val="Normal"/>
        <w:ind w:hanging="0"/>
        <w:jc w:val="center"/>
        <w:rPr>
          <w:lang w:val="en-US"/>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lang w:val="en-US"/>
        </w:rPr>
        <w:t xml:space="preserve">    </w:t>
      </w:r>
      <w:r>
        <w:rPr>
          <w:rFonts w:eastAsia="Liberation Serif" w:cs="Liberation Serif"/>
          <w:lang w:val="en-US"/>
        </w:rPr>
        <w:t>(2)</w:t>
      </w:r>
    </w:p>
    <w:p>
      <w:pPr>
        <w:pStyle w:val="Normal"/>
        <w:ind w:hanging="0"/>
        <w:jc w:val="center"/>
        <w:rPr>
          <w:lang w:val="en-US"/>
        </w:rPr>
      </w:pPr>
      <w:r>
        <w:rPr>
          <w:highlight w:val="white"/>
          <w:lang w:val="en-US"/>
        </w:rPr>
        <w:t xml:space="preserve">(where </w:t>
      </w:r>
      <w:r>
        <w:rPr>
          <w:i/>
          <w:iCs/>
          <w:lang w:val="en-US"/>
        </w:rPr>
        <w:t>A</w:t>
      </w:r>
      <w:r>
        <w:rPr>
          <w:vertAlign w:val="subscript"/>
          <w:lang w:val="en-US"/>
        </w:rPr>
        <w:t>0</w:t>
      </w:r>
      <w:r>
        <w:rPr>
          <w:lang w:val="en-US"/>
        </w:rPr>
        <w:t xml:space="preserve"> – initial DS concentration, which for solid-phase reactions is measured in в mol/g units; </w:t>
      </w:r>
      <w:r>
        <w:rPr>
          <w:i/>
          <w:iCs/>
          <w:lang w:val="en-US"/>
        </w:rPr>
        <w:t>С</w:t>
      </w:r>
      <w:r>
        <w:rPr>
          <w:vertAlign w:val="subscript"/>
          <w:lang w:val="en-US"/>
        </w:rPr>
        <w:t>0</w:t>
      </w:r>
      <w:r>
        <w:rPr>
          <w:lang w:val="en-US"/>
        </w:rPr>
        <w:t xml:space="preserve">, </w:t>
      </w:r>
      <w:r>
        <w:rPr>
          <w:i/>
          <w:iCs/>
          <w:lang w:val="en-US"/>
        </w:rPr>
        <w:t>С</w:t>
      </w:r>
      <w:r>
        <w:rPr>
          <w:lang w:val="en-US"/>
        </w:rPr>
        <w:t xml:space="preserve"> – initial and current concentrations of products, [mol/g]; </w:t>
      </w:r>
      <w:r>
        <w:rPr>
          <w:i/>
          <w:iCs/>
          <w:lang w:val="en-US"/>
        </w:rPr>
        <w:t>k</w:t>
      </w:r>
      <w:r>
        <w:rPr>
          <w:lang w:val="en-US"/>
        </w:rPr>
        <w:t xml:space="preserve"> </w:t>
      </w:r>
      <w:r>
        <w:rPr>
          <w:highlight w:val="white"/>
          <w:lang w:val="en-US"/>
        </w:rPr>
        <w:t xml:space="preserve">– rate constant; </w:t>
      </w:r>
      <w:r>
        <w:rPr>
          <w:i/>
          <w:iCs/>
          <w:highlight w:val="white"/>
          <w:lang w:val="en-US"/>
        </w:rPr>
        <w:t>a</w:t>
      </w:r>
      <w:r>
        <w:rPr>
          <w:highlight w:val="white"/>
          <w:lang w:val="en-US"/>
        </w:rPr>
        <w:t xml:space="preserve">, </w:t>
      </w:r>
      <w:r>
        <w:rPr>
          <w:i/>
          <w:iCs/>
          <w:highlight w:val="white"/>
          <w:lang w:val="en-US"/>
        </w:rPr>
        <w:t>c</w:t>
      </w:r>
      <w:r>
        <w:rPr>
          <w:highlight w:val="white"/>
          <w:lang w:val="en-US"/>
        </w:rPr>
        <w:t xml:space="preserve"> - </w:t>
      </w:r>
      <w:r>
        <w:rPr>
          <w:lang w:val="en-US"/>
        </w:rPr>
        <w:t>stoichiometric coefficients</w:t>
      </w:r>
      <w:r>
        <w:rPr>
          <w:highlight w:val="white"/>
          <w:lang w:val="en-US"/>
        </w:rPr>
        <w:t>, for the processes studied</w:t>
      </w:r>
      <w:r>
        <w:rPr>
          <w:lang w:val="en-US"/>
        </w:rPr>
        <w:t xml:space="preserve"> </w:t>
      </w:r>
      <w:r>
        <w:rPr>
          <w:i/>
          <w:iCs/>
          <w:lang w:val="en-US"/>
        </w:rPr>
        <w:t>a</w:t>
      </w:r>
      <w:r>
        <w:rPr>
          <w:lang w:val="en-US"/>
        </w:rPr>
        <w:t>/</w:t>
      </w:r>
      <w:r>
        <w:rPr>
          <w:i/>
          <w:iCs/>
          <w:highlight w:val="white"/>
          <w:lang w:val="en-US"/>
        </w:rPr>
        <w:t>c</w:t>
      </w:r>
      <w:r>
        <w:rPr>
          <w:highlight w:val="white"/>
          <w:lang w:val="en-US"/>
        </w:rPr>
        <w:t xml:space="preserve">=1; </w:t>
      </w:r>
      <w:r>
        <w:rPr>
          <w:i/>
          <w:iCs/>
          <w:highlight w:val="white"/>
          <w:lang w:val="en-US"/>
        </w:rPr>
        <w:t>P</w:t>
      </w:r>
      <w:r>
        <w:rPr>
          <w:highlight w:val="white"/>
          <w:lang w:val="en-US"/>
        </w:rPr>
        <w:t xml:space="preserve">, </w:t>
      </w:r>
      <w:r>
        <w:rPr>
          <w:i/>
          <w:iCs/>
          <w:highlight w:val="white"/>
          <w:lang w:val="en-US"/>
        </w:rPr>
        <w:t>P</w:t>
      </w:r>
      <w:r>
        <w:rPr>
          <w:highlight w:val="white"/>
          <w:vertAlign w:val="subscript"/>
          <w:lang w:val="en-US"/>
        </w:rPr>
        <w:t>0</w:t>
      </w:r>
      <w:r>
        <w:rPr>
          <w:highlight w:val="white"/>
          <w:lang w:val="en-US"/>
        </w:rPr>
        <w:t xml:space="preserve"> – current and initial heat flow)</w:t>
      </w:r>
    </w:p>
    <w:p>
      <w:pPr>
        <w:pStyle w:val="Normal"/>
        <w:ind w:hanging="0"/>
        <w:jc w:val="center"/>
        <w:rPr>
          <w:lang w:val="en-US"/>
        </w:rPr>
      </w:pPr>
      <w:r>
        <w:rPr>
          <w:lang w:val="en-US"/>
        </w:rPr>
      </w:r>
    </w:p>
    <w:p>
      <w:pPr>
        <w:pStyle w:val="Normal"/>
        <w:rPr>
          <w:lang w:val="en-US"/>
        </w:rPr>
      </w:pPr>
      <w:r>
        <w:rPr>
          <w:lang w:val="en-US"/>
        </w:rPr>
        <w:t xml:space="preserve">Figure 7 shows the experimental heat flow curves describing the isothermal decomposition of DSs </w:t>
      </w:r>
      <w:r>
        <w:rPr>
          <w:b/>
          <w:lang w:val="en-US"/>
        </w:rPr>
        <w:t>1c</w:t>
      </w:r>
      <w:r>
        <w:rPr>
          <w:lang w:val="en-US"/>
        </w:rPr>
        <w:t xml:space="preserve">, </w:t>
      </w:r>
      <w:r>
        <w:rPr>
          <w:b/>
          <w:lang w:val="en-US"/>
        </w:rPr>
        <w:t>2</w:t>
      </w:r>
      <w:r>
        <w:rPr>
          <w:lang w:val="en-US"/>
        </w:rPr>
        <w:t xml:space="preserve"> and </w:t>
      </w:r>
      <w:r>
        <w:rPr>
          <w:b/>
          <w:lang w:val="en-US"/>
        </w:rPr>
        <w:t xml:space="preserve">3 </w:t>
      </w:r>
      <w:r>
        <w:rPr>
          <w:lang w:val="en-US"/>
        </w:rPr>
        <w:t xml:space="preserve">at 85 ° C. As can be seen, the half-life of DSs depends on the counterion: for tetrafluoroborate </w:t>
      </w:r>
      <w:r>
        <w:rPr>
          <w:b/>
          <w:lang w:val="en-US"/>
        </w:rPr>
        <w:t>3</w:t>
      </w:r>
      <w:r>
        <w:rPr>
          <w:lang w:val="en-US"/>
        </w:rPr>
        <w:t xml:space="preserve"> it is 2.1 h, for triflate </w:t>
      </w:r>
      <w:r>
        <w:rPr>
          <w:b/>
          <w:lang w:val="en-US"/>
        </w:rPr>
        <w:t>1c</w:t>
      </w:r>
      <w:r>
        <w:rPr>
          <w:lang w:val="en-US"/>
        </w:rPr>
        <w:t xml:space="preserve"> – 4.5h, and for tosylate </w:t>
      </w:r>
      <w:r>
        <w:rPr>
          <w:b/>
          <w:lang w:val="en-US"/>
        </w:rPr>
        <w:t>2</w:t>
      </w:r>
      <w:r>
        <w:rPr>
          <w:lang w:val="en-US"/>
        </w:rPr>
        <w:t xml:space="preserve"> – 6h. </w:t>
      </w:r>
    </w:p>
    <w:p>
      <w:pPr>
        <w:pStyle w:val="Normal"/>
        <w:rPr>
          <w:lang w:val="en-US"/>
        </w:rPr>
      </w:pPr>
      <w:r>
        <w:rPr>
          <w:lang w:val="en-US"/>
        </w:rPr>
      </w:r>
    </w:p>
    <w:p>
      <w:pPr>
        <w:pStyle w:val="Normal"/>
        <w:tabs>
          <w:tab w:val="center" w:pos="218" w:leader="none"/>
        </w:tabs>
        <w:spacing w:before="0" w:after="113"/>
        <w:rPr>
          <w:sz w:val="12"/>
          <w:szCs w:val="12"/>
          <w:highlight w:val="yellow"/>
          <w:lang w:val="en-US"/>
        </w:rPr>
      </w:pPr>
      <w:r>
        <w:rPr>
          <w:sz w:val="12"/>
          <w:szCs w:val="12"/>
          <w:highlight w:val="yellow"/>
          <w:lang w:val="en-US"/>
        </w:rPr>
      </w:r>
    </w:p>
    <w:p>
      <w:pPr>
        <w:pStyle w:val="Normal"/>
        <w:ind w:hanging="0"/>
        <w:jc w:val="center"/>
        <w:rPr>
          <w:lang w:val="en-US"/>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hanging="0"/>
        <w:jc w:val="center"/>
        <w:rPr>
          <w:lang w:val="en-US"/>
        </w:rPr>
      </w:pPr>
      <w:r>
        <w:rPr>
          <w:lang w:val="en-US"/>
        </w:rPr>
        <w:t xml:space="preserve">Figure 7. The heat flow (P) during isothermal decomposition of nitrobenzenediazonium salts: tetrafluoroborate </w:t>
      </w:r>
      <w:r>
        <w:rPr>
          <w:b/>
          <w:lang w:val="en-US"/>
        </w:rPr>
        <w:t xml:space="preserve">3, </w:t>
      </w:r>
      <w:r>
        <w:rPr>
          <w:lang w:val="en-US"/>
        </w:rPr>
        <w:t xml:space="preserve">tosylate </w:t>
      </w:r>
      <w:r>
        <w:rPr>
          <w:b/>
          <w:lang w:val="en-US"/>
        </w:rPr>
        <w:t>2</w:t>
      </w:r>
      <w:r>
        <w:rPr>
          <w:lang w:val="en-US"/>
        </w:rPr>
        <w:t xml:space="preserve">, and triflate </w:t>
      </w:r>
      <w:r>
        <w:rPr>
          <w:b/>
          <w:lang w:val="en-US"/>
        </w:rPr>
        <w:t xml:space="preserve">1c </w:t>
      </w:r>
      <w:r>
        <w:rPr>
          <w:lang w:val="en-US"/>
        </w:rPr>
        <w:t>at</w:t>
      </w:r>
      <w:r>
        <w:rPr>
          <w:b/>
          <w:lang w:val="en-US"/>
        </w:rPr>
        <w:t xml:space="preserve"> </w:t>
      </w:r>
      <w:r>
        <w:rPr>
          <w:lang w:val="en-US"/>
        </w:rPr>
        <w:t>85 ° C.</w:t>
      </w:r>
    </w:p>
    <w:p>
      <w:pPr>
        <w:pStyle w:val="Normal"/>
        <w:ind w:hanging="0"/>
        <w:jc w:val="center"/>
        <w:rPr>
          <w:lang w:val="en-US"/>
        </w:rPr>
      </w:pPr>
      <w:r>
        <w:rPr>
          <w:lang w:val="en-US"/>
        </w:rPr>
      </w:r>
    </w:p>
    <w:p>
      <w:pPr>
        <w:pStyle w:val="Normal"/>
        <w:tabs>
          <w:tab w:val="center" w:pos="218" w:leader="none"/>
        </w:tabs>
        <w:spacing w:before="0" w:after="113"/>
        <w:rPr>
          <w:lang w:val="en-US"/>
        </w:rPr>
      </w:pPr>
      <w:r>
        <w:rPr>
          <w:lang w:val="en-US"/>
        </w:rPr>
      </w:r>
    </w:p>
    <w:p>
      <w:pPr>
        <w:pStyle w:val="Normal"/>
        <w:tabs>
          <w:tab w:val="center" w:pos="218" w:leader="none"/>
        </w:tabs>
        <w:spacing w:before="0" w:after="113"/>
        <w:rPr>
          <w:lang w:val="en-US"/>
        </w:rPr>
      </w:pPr>
      <w:r>
        <w:rPr>
          <w:lang w:val="en-US"/>
        </w:rPr>
        <w:t xml:space="preserve">The experimental heat flow curves describing the isothermal decomposition of salt </w:t>
      </w:r>
      <w:r>
        <w:rPr>
          <w:b/>
          <w:lang w:val="en-US"/>
        </w:rPr>
        <w:t>1a</w:t>
      </w:r>
      <w:r>
        <w:rPr>
          <w:lang w:val="en-US"/>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w:t>
      </w:r>
      <w:r>
        <w:rPr>
          <w:highlight w:val="yellow"/>
          <w:lang w:val="en-US"/>
        </w:rPr>
        <w:t>Supporting (1s)</w:t>
      </w:r>
      <w:r>
        <w:rPr>
          <w:lang w:val="en-US"/>
        </w:rPr>
        <w:t>.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Normal"/>
        <w:tabs>
          <w:tab w:val="center" w:pos="218" w:leader="none"/>
        </w:tabs>
        <w:spacing w:before="0" w:after="113"/>
        <w:rPr>
          <w:lang w:val="en-US"/>
        </w:rPr>
      </w:pPr>
      <w:r>
        <w:rPr>
          <w:lang w:val="en-US"/>
        </w:rPr>
      </w:r>
    </w:p>
    <w:p>
      <w:pPr>
        <w:pStyle w:val="Normal"/>
        <w:rPr>
          <w:lang w:val="en-US"/>
        </w:rPr>
      </w:pPr>
      <w:r>
        <w:rPr>
          <w:lang w:val="en-US"/>
        </w:rPr>
        <w:t xml:space="preserve">Table 4. Kinetic parameters of the isothermal decomposition of DSs </w:t>
      </w:r>
      <w:r>
        <w:rPr>
          <w:b/>
          <w:lang w:val="en-US"/>
        </w:rPr>
        <w:t>1-3 (</w:t>
      </w:r>
      <w:r>
        <w:rPr>
          <w:lang w:val="en-US"/>
        </w:rPr>
        <w:t>P</w:t>
      </w:r>
      <w:r>
        <w:rPr>
          <w:vertAlign w:val="subscript"/>
          <w:lang w:val="en-US"/>
        </w:rPr>
        <w:t>0</w:t>
      </w:r>
      <w:r>
        <w:rPr>
          <w:lang w:val="en-US"/>
        </w:rPr>
        <w:t xml:space="preserve"> – initial heat flow value, </w:t>
      </w:r>
      <w:r>
        <w:rPr>
          <w:i/>
          <w:lang w:val="en-US"/>
        </w:rPr>
        <w:t>k</w:t>
      </w:r>
      <w:r>
        <w:rPr>
          <w:lang w:val="en-US"/>
        </w:rPr>
        <w:t xml:space="preserve"> – rate constant calculated according to the equation 2).</w:t>
      </w:r>
    </w:p>
    <w:tbl>
      <w:tblPr>
        <w:tblW w:w="9641"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32" w:type="dxa"/>
          <w:bottom w:w="55" w:type="dxa"/>
          <w:right w:w="55" w:type="dxa"/>
        </w:tblCellMar>
        <w:tblLook w:val="0000" w:noVBand="0" w:noHBand="0" w:lastColumn="0" w:firstColumn="0" w:lastRow="0" w:firstRow="0"/>
      </w:tblPr>
      <w:tblGrid>
        <w:gridCol w:w="2578"/>
        <w:gridCol w:w="1124"/>
        <w:gridCol w:w="1192"/>
        <w:gridCol w:w="1121"/>
        <w:gridCol w:w="1155"/>
        <w:gridCol w:w="1235"/>
        <w:gridCol w:w="123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437" w:type="dxa"/>
            <w:gridSpan w:val="3"/>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P</w:t>
            </w:r>
            <w:r>
              <w:rPr>
                <w:vertAlign w:val="subscript"/>
                <w:lang w:val="en-US"/>
              </w:rPr>
              <w:t>0</w:t>
            </w:r>
            <w:r>
              <w:rPr>
                <w:lang w:val="en-US"/>
              </w:rPr>
              <w:t>, mW</w:t>
            </w:r>
          </w:p>
        </w:tc>
        <w:tc>
          <w:tcPr>
            <w:tcW w:w="362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k, g mol</w:t>
            </w:r>
            <w:r>
              <w:rPr>
                <w:vertAlign w:val="superscript"/>
                <w:lang w:val="en-US"/>
              </w:rPr>
              <w:t>-1</w:t>
            </w:r>
            <w:r>
              <w:rPr>
                <w:lang w:val="en-US"/>
              </w:rPr>
              <w:t xml:space="preserve"> с</w:t>
            </w:r>
            <w:r>
              <w:rPr>
                <w:vertAlign w:val="superscript"/>
                <w:lang w:val="en-US"/>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Normal"/>
              <w:rPr>
                <w:lang w:val="en-US"/>
              </w:rPr>
            </w:pPr>
            <w:r>
              <w:rPr>
                <w:lang w:val="en-US"/>
              </w:rPr>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75</w:t>
            </w:r>
            <w:r>
              <w:rPr>
                <w:vertAlign w:val="superscript"/>
                <w:lang w:val="en-US"/>
              </w:rPr>
              <w:t>o</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80</w:t>
            </w:r>
            <w:r>
              <w:rPr>
                <w:vertAlign w:val="superscript"/>
                <w:lang w:val="en-US"/>
              </w:rPr>
              <w:t>o</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85</w:t>
            </w:r>
            <w:r>
              <w:rPr>
                <w:vertAlign w:val="superscript"/>
                <w:lang w:val="en-US"/>
              </w:rPr>
              <w:t>o</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75</w:t>
            </w:r>
            <w:r>
              <w:rPr>
                <w:vertAlign w:val="superscript"/>
                <w:lang w:val="en-US"/>
              </w:rPr>
              <w:t>o</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80</w:t>
            </w:r>
            <w:r>
              <w:rPr>
                <w:vertAlign w:val="superscript"/>
                <w:lang w:val="en-US"/>
              </w:rPr>
              <w:t>o</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85</w:t>
            </w:r>
            <w:r>
              <w:rPr>
                <w:vertAlign w:val="superscript"/>
                <w:lang w:val="en-US"/>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4.06</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8.82</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14.7</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0.00026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0.00055</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0.0097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1.10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4.46</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0.00912</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0.01958</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0.900</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1.311</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4.84</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0.0316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0.0630</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1.477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3.200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11.38</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0.0021</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0.0044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1.957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2.745</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4.152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0.0289</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0.0539</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39.241</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89.598</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180.42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rFonts w:cs="Liberation Serif"/>
                <w:lang w:val="en-US"/>
              </w:rPr>
            </w:pPr>
            <w:r>
              <w:rPr>
                <w:rFonts w:cs="Liberation Serif"/>
                <w:lang w:val="en-US"/>
              </w:rPr>
              <w:t>0.0186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0.0344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spacing w:lineRule="auto" w:line="240"/>
              <w:ind w:hanging="0"/>
              <w:jc w:val="center"/>
              <w:rPr>
                <w:lang w:val="en-US"/>
              </w:rPr>
            </w:pPr>
            <w:r>
              <w:rPr>
                <w:lang w:val="en-US"/>
              </w:rPr>
              <w:t>0.0721</w:t>
            </w:r>
          </w:p>
        </w:tc>
      </w:tr>
    </w:tbl>
    <w:p>
      <w:pPr>
        <w:pStyle w:val="Normal"/>
        <w:tabs>
          <w:tab w:val="center" w:pos="218" w:leader="none"/>
        </w:tabs>
        <w:spacing w:before="227" w:after="227"/>
        <w:rPr>
          <w:color w:val="000000"/>
          <w:lang w:val="en-US"/>
        </w:rPr>
      </w:pPr>
      <w:r>
        <w:rPr>
          <w:color w:val="000000"/>
          <w:lang w:val="en-US"/>
        </w:rPr>
        <w:t xml:space="preserve">The half-life of 4-nitrophenyldiazonium triflate </w:t>
      </w:r>
      <w:r>
        <w:rPr>
          <w:b/>
          <w:color w:val="000000"/>
          <w:lang w:val="en-US"/>
        </w:rPr>
        <w:t>1c</w:t>
      </w:r>
      <w:r>
        <w:rPr>
          <w:color w:val="000000"/>
          <w:lang w:val="en-US"/>
        </w:rPr>
        <w:t xml:space="preserve"> is significantly less than the half-life of 4-methoxyphenyldiazonium triflate </w:t>
      </w:r>
      <w:r>
        <w:rPr>
          <w:b/>
          <w:color w:val="000000"/>
          <w:lang w:val="en-US"/>
        </w:rPr>
        <w:t>1d</w:t>
      </w:r>
      <w:r>
        <w:rPr>
          <w:color w:val="000000"/>
          <w:lang w:val="en-US"/>
        </w:rPr>
        <w:t xml:space="preserve">: the values found are 4 h and 10 h, respectively. At the same time, the heat flow observed during decomposition of 4-nitrophenyldiazonium triflate </w:t>
      </w:r>
      <w:r>
        <w:rPr>
          <w:b/>
          <w:color w:val="000000"/>
          <w:lang w:val="en-US"/>
        </w:rPr>
        <w:t>1c</w:t>
      </w:r>
      <w:r>
        <w:rPr>
          <w:color w:val="000000"/>
          <w:lang w:val="en-US"/>
        </w:rPr>
        <w:t xml:space="preserve"> is much higher than that of 4-methoxyphenyldiazonium triflate </w:t>
      </w:r>
      <w:r>
        <w:rPr>
          <w:b/>
          <w:color w:val="000000"/>
          <w:lang w:val="en-US"/>
        </w:rPr>
        <w:t xml:space="preserve">1d </w:t>
      </w:r>
      <w:r>
        <w:rPr>
          <w:color w:val="000000"/>
          <w:lang w:val="en-US"/>
        </w:rPr>
        <w:t xml:space="preserve">(Fig. 8): 101.5 mW/g for </w:t>
      </w:r>
      <w:r>
        <w:rPr>
          <w:b/>
          <w:color w:val="000000"/>
          <w:lang w:val="en-US"/>
        </w:rPr>
        <w:t>1c</w:t>
      </w:r>
      <w:r>
        <w:rPr>
          <w:color w:val="000000"/>
          <w:lang w:val="en-US"/>
        </w:rPr>
        <w:t xml:space="preserve"> versus 5.37 mW/g for </w:t>
      </w:r>
      <w:r>
        <w:rPr>
          <w:b/>
          <w:color w:val="000000"/>
          <w:lang w:val="en-US"/>
        </w:rPr>
        <w:t>1d (</w:t>
      </w:r>
      <w:r>
        <w:rPr>
          <w:color w:val="000000"/>
          <w:lang w:val="en-US"/>
        </w:rPr>
        <w:t>Fig.8).</w:t>
      </w:r>
    </w:p>
    <w:p>
      <w:pPr>
        <w:pStyle w:val="Normal"/>
        <w:tabs>
          <w:tab w:val="center" w:pos="218" w:leader="none"/>
        </w:tabs>
        <w:spacing w:before="227" w:after="227"/>
        <w:rPr>
          <w:lang w:val="en-US"/>
        </w:rPr>
      </w:pPr>
      <w:r>
        <w:rPr>
          <w:color w:val="000000"/>
          <w:lang w:val="en-US"/>
        </w:rPr>
        <w:t xml:space="preserve"> </w:t>
      </w:r>
    </w:p>
    <w:p>
      <w:pPr>
        <w:pStyle w:val="Normal"/>
        <w:jc w:val="center"/>
        <w:rPr>
          <w:lang w:val="en-US"/>
        </w:rPr>
      </w:pPr>
      <w:r>
        <w:rPr/>
        <w:drawing>
          <wp:inline distT="0" distB="0" distL="0" distR="0">
            <wp:extent cx="5102225" cy="385000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5102225" cy="3850005"/>
                    </a:xfrm>
                    <a:prstGeom prst="rect">
                      <a:avLst/>
                    </a:prstGeom>
                  </pic:spPr>
                </pic:pic>
              </a:graphicData>
            </a:graphic>
          </wp:inline>
        </w:drawing>
      </w:r>
    </w:p>
    <w:p>
      <w:pPr>
        <w:pStyle w:val="Normal"/>
        <w:jc w:val="center"/>
        <w:rPr>
          <w:lang w:val="en-US"/>
        </w:rPr>
      </w:pPr>
      <w:r>
        <w:rPr>
          <w:lang w:val="en-US"/>
        </w:rPr>
        <w:t xml:space="preserve">Figure 8. The heat flow (P) during isothermal decomposition of 4-nitrobenzenediazonium </w:t>
      </w:r>
      <w:r>
        <w:rPr>
          <w:b/>
          <w:lang w:val="en-US"/>
        </w:rPr>
        <w:t>1c</w:t>
      </w:r>
      <w:r>
        <w:rPr>
          <w:lang w:val="en-US"/>
        </w:rPr>
        <w:t xml:space="preserve"> and 4-methoxybenzenediazonium </w:t>
      </w:r>
      <w:r>
        <w:rPr>
          <w:b/>
          <w:lang w:val="en-US"/>
        </w:rPr>
        <w:t>1d</w:t>
      </w:r>
      <w:r>
        <w:rPr>
          <w:lang w:val="en-US"/>
        </w:rPr>
        <w:t xml:space="preserve"> triflates at 85 ° C.</w:t>
      </w:r>
    </w:p>
    <w:p>
      <w:pPr>
        <w:pStyle w:val="Normal"/>
        <w:rPr>
          <w:lang w:val="en-US"/>
        </w:rPr>
      </w:pPr>
      <w:r>
        <w:rPr>
          <w:lang w:val="en-US"/>
        </w:rPr>
      </w:r>
    </w:p>
    <w:p>
      <w:pPr>
        <w:pStyle w:val="Normal"/>
        <w:rPr>
          <w:lang w:val="en-US"/>
        </w:rPr>
      </w:pPr>
      <w:r>
        <w:rPr>
          <w:lang w:val="en-US"/>
        </w:rPr>
        <w:t xml:space="preserve">The substitution pattern in aromatic ring has a pronounced effect on the DS stability. Among DS with triflate counterion, the longest half-life time at 85° C has </w:t>
      </w:r>
      <w:r>
        <w:rPr>
          <w:i/>
          <w:lang w:val="en-US"/>
        </w:rPr>
        <w:t>ortho-</w:t>
      </w:r>
      <w:r>
        <w:rPr>
          <w:lang w:val="en-US"/>
        </w:rPr>
        <w:t xml:space="preserve"> derivative </w:t>
      </w:r>
      <w:r>
        <w:rPr>
          <w:b/>
          <w:lang w:val="en-US"/>
        </w:rPr>
        <w:t>1a</w:t>
      </w:r>
      <w:r>
        <w:rPr>
          <w:lang w:val="en-US"/>
        </w:rPr>
        <w:t xml:space="preserve"> (45 h). The </w:t>
      </w:r>
      <w:r>
        <w:rPr>
          <w:i/>
          <w:lang w:val="en-US"/>
        </w:rPr>
        <w:t>meta-</w:t>
      </w:r>
      <w:r>
        <w:rPr>
          <w:lang w:val="en-US"/>
        </w:rPr>
        <w:t xml:space="preserve"> derivative </w:t>
      </w:r>
      <w:r>
        <w:rPr>
          <w:b/>
          <w:lang w:val="en-US"/>
        </w:rPr>
        <w:t>1b</w:t>
      </w:r>
      <w:r>
        <w:rPr>
          <w:lang w:val="en-US"/>
        </w:rPr>
        <w:t xml:space="preserve"> is less stable (11 h) and </w:t>
      </w:r>
      <w:r>
        <w:rPr>
          <w:i/>
          <w:lang w:val="en-US"/>
        </w:rPr>
        <w:t>para-</w:t>
      </w:r>
      <w:r>
        <w:rPr>
          <w:lang w:val="en-US"/>
        </w:rPr>
        <w:t xml:space="preserve"> derivative </w:t>
      </w:r>
      <w:r>
        <w:rPr>
          <w:b/>
          <w:lang w:val="en-US"/>
        </w:rPr>
        <w:t>1c</w:t>
      </w:r>
      <w:r>
        <w:rPr>
          <w:lang w:val="en-US"/>
        </w:rPr>
        <w:t xml:space="preserve"> is the least stable (5 h). The maximum heat flow values follow the opposite pattern and decrease in a row </w:t>
      </w:r>
      <w:r>
        <w:rPr>
          <w:b/>
          <w:bCs/>
          <w:lang w:val="en-US"/>
        </w:rPr>
        <w:t>1c  </w:t>
      </w:r>
      <w:r>
        <w:rPr>
          <w:lang w:val="en-US"/>
        </w:rPr>
        <w:t>&gt; </w:t>
      </w:r>
      <w:r>
        <w:rPr>
          <w:b/>
          <w:bCs/>
          <w:lang w:val="en-US"/>
        </w:rPr>
        <w:t>1b  </w:t>
      </w:r>
      <w:r>
        <w:rPr>
          <w:lang w:val="en-US"/>
        </w:rPr>
        <w:t>&gt; </w:t>
      </w:r>
      <w:r>
        <w:rPr>
          <w:b/>
          <w:bCs/>
          <w:lang w:val="en-US"/>
        </w:rPr>
        <w:t>1a</w:t>
      </w:r>
      <w:r>
        <w:rPr>
          <w:lang w:val="en-US"/>
        </w:rPr>
        <w:t xml:space="preserve">. The </w:t>
      </w:r>
      <w:r>
        <w:rPr>
          <w:highlight w:val="yellow"/>
          <w:lang w:val="en-US"/>
        </w:rPr>
        <w:t>results discussed</w:t>
      </w:r>
      <w:r>
        <w:rPr>
          <w:lang w:val="en-US"/>
        </w:rPr>
        <w:t xml:space="preserve"> are presented in Tables 3 and 4 and Fig.9.</w:t>
      </w:r>
    </w:p>
    <w:p>
      <w:pPr>
        <w:pStyle w:val="Normal"/>
        <w:jc w:val="center"/>
        <w:rPr>
          <w:lang w:val="en-US"/>
        </w:rPr>
      </w:pPr>
      <w:r>
        <w:rPr>
          <w:lang w:val="en-US"/>
        </w:rPr>
      </w:r>
    </w:p>
    <w:p>
      <w:pPr>
        <w:pStyle w:val="Normal"/>
        <w:jc w:val="center"/>
        <w:rPr>
          <w:lang w:val="en-US"/>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lang w:val="en-US"/>
        </w:rPr>
      </w:pPr>
      <w:r>
        <w:rPr>
          <w:lang w:val="en-US"/>
        </w:rPr>
        <w:t xml:space="preserve">Figure 9. The heat flow (P) during isothermal decomposition of 2-, 3- and 4-nitrobenzenediazonium triflates </w:t>
      </w:r>
      <w:r>
        <w:rPr>
          <w:b/>
          <w:lang w:val="en-US"/>
        </w:rPr>
        <w:t>1a-c</w:t>
      </w:r>
      <w:r>
        <w:rPr>
          <w:lang w:val="en-US"/>
        </w:rPr>
        <w:t xml:space="preserve"> at 85 ° C.</w:t>
      </w:r>
    </w:p>
    <w:p>
      <w:pPr>
        <w:pStyle w:val="Normal"/>
        <w:rPr>
          <w:lang w:val="en-US"/>
        </w:rPr>
      </w:pPr>
      <w:r>
        <w:rPr>
          <w:lang w:val="en-US"/>
        </w:rPr>
      </w:r>
    </w:p>
    <w:p>
      <w:pPr>
        <w:pStyle w:val="Normal"/>
        <w:rPr>
          <w:lang w:val="en-US"/>
        </w:rPr>
      </w:pPr>
      <w:r>
        <w:rPr>
          <w:lang w:val="en-US"/>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lang w:val="en-US"/>
        </w:rPr>
        <w:t>1b-d</w:t>
      </w:r>
      <w:r>
        <w:rPr>
          <w:color w:val="000000"/>
          <w:lang w:val="en-US"/>
        </w:rPr>
        <w:t xml:space="preserve"> </w:t>
      </w:r>
      <w:r>
        <w:rPr>
          <w:lang w:val="en-US"/>
        </w:rPr>
        <w:t xml:space="preserve">have higher activation energies comparing to tosylate </w:t>
      </w:r>
      <w:r>
        <w:rPr>
          <w:b/>
          <w:lang w:val="en-US"/>
        </w:rPr>
        <w:t>2</w:t>
      </w:r>
      <w:r>
        <w:rPr>
          <w:lang w:val="en-US"/>
        </w:rPr>
        <w:t xml:space="preserve"> and tetrafluoroborate </w:t>
      </w:r>
      <w:r>
        <w:rPr>
          <w:b/>
          <w:lang w:val="en-US"/>
        </w:rPr>
        <w:t>3</w:t>
      </w:r>
      <w:r>
        <w:rPr>
          <w:lang w:val="en-US"/>
        </w:rPr>
        <w:t>. However, 2-nitrobenzenediazonium triflate is out of this line as it has the lowest activation energy among the DS studied.</w:t>
      </w:r>
    </w:p>
    <w:p>
      <w:pPr>
        <w:pStyle w:val="Normal"/>
        <w:tabs>
          <w:tab w:val="left" w:pos="0" w:leader="none"/>
        </w:tabs>
        <w:ind w:hanging="0"/>
        <w:jc w:val="right"/>
        <w:rPr>
          <w:lang w:val="en-US"/>
        </w:rPr>
      </w:pPr>
      <w:r>
        <w:rPr>
          <w:lang w:val="en-US"/>
        </w:rPr>
      </w:r>
      <w:r>
        <w:br w:type="page"/>
      </w:r>
    </w:p>
    <w:p>
      <w:pPr>
        <w:pStyle w:val="Normal"/>
        <w:tabs>
          <w:tab w:val="left" w:pos="0" w:leader="none"/>
        </w:tabs>
        <w:ind w:hanging="0"/>
        <w:jc w:val="center"/>
        <w:rPr/>
      </w:pPr>
      <w:r>
        <w:rPr>
          <w:lang w:val="en-US"/>
        </w:rPr>
        <w:t xml:space="preserve">Table 5. The calculated kinetic parameters of DS </w:t>
      </w:r>
      <w:r>
        <w:rPr>
          <w:b/>
          <w:lang w:val="en-US"/>
        </w:rPr>
        <w:t xml:space="preserve">1-3 </w:t>
      </w:r>
      <w:r>
        <w:rPr>
          <w:lang w:val="en-US"/>
        </w:rPr>
        <w:t>decomposition reactions occurring at 25 ° C (k</w:t>
      </w:r>
      <w:r>
        <w:rPr>
          <w:vertAlign w:val="subscript"/>
          <w:lang w:val="en-US"/>
        </w:rPr>
        <w:t>298</w:t>
      </w:r>
      <w:r>
        <w:rPr>
          <w:lang w:val="en-US"/>
        </w:rPr>
        <w:t xml:space="preserve"> – rate constant at 298 </w:t>
      </w:r>
      <w:r>
        <w:rPr>
          <w:vertAlign w:val="superscript"/>
          <w:lang w:val="en-US"/>
        </w:rPr>
        <w:t>о</w:t>
      </w:r>
      <w:r>
        <w:rPr>
          <w:lang w:val="en-US"/>
        </w:rPr>
        <w:t>K;  Ea — activation energy).</w:t>
      </w:r>
    </w:p>
    <w:tbl>
      <w:tblPr>
        <w:tblW w:w="7313" w:type="dxa"/>
        <w:jc w:val="left"/>
        <w:tblInd w:w="1486" w:type="dxa"/>
        <w:tblBorders>
          <w:top w:val="single" w:sz="2" w:space="0" w:color="000001"/>
          <w:left w:val="single" w:sz="2" w:space="0" w:color="000001"/>
          <w:bottom w:val="single" w:sz="2" w:space="0" w:color="000001"/>
          <w:insideH w:val="single" w:sz="2" w:space="0" w:color="000001"/>
        </w:tblBorders>
        <w:tblCellMar>
          <w:top w:w="55" w:type="dxa"/>
          <w:left w:w="32" w:type="dxa"/>
          <w:bottom w:w="55" w:type="dxa"/>
          <w:right w:w="55" w:type="dxa"/>
        </w:tblCellMar>
        <w:tblLook w:val="0000" w:noVBand="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5"/>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lang w:val="en-US"/>
              </w:rPr>
              <w:t>k</w:t>
            </w:r>
            <w:r>
              <w:rPr>
                <w:vertAlign w:val="subscript"/>
                <w:lang w:val="en-US"/>
              </w:rPr>
              <w:t>298</w:t>
            </w:r>
            <w:r>
              <w:rPr>
                <w:lang w:val="en-US"/>
              </w:rPr>
              <w:t>, g · mol</w:t>
            </w:r>
            <w:r>
              <w:rPr>
                <w:vertAlign w:val="superscript"/>
                <w:lang w:val="en-US"/>
              </w:rPr>
              <w:t>-1</w:t>
            </w:r>
            <w:r>
              <w:rPr>
                <w:lang w:val="en-US"/>
              </w:rPr>
              <w:t xml:space="preserve"> · с</w:t>
            </w:r>
            <w:r>
              <w:rPr>
                <w:vertAlign w:val="superscript"/>
                <w:lang w:val="en-US"/>
              </w:rPr>
              <w:t>-1</w:t>
            </w:r>
            <w:r>
              <w:rPr>
                <w:lang w:val="en-US"/>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tcPr>
          <w:p>
            <w:pPr>
              <w:pStyle w:val="Style24"/>
              <w:ind w:hanging="0"/>
              <w:jc w:val="center"/>
              <w:rPr>
                <w:lang w:val="en-US"/>
              </w:rPr>
            </w:pPr>
            <w:r>
              <w:rPr>
                <w:lang w:val="en-US"/>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ind w:hanging="0"/>
              <w:jc w:val="center"/>
              <w:rPr>
                <w:lang w:val="en-US"/>
              </w:rPr>
            </w:pPr>
            <w:r>
              <w:rPr>
                <w:lang w:val="en-US"/>
              </w:rPr>
              <w:t>4.17*10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ind w:hanging="0"/>
              <w:jc w:val="center"/>
              <w:rPr>
                <w:lang w:val="en-US"/>
              </w:rPr>
            </w:pPr>
            <w:r>
              <w:rPr>
                <w:lang w:val="en-US"/>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ind w:hanging="0"/>
              <w:jc w:val="center"/>
              <w:rPr>
                <w:lang w:val="en-US"/>
              </w:rPr>
            </w:pPr>
            <w:r>
              <w:rPr>
                <w:lang w:val="en-US"/>
              </w:rPr>
              <w:t>8.66*10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ind w:hanging="0"/>
              <w:jc w:val="center"/>
              <w:rPr>
                <w:lang w:val="en-US"/>
              </w:rPr>
            </w:pPr>
            <w:r>
              <w:rPr>
                <w:lang w:val="en-US"/>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ind w:hanging="0"/>
              <w:jc w:val="center"/>
              <w:rPr>
                <w:lang w:val="en-US"/>
              </w:rPr>
            </w:pPr>
            <w:r>
              <w:rPr>
                <w:lang w:val="en-US"/>
              </w:rPr>
              <w:t>1.33*10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ind w:hanging="0"/>
              <w:jc w:val="center"/>
              <w:rPr>
                <w:lang w:val="en-US"/>
              </w:rPr>
            </w:pPr>
            <w:r>
              <w:rPr>
                <w:lang w:val="en-US"/>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ind w:hanging="0"/>
              <w:jc w:val="center"/>
              <w:rPr>
                <w:lang w:val="en-US"/>
              </w:rPr>
            </w:pPr>
            <w:r>
              <w:rPr>
                <w:lang w:val="en-US"/>
              </w:rPr>
              <w:t>1.39*10</w:t>
            </w:r>
            <w:r>
              <w:rPr>
                <w:vertAlign w:val="superscript"/>
                <w:lang w:val="en-US"/>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ind w:hanging="0"/>
              <w:jc w:val="center"/>
              <w:rPr>
                <w:lang w:val="en-US"/>
              </w:rPr>
            </w:pPr>
            <w:r>
              <w:rPr>
                <w:lang w:val="en-US"/>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ind w:hanging="0"/>
              <w:jc w:val="center"/>
              <w:rPr>
                <w:lang w:val="en-US"/>
              </w:rPr>
            </w:pPr>
            <w:r>
              <w:rPr>
                <w:lang w:val="en-US"/>
              </w:rPr>
              <w:t>1.39*10</w:t>
            </w:r>
            <w:r>
              <w:rPr>
                <w:vertAlign w:val="superscript"/>
                <w:lang w:val="en-US"/>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ind w:hanging="0"/>
              <w:jc w:val="center"/>
              <w:rPr>
                <w:lang w:val="en-US"/>
              </w:rPr>
            </w:pPr>
            <w:r>
              <w:rPr>
                <w:lang w:val="en-US"/>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4"/>
              <w:ind w:hanging="0"/>
              <w:jc w:val="center"/>
              <w:rPr>
                <w:lang w:val="en-US"/>
              </w:rPr>
            </w:pPr>
            <w:r>
              <w:rPr>
                <w:lang w:val="en-US"/>
              </w:rPr>
              <w:t>5.33*10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4"/>
              <w:ind w:hanging="0"/>
              <w:jc w:val="center"/>
              <w:rPr>
                <w:rFonts w:cs="Liberation Serif"/>
                <w:lang w:val="en-US"/>
              </w:rPr>
            </w:pPr>
            <w:r>
              <w:rPr>
                <w:rFonts w:cs="Liberation Serif"/>
                <w:lang w:val="en-US"/>
              </w:rPr>
              <w:t>140.3</w:t>
            </w:r>
          </w:p>
        </w:tc>
      </w:tr>
    </w:tbl>
    <w:p>
      <w:pPr>
        <w:pStyle w:val="Normal"/>
        <w:rPr>
          <w:lang w:val="en-US"/>
        </w:rPr>
      </w:pPr>
      <w:r>
        <w:rPr>
          <w:lang w:val="en-US"/>
        </w:rPr>
      </w:r>
    </w:p>
    <w:p>
      <w:pPr>
        <w:pStyle w:val="Normal"/>
        <w:tabs>
          <w:tab w:val="left" w:pos="0" w:leader="none"/>
        </w:tabs>
        <w:ind w:hanging="0"/>
        <w:jc w:val="center"/>
        <w:rPr>
          <w:lang w:val="en-US"/>
        </w:rPr>
      </w:pPr>
      <w:r>
        <w:rPr/>
        <w:drawing>
          <wp:inline distT="0" distB="0" distL="0" distR="0">
            <wp:extent cx="5159375" cy="5088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159375" cy="5088890"/>
                    </a:xfrm>
                    <a:prstGeom prst="rect">
                      <a:avLst/>
                    </a:prstGeom>
                  </pic:spPr>
                </pic:pic>
              </a:graphicData>
            </a:graphic>
          </wp:inline>
        </w:drawing>
      </w:r>
    </w:p>
    <w:p>
      <w:pPr>
        <w:pStyle w:val="Normal"/>
        <w:tabs>
          <w:tab w:val="left" w:pos="0" w:leader="none"/>
        </w:tabs>
        <w:ind w:hanging="0"/>
        <w:jc w:val="center"/>
        <w:rPr>
          <w:lang w:val="en-US"/>
        </w:rPr>
      </w:pPr>
      <w:r>
        <w:rPr>
          <w:color w:val="000000"/>
          <w:lang w:val="en-US"/>
        </w:rPr>
        <w:t xml:space="preserve">Figure 10. Results of the </w:t>
      </w:r>
      <w:r>
        <w:rPr>
          <w:lang w:val="en-US"/>
        </w:rPr>
        <w:t xml:space="preserve">approximation of DS </w:t>
      </w:r>
      <w:r>
        <w:rPr>
          <w:b/>
          <w:lang w:val="en-US"/>
        </w:rPr>
        <w:t xml:space="preserve">1-3 </w:t>
      </w:r>
      <w:r>
        <w:rPr>
          <w:lang w:val="en-US"/>
        </w:rPr>
        <w:t>decomposition reactions with the Arrhenius equation</w:t>
      </w:r>
    </w:p>
    <w:p>
      <w:pPr>
        <w:pStyle w:val="Normal"/>
        <w:rPr>
          <w:color w:val="000000"/>
          <w:lang w:val="en-US"/>
        </w:rPr>
      </w:pPr>
      <w:r>
        <w:rPr>
          <w:color w:val="000000"/>
          <w:lang w:val="en-US"/>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lang w:val="en-US"/>
        </w:rPr>
        <w:t>25 °C</w:t>
      </w:r>
      <w:r>
        <w:rPr>
          <w:color w:val="000000"/>
          <w:lang w:val="en-US"/>
        </w:rPr>
        <w:t xml:space="preserve"> </w:t>
      </w:r>
      <w:r>
        <w:rPr>
          <w:lang w:val="en-US"/>
        </w:rPr>
        <w:t>3-nitrobenzenediazonium triflate</w:t>
      </w:r>
      <w:r>
        <w:rPr>
          <w:color w:val="000000"/>
          <w:lang w:val="en-US"/>
        </w:rPr>
        <w:t xml:space="preserve"> has the longest half-life time of 90 years, whereas </w:t>
      </w:r>
      <w:r>
        <w:rPr>
          <w:lang w:val="en-US"/>
        </w:rPr>
        <w:t>2-nitrobenzenediazonium triflate</w:t>
      </w:r>
      <w:r>
        <w:rPr>
          <w:color w:val="000000"/>
          <w:lang w:val="en-US"/>
        </w:rPr>
        <w:t xml:space="preserve"> has the shortest half-life time of 25 years (Fig. 11). The nature of counterion affects greatly the DS stability (Fig. 12). Thus, </w:t>
      </w:r>
      <w:r>
        <w:rPr>
          <w:lang w:val="en-US"/>
        </w:rPr>
        <w:t xml:space="preserve">4-nitrobenzenediazonium tosylate </w:t>
      </w:r>
      <w:r>
        <w:rPr>
          <w:b/>
          <w:lang w:val="en-US"/>
        </w:rPr>
        <w:t>2</w:t>
      </w:r>
      <w:r>
        <w:rPr>
          <w:lang w:val="en-US"/>
        </w:rPr>
        <w:t xml:space="preserve"> and tetrafluoroborate </w:t>
      </w:r>
      <w:r>
        <w:rPr>
          <w:b/>
          <w:lang w:val="en-US"/>
        </w:rPr>
        <w:t>3</w:t>
      </w:r>
      <w:r>
        <w:rPr>
          <w:lang w:val="en-US"/>
        </w:rPr>
        <w:t xml:space="preserve"> have close </w:t>
      </w:r>
      <w:r>
        <w:rPr>
          <w:color w:val="000000"/>
          <w:lang w:val="en-US"/>
        </w:rPr>
        <w:t xml:space="preserve">half-life times of 4.5 years. Whereas </w:t>
      </w:r>
      <w:r>
        <w:rPr>
          <w:lang w:val="en-US"/>
        </w:rPr>
        <w:t xml:space="preserve">4-nitrobenzenediazonium triflate </w:t>
      </w:r>
      <w:r>
        <w:rPr>
          <w:b/>
          <w:lang w:val="en-US"/>
        </w:rPr>
        <w:t>1c</w:t>
      </w:r>
      <w:r>
        <w:rPr>
          <w:lang w:val="en-US"/>
        </w:rPr>
        <w:t xml:space="preserve"> is much more stable with a </w:t>
      </w:r>
      <w:r>
        <w:rPr>
          <w:color w:val="000000"/>
          <w:lang w:val="en-US"/>
        </w:rPr>
        <w:t xml:space="preserve">half-life time of 46 years and a significantly lower maximum heat flow. Note that the effect of counterion on DS stability becomes noticeable only at low temperatures (25 </w:t>
      </w:r>
      <w:r>
        <w:rPr>
          <w:lang w:val="en-US"/>
        </w:rPr>
        <w:t>°C</w:t>
      </w:r>
      <w:r>
        <w:rPr>
          <w:color w:val="000000"/>
          <w:lang w:val="en-US"/>
        </w:rPr>
        <w:t xml:space="preserve">), while at elevated temperatures (during DSC/TGA or isothermal flow calorimetry at 75-85 </w:t>
      </w:r>
      <w:r>
        <w:rPr>
          <w:lang w:val="en-US"/>
        </w:rPr>
        <w:t>°C</w:t>
      </w:r>
      <w:r>
        <w:rPr>
          <w:color w:val="000000"/>
          <w:lang w:val="en-US"/>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lang w:val="en-US"/>
        </w:rPr>
        <w:t>2</w:t>
      </w:r>
      <w:r>
        <w:rPr>
          <w:color w:val="000000"/>
          <w:vertAlign w:val="superscript"/>
          <w:lang w:val="en-US"/>
        </w:rPr>
        <w:t>+</w:t>
      </w:r>
      <w:r>
        <w:rPr>
          <w:color w:val="000000"/>
          <w:lang w:val="en-US"/>
        </w:rPr>
        <w:t xml:space="preserve"> diazonium cation and the presence and nature of nucleophiles in the immediate environment.</w:t>
      </w:r>
    </w:p>
    <w:p>
      <w:pPr>
        <w:pStyle w:val="Normal"/>
        <w:ind w:hanging="0"/>
        <w:rPr>
          <w:lang w:val="en-US"/>
        </w:rPr>
      </w:pPr>
      <w:r>
        <w:rPr>
          <w:lang w:val="en-US"/>
        </w:rPr>
      </w:r>
    </w:p>
    <w:p>
      <w:pPr>
        <w:pStyle w:val="Normal"/>
        <w:jc w:val="center"/>
        <w:rPr>
          <w:lang w:val="en-US"/>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lang w:val="en-US"/>
        </w:rPr>
      </w:pPr>
      <w:r>
        <w:rPr>
          <w:lang w:val="en-US"/>
        </w:rPr>
        <w:t xml:space="preserve">Figure 11. The heat flow (P) over the time dependency built upon modelling of the kinetic curves of the decomposition of 2-, 3- and 4-nitrobenzenediazonium triflates </w:t>
      </w:r>
      <w:r>
        <w:rPr>
          <w:b/>
          <w:bCs/>
          <w:lang w:val="en-US"/>
        </w:rPr>
        <w:t>1a-c</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12. The heat flow (P) over the time dependency built upon modelling of the kinetic curves of the decomposition of 4-nitrobenzenediazonium tosulate </w:t>
      </w:r>
      <w:r>
        <w:rPr>
          <w:b/>
          <w:lang w:val="en-US"/>
        </w:rPr>
        <w:t>2</w:t>
      </w:r>
      <w:r>
        <w:rPr>
          <w:lang w:val="en-US"/>
        </w:rPr>
        <w:t xml:space="preserve">, triflate </w:t>
      </w:r>
      <w:r>
        <w:rPr>
          <w:b/>
          <w:lang w:val="en-US"/>
        </w:rPr>
        <w:t>1c</w:t>
      </w:r>
      <w:r>
        <w:rPr>
          <w:lang w:val="en-US"/>
        </w:rPr>
        <w:t xml:space="preserve"> and tetrafluoroborate </w:t>
      </w:r>
      <w:r>
        <w:rPr>
          <w:b/>
          <w:lang w:val="en-US"/>
        </w:rPr>
        <w:t>3</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color w:val="000000"/>
          <w:sz w:val="12"/>
          <w:szCs w:val="12"/>
          <w:highlight w:val="green"/>
          <w:lang w:val="en-US"/>
        </w:rPr>
      </w:pPr>
      <w:r>
        <w:rPr>
          <w:color w:val="000000"/>
          <w:sz w:val="12"/>
          <w:szCs w:val="12"/>
          <w:highlight w:val="green"/>
          <w:lang w:val="en-US"/>
        </w:rPr>
      </w:r>
    </w:p>
    <w:p>
      <w:pPr>
        <w:pStyle w:val="Normal"/>
        <w:tabs>
          <w:tab w:val="center" w:pos="218" w:leader="none"/>
        </w:tabs>
        <w:rPr>
          <w:lang w:val="en-US"/>
        </w:rPr>
      </w:pPr>
      <w:r>
        <w:rPr>
          <w:highlight w:val="yellow"/>
          <w:lang w:val="en-US"/>
        </w:rPr>
        <w:t>Thus, considering all the data, we can draw several conclusions.</w:t>
      </w:r>
      <w:r>
        <w:rPr>
          <w:lang w:val="en-US"/>
        </w:rPr>
        <w:t xml:space="preserve">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Normal"/>
        <w:tabs>
          <w:tab w:val="center" w:pos="218" w:leader="none"/>
        </w:tabs>
        <w:rPr/>
      </w:pPr>
      <w:r>
        <w:rPr>
          <w:lang w:val="en-US"/>
        </w:rPr>
        <w:t xml:space="preserve">Secondly, the nature of counterion has a pronounced effect on DS stability. The approximation of experimental data with Arrhenius equation showed that arenediazonium triflates are the most stable during the storage, for example, 3-nitrobenzenediazonium triflate has a shelf-life of </w:t>
      </w:r>
      <w:commentRangeStart w:id="16"/>
      <w:r>
        <w:rPr>
          <w:lang w:val="en-US"/>
        </w:rPr>
        <w:t>83</w:t>
      </w:r>
      <w:r>
        <w:rPr>
          <w:lang w:val="en-US"/>
        </w:rPr>
      </w:r>
      <w:commentRangeEnd w:id="16"/>
      <w:r>
        <w:commentReference w:id="16"/>
      </w:r>
      <w:r>
        <w:rPr>
          <w:lang w:val="en-US"/>
        </w:rPr>
        <w:t xml:space="preserve"> years. </w:t>
      </w:r>
      <w:commentRangeStart w:id="17"/>
      <w:r>
        <w:rPr>
          <w:highlight w:val="yellow"/>
          <w:lang w:val="en-US"/>
        </w:rPr>
        <w:t xml:space="preserve">Presumably, changing the counterion effects the probability of the occurrence of various mechanisms during the DS decomposition, </w:t>
      </w:r>
      <w:r>
        <w:rPr>
          <w:highlight w:val="green"/>
          <w:lang w:val="en-US"/>
        </w:rPr>
        <w:t>which are discussed further and presented in schemes 2 and 3.</w:t>
      </w:r>
      <w:r>
        <w:rPr>
          <w:lang w:val="en-US"/>
        </w:rPr>
        <w:t xml:space="preserve"> (</w:t>
      </w:r>
      <w:r>
        <w:rPr/>
        <w:t>Предположительно</w:t>
      </w:r>
      <w:r>
        <w:rPr>
          <w:lang w:val="en-US"/>
        </w:rPr>
        <w:t xml:space="preserve">, </w:t>
      </w:r>
      <w:r>
        <w:rPr/>
        <w:t>влияние</w:t>
      </w:r>
      <w:r>
        <w:rPr>
          <w:lang w:val="en-US"/>
        </w:rPr>
        <w:t xml:space="preserve"> </w:t>
      </w:r>
      <w:r>
        <w:rPr/>
        <w:t>аниона</w:t>
      </w:r>
      <w:r>
        <w:rPr>
          <w:lang w:val="en-US"/>
        </w:rPr>
        <w:t xml:space="preserve"> </w:t>
      </w:r>
      <w:r>
        <w:rPr/>
        <w:t>связано</w:t>
      </w:r>
      <w:r>
        <w:rPr>
          <w:lang w:val="en-US"/>
        </w:rPr>
        <w:t xml:space="preserve"> </w:t>
      </w:r>
      <w:r>
        <w:rPr/>
        <w:t>с</w:t>
      </w:r>
      <w:r>
        <w:rPr>
          <w:lang w:val="en-US"/>
        </w:rPr>
        <w:t xml:space="preserve"> </w:t>
      </w:r>
      <w:r>
        <w:rPr/>
        <w:t>изменением</w:t>
      </w:r>
      <w:r>
        <w:rPr>
          <w:lang w:val="en-US"/>
        </w:rPr>
        <w:t xml:space="preserve"> </w:t>
      </w:r>
      <w:r>
        <w:rPr/>
        <w:t>вероятности</w:t>
      </w:r>
      <w:r>
        <w:rPr>
          <w:lang w:val="en-US"/>
        </w:rPr>
        <w:t xml:space="preserve"> </w:t>
      </w:r>
      <w:r>
        <w:rPr/>
        <w:t>протекания</w:t>
      </w:r>
      <w:r>
        <w:rPr>
          <w:lang w:val="en-US"/>
        </w:rPr>
        <w:t xml:space="preserve"> </w:t>
      </w:r>
      <w:r>
        <w:rPr/>
        <w:t>различных</w:t>
      </w:r>
      <w:r>
        <w:rPr>
          <w:lang w:val="en-US"/>
        </w:rPr>
        <w:t xml:space="preserve"> </w:t>
      </w:r>
      <w:r>
        <w:rPr/>
        <w:t>механизмов</w:t>
      </w:r>
      <w:r>
        <w:rPr>
          <w:lang w:val="en-US"/>
        </w:rPr>
        <w:t xml:space="preserve"> </w:t>
      </w:r>
      <w:r>
        <w:rPr/>
        <w:t>при</w:t>
      </w:r>
      <w:r>
        <w:rPr>
          <w:lang w:val="en-US"/>
        </w:rPr>
        <w:t xml:space="preserve"> </w:t>
      </w:r>
      <w:r>
        <w:rPr/>
        <w:t>разложении</w:t>
      </w:r>
      <w:r>
        <w:rPr>
          <w:lang w:val="en-US"/>
        </w:rPr>
        <w:t xml:space="preserve"> </w:t>
      </w:r>
      <w:r>
        <w:rPr/>
        <w:t>солей</w:t>
      </w:r>
      <w:r>
        <w:rPr>
          <w:highlight w:val="green"/>
        </w:rPr>
        <w:t>, которые обсуждаются далее и представлены на схемах 2 и 3</w:t>
      </w:r>
      <w:r>
        <w:rPr>
          <w:lang w:val="en-US"/>
        </w:rPr>
        <w:t>).</w:t>
      </w:r>
      <w:r>
        <w:rPr>
          <w:lang w:val="en-US"/>
        </w:rPr>
      </w:r>
      <w:commentRangeEnd w:id="17"/>
      <w:r>
        <w:commentReference w:id="17"/>
      </w:r>
      <w:r>
        <w:rPr>
          <w:lang w:val="en-US"/>
        </w:rPr>
        <w:commentReference w:id="18"/>
      </w:r>
    </w:p>
    <w:p>
      <w:pPr>
        <w:pStyle w:val="Normal"/>
        <w:tabs>
          <w:tab w:val="center" w:pos="218" w:leader="none"/>
        </w:tabs>
        <w:rPr/>
      </w:pPr>
      <w:r>
        <w:rPr>
          <w:lang w:val="en-US"/>
        </w:rPr>
        <w:t xml:space="preserve">Finally, given the results of isothermal flow calorimetry, the DSs studied decompose with thermal effects close to the threshold value of 800 J/g for safe transportation, according to UNESCO [6]. Only in the case of 2-nitrobenzenediazonium triflate, the released energy of </w:t>
      </w:r>
      <w:commentRangeStart w:id="19"/>
      <w:r>
        <w:rPr>
          <w:highlight w:val="green"/>
          <w:lang w:val="en-US"/>
        </w:rPr>
        <w:t>1330</w:t>
      </w:r>
      <w:r>
        <w:rPr>
          <w:highlight w:val="green"/>
          <w:lang w:val="en-US"/>
        </w:rPr>
      </w:r>
      <w:commentRangeEnd w:id="19"/>
      <w:r>
        <w:commentReference w:id="19"/>
      </w:r>
      <w:r>
        <w:rPr>
          <w:lang w:val="en-US"/>
        </w:rPr>
        <w:t xml:space="preserve"> J/g exceeds the permissible value.</w:t>
      </w:r>
    </w:p>
    <w:p>
      <w:pPr>
        <w:pStyle w:val="2"/>
        <w:numPr>
          <w:ilvl w:val="1"/>
          <w:numId w:val="2"/>
        </w:numPr>
        <w:ind w:left="0" w:firstLine="397"/>
        <w:rPr>
          <w:lang w:val="en-US"/>
        </w:rPr>
      </w:pPr>
      <w:r>
        <w:rPr>
          <w:bCs/>
          <w:lang w:val="en-US"/>
        </w:rPr>
        <w:t xml:space="preserve">GC-MS and LC-MS study of decomposition products </w:t>
      </w:r>
    </w:p>
    <w:p>
      <w:pPr>
        <w:pStyle w:val="Normal"/>
        <w:rPr>
          <w:lang w:val="en-US"/>
        </w:rPr>
      </w:pPr>
      <w:r>
        <w:rPr>
          <w:lang w:val="en-US"/>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lang w:val="en-US"/>
        </w:rPr>
        <w:t>1-3</w:t>
      </w:r>
      <w:r>
        <w:rPr>
          <w:lang w:val="en-US"/>
        </w:rPr>
        <w:t xml:space="preserve"> at 85 </w:t>
      </w:r>
      <w:r>
        <w:rPr>
          <w:vertAlign w:val="superscript"/>
        </w:rPr>
        <w:t>о</w:t>
      </w:r>
      <w:r>
        <w:rPr/>
        <w:t>С</w:t>
      </w:r>
      <w:r>
        <w:rPr>
          <w:lang w:val="en-US"/>
        </w:rPr>
        <w:t xml:space="preserve"> using GC-MS and LC-MS. To conduct the analysis, the unreacted DS was converted into corresponding aryl iodide by reaction with KI. </w:t>
      </w:r>
    </w:p>
    <w:p>
      <w:pPr>
        <w:pStyle w:val="Normal"/>
        <w:rPr>
          <w:lang w:val="en-US"/>
        </w:rPr>
      </w:pPr>
      <w:r>
        <w:rPr>
          <w:lang w:val="en-US"/>
        </w:rPr>
        <w:t>According to the GC-MS data (</w:t>
      </w:r>
      <w:r>
        <w:rPr>
          <w:highlight w:val="yellow"/>
          <w:lang w:val="en-US"/>
        </w:rPr>
        <w:t xml:space="preserve">Supporting 2s, </w:t>
      </w:r>
      <w:commentRangeStart w:id="20"/>
      <w:r>
        <w:rPr>
          <w:highlight w:val="yellow"/>
          <w:lang w:val="en-US"/>
        </w:rPr>
        <w:t>Fig. S15-20</w:t>
      </w:r>
      <w:r>
        <w:rPr>
          <w:highlight w:val="yellow"/>
          <w:lang w:val="en-US"/>
        </w:rPr>
      </w:r>
      <w:commentRangeEnd w:id="20"/>
      <w:r>
        <w:commentReference w:id="20"/>
      </w:r>
      <w:r>
        <w:rPr>
          <w:highlight w:val="yellow"/>
          <w:lang w:val="en-US"/>
        </w:rPr>
        <w:commentReference w:id="21"/>
      </w:r>
      <w:r>
        <w:rPr>
          <w:lang w:val="en-US"/>
        </w:rPr>
        <w:t xml:space="preserve">), the main products of the decomposition of DSs </w:t>
      </w:r>
      <w:r>
        <w:rPr>
          <w:b/>
          <w:lang w:val="en-US"/>
        </w:rPr>
        <w:t>1b</w:t>
      </w:r>
      <w:r>
        <w:rPr>
          <w:lang w:val="en-US"/>
        </w:rPr>
        <w:t xml:space="preserve">, </w:t>
      </w:r>
      <w:r>
        <w:rPr>
          <w:b/>
          <w:lang w:val="en-US"/>
        </w:rPr>
        <w:t>1c</w:t>
      </w:r>
      <w:r>
        <w:rPr>
          <w:lang w:val="en-US"/>
        </w:rPr>
        <w:t xml:space="preserve">, </w:t>
      </w:r>
      <w:r>
        <w:rPr>
          <w:b/>
          <w:lang w:val="en-US"/>
        </w:rPr>
        <w:t>1d</w:t>
      </w:r>
      <w:r>
        <w:rPr>
          <w:lang w:val="en-US"/>
        </w:rPr>
        <w:t xml:space="preserve"> are the corresponding esters of nitro-phenyl trifluoromethanesulfonates ArOTf. The decomposition of arenediazonium tosylate </w:t>
      </w:r>
      <w:r>
        <w:rPr>
          <w:b/>
          <w:lang w:val="en-US"/>
        </w:rPr>
        <w:t>2</w:t>
      </w:r>
      <w:r>
        <w:rPr>
          <w:lang w:val="en-US"/>
        </w:rPr>
        <w:t xml:space="preserve"> resulted in the formation of nitrobenzene and 1-iodo-4-nitrobenzene (GC-MS). LC-MS ESI in negative ionization mode also showed the presence of </w:t>
      </w:r>
      <w:r>
        <w:rPr>
          <w:color w:val="000000"/>
          <w:lang w:val="en-US"/>
        </w:rPr>
        <w:t xml:space="preserve">4-nitrophenyl 4-methylbenzenesulfonate ester (m/z=292.1) among the decomposition products. In case of </w:t>
      </w:r>
      <w:r>
        <w:rPr>
          <w:lang w:val="en-US"/>
        </w:rPr>
        <w:t xml:space="preserve">arenediazonium tetrafluoroborate </w:t>
      </w:r>
      <w:r>
        <w:rPr>
          <w:b/>
          <w:lang w:val="en-US"/>
        </w:rPr>
        <w:t>3,</w:t>
      </w:r>
      <w:r>
        <w:rPr>
          <w:lang w:val="en-US"/>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lang w:val="en-US"/>
        </w:rPr>
        <w:t>1b</w:t>
      </w:r>
      <w:r>
        <w:rPr>
          <w:lang w:val="en-US"/>
        </w:rPr>
        <w:t>-</w:t>
      </w:r>
      <w:r>
        <w:rPr>
          <w:b/>
          <w:bCs/>
          <w:lang w:val="en-US"/>
        </w:rPr>
        <w:t>d</w:t>
      </w:r>
      <w:r>
        <w:rPr>
          <w:lang w:val="en-US"/>
        </w:rPr>
        <w:t xml:space="preserve">, </w:t>
      </w:r>
      <w:r>
        <w:rPr>
          <w:b/>
          <w:bCs/>
          <w:lang w:val="en-US"/>
        </w:rPr>
        <w:t>2</w:t>
      </w:r>
      <w:r>
        <w:rPr>
          <w:lang w:val="en-US"/>
        </w:rPr>
        <w:t xml:space="preserve">, </w:t>
      </w:r>
      <w:r>
        <w:rPr>
          <w:b/>
          <w:bCs/>
          <w:lang w:val="en-US"/>
        </w:rPr>
        <w:t xml:space="preserve">3 </w:t>
      </w:r>
      <w:r>
        <w:rPr>
          <w:bCs/>
          <w:highlight w:val="yellow"/>
          <w:lang w:val="en-US"/>
        </w:rPr>
        <w:t>(Scheme 2)</w:t>
      </w:r>
      <w:r>
        <w:rPr>
          <w:bCs/>
          <w:lang w:val="en-US"/>
        </w:rPr>
        <w:t>.</w:t>
      </w:r>
    </w:p>
    <w:p>
      <w:pPr>
        <w:pStyle w:val="Normal"/>
        <w:ind w:hanging="0"/>
        <w:rPr/>
      </w:pPr>
      <w:r>
        <w:rPr/>
      </w:r>
    </w:p>
    <w:p>
      <w:pPr>
        <w:pStyle w:val="Normal"/>
        <w:ind w:hanging="0"/>
        <w:jc w:val="center"/>
        <w:rPr/>
      </w:pPr>
      <w:commentRangeStart w:id="22"/>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3"/>
                    <a:stretch>
                      <a:fillRect/>
                    </a:stretch>
                  </pic:blipFill>
                  <pic:spPr bwMode="auto">
                    <a:xfrm>
                      <a:off x="0" y="0"/>
                      <a:ext cx="4448175" cy="749935"/>
                    </a:xfrm>
                    <a:prstGeom prst="rect">
                      <a:avLst/>
                    </a:prstGeom>
                  </pic:spPr>
                </pic:pic>
              </a:graphicData>
            </a:graphic>
          </wp:inline>
        </w:drawing>
      </w:r>
      <w:commentRangeEnd w:id="22"/>
      <w:r>
        <w:commentReference w:id="22"/>
      </w:r>
      <w:r>
        <w:rPr/>
      </w:r>
    </w:p>
    <w:p>
      <w:pPr>
        <w:pStyle w:val="Normal"/>
        <w:spacing w:before="0" w:after="113"/>
        <w:ind w:hanging="0"/>
        <w:jc w:val="center"/>
        <w:rPr>
          <w:rFonts w:ascii="FreeSans" w:hAnsi="FreeSans"/>
          <w:sz w:val="22"/>
          <w:szCs w:val="22"/>
          <w:lang w:val="en-US" w:eastAsia="ru-RU" w:bidi="ar-SA"/>
        </w:rPr>
      </w:pPr>
      <w:r>
        <w:rPr>
          <w:rFonts w:ascii="FreeSans" w:hAnsi="FreeSans"/>
          <w:sz w:val="22"/>
          <w:szCs w:val="22"/>
          <w:highlight w:val="yellow"/>
          <w:lang w:val="en-US" w:eastAsia="ru-RU" w:bidi="ar-SA"/>
        </w:rPr>
        <w:t>Nu = F, TsO, TfO</w:t>
      </w:r>
    </w:p>
    <w:p>
      <w:pPr>
        <w:pStyle w:val="Normal"/>
        <w:spacing w:before="0" w:after="113"/>
        <w:ind w:hanging="0"/>
        <w:jc w:val="center"/>
        <w:rPr>
          <w:lang w:val="en-US"/>
        </w:rPr>
      </w:pPr>
      <w:commentRangeStart w:id="23"/>
      <w:r>
        <w:rPr>
          <w:bCs/>
          <w:highlight w:val="yellow"/>
          <w:lang w:val="en-US"/>
        </w:rPr>
        <w:t xml:space="preserve">Scheme 2. </w:t>
      </w:r>
      <w:r>
        <w:rPr>
          <w:bCs/>
          <w:highlight w:val="yellow"/>
          <w:lang w:val="en-US"/>
        </w:rPr>
      </w:r>
      <w:commentRangeEnd w:id="23"/>
      <w:r>
        <w:commentReference w:id="23"/>
      </w:r>
      <w:r>
        <w:rPr>
          <w:bCs/>
          <w:highlight w:val="yellow"/>
          <w:lang w:val="en-US"/>
        </w:rPr>
        <w:commentReference w:id="24"/>
      </w:r>
      <w:r>
        <w:rPr>
          <w:bCs/>
          <w:highlight w:val="yellow"/>
          <w:lang w:val="en-US"/>
        </w:rPr>
        <w:t xml:space="preserve">The possible mechanism of thermal decomposition of DSs </w:t>
      </w:r>
      <w:r>
        <w:rPr>
          <w:b/>
          <w:bCs/>
          <w:highlight w:val="yellow"/>
          <w:lang w:val="en-US"/>
        </w:rPr>
        <w:t>1b</w:t>
      </w:r>
      <w:r>
        <w:rPr>
          <w:highlight w:val="yellow"/>
          <w:lang w:val="en-US"/>
        </w:rPr>
        <w:t>-</w:t>
      </w:r>
      <w:r>
        <w:rPr>
          <w:b/>
          <w:bCs/>
          <w:highlight w:val="yellow"/>
          <w:lang w:val="en-US"/>
        </w:rPr>
        <w:t>d</w:t>
      </w:r>
      <w:r>
        <w:rPr>
          <w:highlight w:val="yellow"/>
          <w:lang w:val="en-US"/>
        </w:rPr>
        <w:t xml:space="preserve">, </w:t>
      </w:r>
      <w:r>
        <w:rPr>
          <w:b/>
          <w:bCs/>
          <w:highlight w:val="yellow"/>
          <w:lang w:val="en-US"/>
        </w:rPr>
        <w:t>2</w:t>
      </w:r>
      <w:r>
        <w:rPr>
          <w:highlight w:val="yellow"/>
          <w:lang w:val="en-US"/>
        </w:rPr>
        <w:t xml:space="preserve">, </w:t>
      </w:r>
      <w:r>
        <w:rPr>
          <w:b/>
          <w:bCs/>
          <w:highlight w:val="yellow"/>
          <w:lang w:val="en-US"/>
        </w:rPr>
        <w:t>3</w:t>
      </w:r>
    </w:p>
    <w:p>
      <w:pPr>
        <w:pStyle w:val="Normal"/>
        <w:rPr>
          <w:color w:val="000000"/>
          <w:lang w:val="en-US"/>
        </w:rPr>
      </w:pPr>
      <w:r>
        <w:rPr>
          <w:lang w:val="en-US"/>
        </w:rPr>
        <w:t>A completely different process takes place when 2</w:t>
      </w:r>
      <w:r>
        <w:rPr>
          <w:i/>
          <w:lang w:val="en-US"/>
        </w:rPr>
        <w:t>-</w:t>
      </w:r>
      <w:r>
        <w:rPr>
          <w:lang w:val="en-US"/>
        </w:rPr>
        <w:t xml:space="preserve">nitroarenediazonium triflate </w:t>
      </w:r>
      <w:r>
        <w:rPr>
          <w:b/>
          <w:lang w:val="en-US"/>
        </w:rPr>
        <w:t>1a</w:t>
      </w:r>
      <w:r>
        <w:rPr>
          <w:lang w:val="en-US"/>
        </w:rPr>
        <w:t xml:space="preserve"> decomposes. In this case, the products of the diazonium group substitution by the triflate anion were not detected. The compounds formed during the DS </w:t>
      </w:r>
      <w:r>
        <w:rPr>
          <w:b/>
          <w:lang w:val="en-US"/>
        </w:rPr>
        <w:t>1a</w:t>
      </w:r>
      <w:r>
        <w:rPr>
          <w:lang w:val="en-US"/>
        </w:rPr>
        <w:t xml:space="preserve"> decomposition were polymers. We were able to elucidate their structure by LC-MS (Table 6, MS spectra presented in Supporting 3s). The polymers found were suggested to be built upon the following repeating units: </w:t>
      </w:r>
      <w:r>
        <w:rPr>
          <w:color w:val="000000"/>
          <w:lang w:val="en-US"/>
        </w:rPr>
        <w:t>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3</w:t>
      </w:r>
      <w:r>
        <w:rPr>
          <w:color w:val="000000"/>
          <w:lang w:val="en-US"/>
        </w:rPr>
        <w:t xml:space="preserve"> (</w:t>
      </w:r>
      <w:r>
        <w:rPr>
          <w:rFonts w:ascii="Symbol" w:hAnsi="Symbol"/>
          <w:color w:val="000000"/>
          <w:sz w:val="20"/>
          <w:szCs w:val="20"/>
          <w:lang w:val="en-US"/>
        </w:rPr>
        <w:t></w:t>
      </w:r>
      <w:r>
        <w:rPr>
          <w:color w:val="000000"/>
          <w:lang w:val="en-US"/>
        </w:rPr>
        <w:t>M/Z=121.0) and [NO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4</w:t>
      </w:r>
      <w:r>
        <w:rPr>
          <w:color w:val="000000"/>
          <w:lang w:val="en-US"/>
        </w:rPr>
        <w:t>SCF</w:t>
      </w:r>
      <w:r>
        <w:rPr>
          <w:color w:val="000000"/>
          <w:vertAlign w:val="subscript"/>
          <w:lang w:val="en-US"/>
        </w:rPr>
        <w:t>3</w:t>
      </w:r>
      <w:r>
        <w:rPr>
          <w:color w:val="000000"/>
          <w:lang w:val="en-US"/>
        </w:rPr>
        <w:t>] (</w:t>
      </w:r>
      <w:r>
        <w:rPr>
          <w:rFonts w:ascii="Symbol" w:hAnsi="Symbol"/>
          <w:color w:val="000000"/>
          <w:sz w:val="20"/>
          <w:szCs w:val="20"/>
          <w:lang w:val="en-US"/>
        </w:rPr>
        <w:t></w:t>
      </w:r>
      <w:r>
        <w:rPr>
          <w:color w:val="000000"/>
          <w:lang w:val="en-US"/>
        </w:rPr>
        <w:t>M/Z=223).</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spacing w:before="113" w:after="0"/>
        <w:rPr>
          <w:color w:val="000000"/>
          <w:lang w:val="en-US"/>
        </w:rPr>
      </w:pPr>
      <w:r>
        <w:rPr>
          <w:color w:val="000000"/>
          <w:lang w:val="en-US"/>
        </w:rPr>
        <w:t xml:space="preserve">Table 6. The main peaks present on the LC-MS chromatograms of the decomposition products of </w:t>
      </w:r>
      <w:r>
        <w:rPr>
          <w:lang w:val="en-US"/>
        </w:rPr>
        <w:t>2</w:t>
      </w:r>
      <w:r>
        <w:rPr>
          <w:i/>
          <w:lang w:val="en-US"/>
        </w:rPr>
        <w:t>-</w:t>
      </w:r>
      <w:r>
        <w:rPr>
          <w:lang w:val="en-US"/>
        </w:rPr>
        <w:t xml:space="preserve">nitroarenediazonium triflate </w:t>
      </w:r>
      <w:r>
        <w:rPr>
          <w:b/>
          <w:lang w:val="en-US"/>
        </w:rPr>
        <w:t>1a</w:t>
      </w:r>
    </w:p>
    <w:p>
      <w:pPr>
        <w:pStyle w:val="Normal"/>
        <w:rPr>
          <w:lang w:val="en-US"/>
        </w:rPr>
      </w:pPr>
      <w:r>
        <w:rPr>
          <w:lang w:val="en-US"/>
        </w:rPr>
      </w:r>
    </w:p>
    <w:tbl>
      <w:tblPr>
        <w:tblW w:w="9645"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32" w:type="dxa"/>
          <w:bottom w:w="55" w:type="dxa"/>
          <w:right w:w="55" w:type="dxa"/>
        </w:tblCellMar>
        <w:tblLook w:val="0000" w:noVBand="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b/>
                <w:bCs/>
                <w:lang w:val="en-US"/>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b/>
                <w:b/>
                <w:bCs/>
                <w:lang w:val="en-US"/>
              </w:rPr>
            </w:pPr>
            <w:r>
              <w:rPr>
                <w:b/>
                <w:bCs/>
                <w:lang w:val="en-U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tcPr>
          <w:p>
            <w:pPr>
              <w:pStyle w:val="Style24"/>
              <w:ind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lang w:val="en-US"/>
              </w:rPr>
              <w:t>74.1; 297.1; 520.2; 743.2</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 xml:space="preserve">432.1; 553.1; 674.1; 795.1; 916.1; 1037.1; 1158.1 </w:t>
            </w:r>
          </w:p>
          <w:p>
            <w:pPr>
              <w:pStyle w:val="Style24"/>
              <w:ind w:hanging="0"/>
              <w:jc w:val="center"/>
              <w:rPr>
                <w:lang w:val="en-US"/>
              </w:rPr>
            </w:pPr>
            <w:r>
              <w:rPr>
                <w:lang w:val="en-US"/>
              </w:rPr>
            </w:r>
          </w:p>
          <w:p>
            <w:pPr>
              <w:pStyle w:val="Style24"/>
              <w:ind w:hanging="0"/>
              <w:jc w:val="center"/>
              <w:rPr>
                <w:lang w:val="en-US"/>
              </w:rPr>
            </w:pPr>
            <w:r>
              <w:rPr>
                <w:lang w:val="en-US"/>
              </w:rPr>
              <w:t>525.1; 646.1; 767.1; 888.1; 1009.1; 1130.1</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588.2; 710.1; 831.2; 952.2;</w:t>
            </w:r>
          </w:p>
          <w:p>
            <w:pPr>
              <w:pStyle w:val="Style24"/>
              <w:ind w:hanging="0"/>
              <w:jc w:val="center"/>
              <w:rPr>
                <w:lang w:val="en-US"/>
              </w:rPr>
            </w:pPr>
            <w:r>
              <w:rPr>
                <w:lang w:val="en-US"/>
              </w:rPr>
            </w:r>
          </w:p>
          <w:p>
            <w:pPr>
              <w:pStyle w:val="Style24"/>
              <w:ind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tcPr>
          <w:p>
            <w:pPr>
              <w:pStyle w:val="Style24"/>
              <w:ind w:hanging="0"/>
              <w:jc w:val="center"/>
              <w:rPr>
                <w:lang w:val="en-US"/>
              </w:rPr>
            </w:pPr>
            <w:r>
              <w:rPr>
                <w:lang w:val="en-US"/>
              </w:rPr>
              <w:t>Polymer chain P1 with the mass of repeating unit of 223, possibly, [NO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SCF</w:t>
            </w:r>
            <w:r>
              <w:rPr>
                <w:vertAlign w:val="subscript"/>
                <w:lang w:val="en-US"/>
              </w:rPr>
              <w:t>3</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P2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P3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lang w:val="en-US"/>
              </w:rPr>
            </w:pPr>
            <w:r>
              <w:rPr>
                <w:i/>
                <w:iCs/>
                <w:color w:val="000000"/>
                <w:lang w:val="en-US"/>
              </w:rPr>
              <w:t>The difference between P2 and P3 is 28, which corresponds to the nitrogen elimination</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P4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lang w:val="en-US"/>
              </w:rPr>
              <w:t xml:space="preserve">394.0; 515.0; 635.9; </w:t>
            </w:r>
          </w:p>
          <w:p>
            <w:pPr>
              <w:pStyle w:val="Style24"/>
              <w:ind w:hanging="0"/>
              <w:jc w:val="center"/>
              <w:rPr>
                <w:lang w:val="en-US"/>
              </w:rPr>
            </w:pPr>
            <w:r>
              <w:rPr>
                <w:lang w:val="en-US"/>
              </w:rPr>
              <w:t>756.9; 877.8; 998.8; 1119.7</w:t>
            </w:r>
          </w:p>
          <w:p>
            <w:pPr>
              <w:pStyle w:val="Style24"/>
              <w:ind w:hanging="0"/>
              <w:jc w:val="center"/>
              <w:rPr>
                <w:lang w:val="en-US"/>
              </w:rPr>
            </w:pPr>
            <w:r>
              <w:rPr>
                <w:lang w:val="en-US"/>
              </w:rPr>
            </w:r>
          </w:p>
          <w:p>
            <w:pPr>
              <w:pStyle w:val="Style24"/>
              <w:ind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tcPr>
          <w:p>
            <w:pPr>
              <w:pStyle w:val="Style24"/>
              <w:ind w:hanging="0"/>
              <w:jc w:val="center"/>
              <w:rPr>
                <w:lang w:val="en-US"/>
              </w:rPr>
            </w:pPr>
            <w:r>
              <w:rPr>
                <w:lang w:val="en-US"/>
              </w:rPr>
              <w:t xml:space="preserve">Polymer chain </w:t>
            </w:r>
            <w:r>
              <w:rPr>
                <w:color w:val="000000"/>
                <w:lang w:val="en-US"/>
              </w:rPr>
              <w:t xml:space="preserve">P5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tcPr>
          <w:p>
            <w:pPr>
              <w:pStyle w:val="Style24"/>
              <w:ind w:hanging="0"/>
              <w:jc w:val="center"/>
              <w:rPr>
                <w:lang w:val="en-US"/>
              </w:rPr>
            </w:pPr>
            <w:r>
              <w:rPr>
                <w:lang w:val="en-US"/>
              </w:rPr>
              <w:t xml:space="preserve">380.1; 501.1; 622.1; </w:t>
            </w:r>
          </w:p>
          <w:p>
            <w:pPr>
              <w:pStyle w:val="Style24"/>
              <w:ind w:hanging="0"/>
              <w:jc w:val="center"/>
              <w:rPr>
                <w:lang w:val="en-US"/>
              </w:rPr>
            </w:pPr>
            <w:r>
              <w:rPr>
                <w:lang w:val="en-US"/>
              </w:rPr>
              <w:t>743.1; 864.1</w:t>
            </w:r>
          </w:p>
          <w:p>
            <w:pPr>
              <w:pStyle w:val="Style24"/>
              <w:ind w:hanging="0"/>
              <w:jc w:val="center"/>
              <w:rPr>
                <w:lang w:val="en-US"/>
              </w:rPr>
            </w:pPr>
            <w:r>
              <w:rPr>
                <w:lang w:val="en-US"/>
              </w:rPr>
            </w:r>
          </w:p>
          <w:p>
            <w:pPr>
              <w:pStyle w:val="Style24"/>
              <w:ind w:hanging="0"/>
              <w:jc w:val="center"/>
              <w:rPr>
                <w:lang w:val="en-US"/>
              </w:rPr>
            </w:pPr>
            <w:r>
              <w:rPr>
                <w:lang w:val="en-US"/>
              </w:rPr>
              <w:t>528.0; 649.1; 770.1; 891.1</w:t>
            </w:r>
          </w:p>
          <w:p>
            <w:pPr>
              <w:pStyle w:val="Style24"/>
              <w:ind w:hanging="0"/>
              <w:jc w:val="center"/>
              <w:rPr>
                <w:lang w:val="en-US"/>
              </w:rPr>
            </w:pPr>
            <w:r>
              <w:rPr>
                <w:lang w:val="en-US"/>
              </w:rPr>
            </w:r>
          </w:p>
          <w:p>
            <w:pPr>
              <w:pStyle w:val="Style24"/>
              <w:ind w:hanging="0"/>
              <w:jc w:val="center"/>
              <w:rPr>
                <w:lang w:val="en-US"/>
              </w:rPr>
            </w:pPr>
            <w:r>
              <w:rPr>
                <w:lang w:val="en-US"/>
              </w:rPr>
              <w:t>149.0</w:t>
            </w:r>
          </w:p>
          <w:p>
            <w:pPr>
              <w:pStyle w:val="Style24"/>
              <w:ind w:hanging="0"/>
              <w:jc w:val="center"/>
              <w:rPr>
                <w:lang w:val="en-US"/>
              </w:rPr>
            </w:pPr>
            <w:r>
              <w:rPr>
                <w:lang w:val="en-US"/>
              </w:rPr>
              <w:t xml:space="preserve">276.8; 320.9; 436.7; </w:t>
            </w:r>
          </w:p>
          <w:p>
            <w:pPr>
              <w:pStyle w:val="Style24"/>
              <w:ind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tcPr>
          <w:p>
            <w:pPr>
              <w:pStyle w:val="Style24"/>
              <w:ind w:hanging="0"/>
              <w:jc w:val="center"/>
              <w:rPr>
                <w:lang w:val="en-US"/>
              </w:rPr>
            </w:pPr>
            <w:r>
              <w:rPr>
                <w:lang w:val="en-US"/>
              </w:rPr>
              <w:t xml:space="preserve">Polymer chain </w:t>
            </w:r>
            <w:r>
              <w:rPr>
                <w:color w:val="000000"/>
                <w:lang w:val="en-US"/>
              </w:rPr>
              <w:t xml:space="preserve">P6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P7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lang w:val="en-US"/>
              </w:rPr>
            </w:pPr>
            <w:r>
              <w:rPr>
                <w:color w:val="000000"/>
                <w:lang w:val="en-US"/>
              </w:rPr>
              <w:t>TfO</w:t>
            </w:r>
            <w:r>
              <w:rPr>
                <w:color w:val="000000"/>
                <w:vertAlign w:val="superscript"/>
                <w:lang w:val="en-US"/>
              </w:rPr>
              <w:t>-</w:t>
            </w:r>
          </w:p>
          <w:p>
            <w:pPr>
              <w:pStyle w:val="Style24"/>
              <w:ind w:hanging="0"/>
              <w:jc w:val="center"/>
              <w:rPr>
                <w:color w:val="000000"/>
                <w:lang w:val="en-US"/>
              </w:rPr>
            </w:pPr>
            <w:r>
              <w:rPr>
                <w:color w:val="000000"/>
                <w:lang w:val="en-US"/>
              </w:rPr>
            </w:r>
          </w:p>
        </w:tc>
      </w:tr>
    </w:tbl>
    <w:p>
      <w:pPr>
        <w:pStyle w:val="Normal"/>
        <w:jc w:val="center"/>
        <w:rPr>
          <w:color w:val="000000"/>
          <w:lang w:val="en-US"/>
        </w:rPr>
      </w:pPr>
      <w:r>
        <w:rPr>
          <w:color w:val="000000"/>
          <w:lang w:val="en-US"/>
        </w:rPr>
      </w:r>
    </w:p>
    <w:p>
      <w:pPr>
        <w:pStyle w:val="Normal"/>
        <w:rPr/>
      </w:pPr>
      <w:r>
        <w:rPr>
          <w:color w:val="000000"/>
          <w:lang w:val="en-US"/>
        </w:rPr>
        <w:t xml:space="preserve">Apparently, the appearance of the above-mentioned resinous compounds is associated with the polymerization processes as proven by the polymeric nature of products formed as a result of DS </w:t>
      </w:r>
      <w:r>
        <w:rPr>
          <w:b/>
          <w:color w:val="000000"/>
          <w:lang w:val="en-US"/>
        </w:rPr>
        <w:t>1a</w:t>
      </w:r>
      <w:r>
        <w:rPr>
          <w:color w:val="000000"/>
          <w:lang w:val="en-US"/>
        </w:rPr>
        <w:t xml:space="preserve"> decomposition. We can infer that </w:t>
      </w:r>
      <w:r>
        <w:rPr>
          <w:b/>
          <w:bCs/>
          <w:color w:val="000000"/>
          <w:highlight w:val="green"/>
          <w:lang w:val="en-US"/>
        </w:rPr>
        <w:t>i</w:t>
      </w:r>
      <w:r>
        <w:rPr>
          <w:color w:val="000000"/>
          <w:lang w:val="en-US"/>
        </w:rPr>
        <w:t xml:space="preserve"> 1-nitrocyclohexa-1,3-dien-5-yne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w:t>
      </w:r>
      <w:r>
        <w:rPr>
          <w:rFonts w:ascii="Symbol" w:hAnsi="Symbol"/>
          <w:color w:val="000000"/>
          <w:sz w:val="20"/>
          <w:szCs w:val="20"/>
          <w:lang w:val="en-US"/>
        </w:rPr>
        <w:t></w:t>
      </w:r>
      <w:r>
        <w:rPr>
          <w:color w:val="000000"/>
          <w:lang w:val="en-US"/>
        </w:rPr>
        <w:t xml:space="preserve">M/Z=121.0) is a monomer that is derived from DS according to the route presented </w:t>
      </w:r>
      <w:commentRangeStart w:id="25"/>
      <w:r>
        <w:rPr>
          <w:color w:val="000000"/>
          <w:highlight w:val="green"/>
          <w:lang w:val="en-US"/>
        </w:rPr>
        <w:t>reaction (a)</w:t>
      </w:r>
      <w:r>
        <w:rPr>
          <w:color w:val="000000"/>
          <w:highlight w:val="green"/>
          <w:lang w:val="en-US"/>
        </w:rPr>
      </w:r>
      <w:commentRangeEnd w:id="25"/>
      <w:r>
        <w:commentReference w:id="25"/>
      </w:r>
      <w:r>
        <w:rPr>
          <w:color w:val="000000"/>
          <w:highlight w:val="green"/>
          <w:lang w:val="en-US"/>
        </w:rPr>
        <w:t xml:space="preserve"> in Scheme 3</w:t>
      </w:r>
      <w:r>
        <w:rPr>
          <w:color w:val="000000"/>
          <w:lang w:val="en-US"/>
        </w:rPr>
        <w:t>.</w:t>
      </w:r>
    </w:p>
    <w:p>
      <w:pPr>
        <w:pStyle w:val="Normal"/>
        <w:jc w:val="center"/>
        <w:rPr>
          <w:color w:val="000000"/>
          <w:lang w:val="en-US"/>
        </w:rPr>
      </w:pPr>
      <w:r>
        <w:rPr>
          <w:color w:val="000000"/>
          <w:lang w:val="en-US"/>
        </w:rPr>
      </w:r>
    </w:p>
    <w:p>
      <w:pPr>
        <w:pStyle w:val="Normal"/>
        <w:jc w:val="center"/>
        <w:rPr>
          <w:color w:val="000000"/>
          <w:lang w:val="en-US"/>
        </w:rPr>
      </w:pPr>
      <w:commentRangeStart w:id="26"/>
      <w:r>
        <w:rPr>
          <w:color w:val="000000"/>
          <w:lang w:val="en-US"/>
        </w:rPr>
      </w:r>
    </w:p>
    <w:p>
      <w:pPr>
        <w:pStyle w:val="Normal"/>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014470" cy="1861820"/>
                    </a:xfrm>
                    <a:prstGeom prst="rect">
                      <a:avLst/>
                    </a:prstGeom>
                  </pic:spPr>
                </pic:pic>
              </a:graphicData>
            </a:graphic>
          </wp:inline>
        </w:drawing>
      </w:r>
      <w:commentRangeEnd w:id="26"/>
      <w:r>
        <w:commentReference w:id="26"/>
      </w:r>
      <w:r>
        <w:rPr/>
      </w:r>
    </w:p>
    <w:p>
      <w:pPr>
        <w:pStyle w:val="Normal"/>
        <w:jc w:val="center"/>
        <w:rPr>
          <w:color w:val="000000"/>
          <w:lang w:val="en-US"/>
        </w:rPr>
      </w:pPr>
      <w:r>
        <w:rPr>
          <w:color w:val="000000"/>
          <w:lang w:val="en-US"/>
        </w:rPr>
      </w:r>
    </w:p>
    <w:p>
      <w:pPr>
        <w:pStyle w:val="Normal"/>
        <w:jc w:val="center"/>
        <w:rPr>
          <w:color w:val="000000"/>
          <w:lang w:val="en-US"/>
        </w:rPr>
      </w:pPr>
      <w:commentRangeStart w:id="27"/>
      <w:r>
        <w:rPr>
          <w:color w:val="000000"/>
          <w:highlight w:val="yellow"/>
          <w:lang w:val="en-US"/>
        </w:rPr>
        <w:t>Scheme 3</w:t>
      </w:r>
      <w:r>
        <w:rPr>
          <w:color w:val="000000"/>
          <w:highlight w:val="yellow"/>
          <w:lang w:val="en-US"/>
        </w:rPr>
      </w:r>
      <w:commentRangeEnd w:id="27"/>
      <w:r>
        <w:commentReference w:id="27"/>
      </w:r>
      <w:r>
        <w:rPr>
          <w:color w:val="000000"/>
          <w:highlight w:val="yellow"/>
          <w:lang w:val="en-US"/>
        </w:rPr>
        <w:t>. Possible route of 1-nitrocyclohexa-1,3-dien-5-yne [C</w:t>
      </w:r>
      <w:r>
        <w:rPr>
          <w:color w:val="000000"/>
          <w:highlight w:val="yellow"/>
          <w:vertAlign w:val="subscript"/>
          <w:lang w:val="en-US"/>
        </w:rPr>
        <w:t>6</w:t>
      </w:r>
      <w:r>
        <w:rPr>
          <w:color w:val="000000"/>
          <w:highlight w:val="yellow"/>
          <w:lang w:val="en-US"/>
        </w:rPr>
        <w:t>H</w:t>
      </w:r>
      <w:r>
        <w:rPr>
          <w:color w:val="000000"/>
          <w:highlight w:val="yellow"/>
          <w:vertAlign w:val="subscript"/>
          <w:lang w:val="en-US"/>
        </w:rPr>
        <w:t>3</w:t>
      </w:r>
      <w:r>
        <w:rPr>
          <w:color w:val="000000"/>
          <w:highlight w:val="yellow"/>
          <w:lang w:val="en-US"/>
        </w:rPr>
        <w:t>NO</w:t>
      </w:r>
      <w:r>
        <w:rPr>
          <w:color w:val="000000"/>
          <w:highlight w:val="yellow"/>
          <w:vertAlign w:val="subscript"/>
          <w:lang w:val="en-US"/>
        </w:rPr>
        <w:t>2</w:t>
      </w:r>
      <w:r>
        <w:rPr>
          <w:color w:val="000000"/>
          <w:highlight w:val="yellow"/>
          <w:lang w:val="en-US"/>
        </w:rPr>
        <w:t>] (</w:t>
      </w:r>
      <w:r>
        <w:rPr>
          <w:rFonts w:ascii="Symbol" w:hAnsi="Symbol"/>
          <w:color w:val="000000"/>
          <w:sz w:val="20"/>
          <w:szCs w:val="20"/>
          <w:highlight w:val="yellow"/>
          <w:lang w:val="en-US"/>
        </w:rPr>
        <w:t></w:t>
      </w:r>
      <w:r>
        <w:rPr>
          <w:color w:val="000000"/>
          <w:highlight w:val="yellow"/>
          <w:lang w:val="en-US"/>
        </w:rPr>
        <w:t>M/Z=121.0) formation (a) and further polymerization (b)</w:t>
      </w:r>
    </w:p>
    <w:p>
      <w:pPr>
        <w:pStyle w:val="Normal"/>
        <w:jc w:val="center"/>
        <w:rPr>
          <w:color w:val="000000"/>
          <w:lang w:val="en-US"/>
        </w:rPr>
      </w:pPr>
      <w:r>
        <w:rPr>
          <w:color w:val="000000"/>
          <w:lang w:val="en-US"/>
        </w:rPr>
      </w:r>
    </w:p>
    <w:p>
      <w:pPr>
        <w:pStyle w:val="Normal"/>
        <w:rPr/>
      </w:pPr>
      <w:r>
        <w:rPr>
          <w:color w:val="000000"/>
          <w:lang w:val="en-US"/>
        </w:rPr>
        <w:t>The mechanism of further chain growth involving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as monomer is ambiguous and requires special investigation lying beyond the scope of this work. However, based on the available data, we can assume the structure of the polymer formed as a result of the DS </w:t>
      </w:r>
      <w:r>
        <w:rPr>
          <w:b/>
          <w:color w:val="000000"/>
          <w:lang w:val="en-US"/>
        </w:rPr>
        <w:t>1a</w:t>
      </w:r>
      <w:r>
        <w:rPr>
          <w:color w:val="000000"/>
          <w:lang w:val="en-US"/>
        </w:rPr>
        <w:t xml:space="preserve"> decomposition presented </w:t>
      </w:r>
      <w:commentRangeStart w:id="28"/>
      <w:r>
        <w:rPr>
          <w:color w:val="000000"/>
          <w:highlight w:val="green"/>
          <w:lang w:val="en-US"/>
        </w:rPr>
        <w:t>process (b)</w:t>
      </w:r>
      <w:r>
        <w:rPr>
          <w:color w:val="000000"/>
          <w:highlight w:val="green"/>
          <w:lang w:val="en-US"/>
        </w:rPr>
      </w:r>
      <w:commentRangeEnd w:id="28"/>
      <w:r>
        <w:commentReference w:id="28"/>
      </w:r>
      <w:r>
        <w:rPr>
          <w:color w:val="000000"/>
          <w:lang w:val="en-US"/>
        </w:rPr>
        <w:t xml:space="preserve"> in Scheme 3.</w:t>
      </w:r>
    </w:p>
    <w:p>
      <w:pPr>
        <w:pStyle w:val="Normal"/>
        <w:rPr>
          <w:color w:val="000000"/>
          <w:lang w:val="en-US"/>
        </w:rPr>
      </w:pPr>
      <w:r>
        <w:rPr>
          <w:color w:val="000000"/>
          <w:lang w:val="en-US"/>
        </w:rPr>
        <w:t xml:space="preserve">Importantly, the unique route found for DS </w:t>
      </w:r>
      <w:r>
        <w:rPr>
          <w:b/>
          <w:color w:val="000000"/>
          <w:lang w:val="en-US"/>
        </w:rPr>
        <w:t>1a</w:t>
      </w:r>
      <w:r>
        <w:rPr>
          <w:color w:val="000000"/>
          <w:lang w:val="en-US"/>
        </w:rPr>
        <w:t xml:space="preserve"> decomposition including the formation of neutral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lang w:val="en-US"/>
        </w:rPr>
        <w:t>2</w:t>
      </w:r>
      <w:r>
        <w:rPr>
          <w:color w:val="000000"/>
          <w:lang w:val="en-US"/>
        </w:rPr>
        <w:t xml:space="preserve"> is next to carbocationic center.</w:t>
      </w:r>
    </w:p>
    <w:p>
      <w:pPr>
        <w:pStyle w:val="Normal"/>
        <w:tabs>
          <w:tab w:val="left" w:pos="0" w:leader="none"/>
        </w:tabs>
        <w:ind w:hanging="0"/>
        <w:jc w:val="left"/>
        <w:rPr>
          <w:lang w:val="en-US"/>
        </w:rPr>
      </w:pPr>
      <w:r>
        <w:rPr>
          <w:lang w:val="en-US"/>
        </w:rPr>
      </w:r>
    </w:p>
    <w:p>
      <w:pPr>
        <w:pStyle w:val="2"/>
        <w:numPr>
          <w:ilvl w:val="1"/>
          <w:numId w:val="2"/>
        </w:numPr>
        <w:ind w:left="0" w:firstLine="397"/>
        <w:rPr>
          <w:lang w:val="en-US"/>
        </w:rPr>
      </w:pPr>
      <w:r>
        <w:rPr>
          <w:lang w:val="en-US"/>
        </w:rPr>
        <w:t>Quantum chemical calculations</w:t>
      </w:r>
    </w:p>
    <w:p>
      <w:pPr>
        <w:pStyle w:val="Normal"/>
        <w:rPr/>
      </w:pPr>
      <w:r>
        <w:rPr/>
      </w:r>
    </w:p>
    <w:p>
      <w:pPr>
        <w:pStyle w:val="Normal"/>
        <w:rPr/>
      </w:pPr>
      <w:r>
        <w:rPr>
          <w:lang w:val="en-US"/>
        </w:rPr>
        <w:t xml:space="preserve">Given the identified products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thermal decomposition, we for the first time predicted the thermodynamics of the occurring processes using DFT calculations at RB3LYP/aug-cc-pVDZ level of theory. We have optimized geometry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and diazonium group substitution products. The nature of located stationary points was confirmed by the absence of imaginary frequencies in IR spectrum. Cartesian coordinates of all compounds, and calculated thermodynamic parameters are given in </w:t>
      </w:r>
      <w:r>
        <w:rPr>
          <w:highlight w:val="yellow"/>
          <w:lang w:val="en-US"/>
        </w:rPr>
        <w:t>Supporting 4s</w:t>
      </w:r>
      <w:r>
        <w:rPr>
          <w:lang w:val="en-US"/>
        </w:rPr>
        <w:t xml:space="preserve">. We have explored esters and substituted phenols as the major products of triflates </w:t>
      </w:r>
      <w:r>
        <w:rPr>
          <w:b/>
          <w:lang w:val="en-US"/>
        </w:rPr>
        <w:t>1a-c</w:t>
      </w:r>
      <w:r>
        <w:rPr>
          <w:lang w:val="en-US"/>
        </w:rPr>
        <w:t xml:space="preserve"> and tosylate </w:t>
      </w:r>
      <w:r>
        <w:rPr>
          <w:b/>
          <w:lang w:val="en-US"/>
        </w:rPr>
        <w:t>2</w:t>
      </w:r>
      <w:r>
        <w:rPr>
          <w:lang w:val="en-US"/>
        </w:rPr>
        <w:t xml:space="preserve"> decomposition and 4-fluoronitrobenzene as the major product of tetrafluoroborate </w:t>
      </w:r>
      <w:r>
        <w:rPr>
          <w:b/>
          <w:lang w:val="en-US"/>
        </w:rPr>
        <w:t>3</w:t>
      </w:r>
      <w:r>
        <w:rPr>
          <w:lang w:val="en-US"/>
        </w:rPr>
        <w:t xml:space="preserve"> decomposition. The predicted and experimental thermodynamic parameters of the reactions are presented in Tables 7 and 8. Considering DSC/TGA results that showed that thermolysis of tetrafluoroborate </w:t>
      </w:r>
      <w:r>
        <w:rPr>
          <w:b/>
          <w:lang w:val="en-US"/>
        </w:rPr>
        <w:t>3</w:t>
      </w:r>
      <w:r>
        <w:rPr>
          <w:lang w:val="en-US"/>
        </w:rPr>
        <w:t xml:space="preserve"> initially causes BF</w:t>
      </w:r>
      <w:r>
        <w:rPr>
          <w:vertAlign w:val="subscript"/>
          <w:lang w:val="en-US"/>
        </w:rPr>
        <w:t>3</w:t>
      </w:r>
      <w:r>
        <w:rPr>
          <w:lang w:val="en-US"/>
        </w:rPr>
        <w:t xml:space="preserve"> cleavage with the formation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F</w:t>
      </w:r>
      <w:r>
        <w:rPr>
          <w:vertAlign w:val="superscript"/>
          <w:lang w:val="en-US"/>
        </w:rPr>
        <w:t xml:space="preserve">- </w:t>
      </w:r>
      <w:r>
        <w:rPr>
          <w:b/>
          <w:lang w:val="en-US"/>
        </w:rPr>
        <w:t>3a</w:t>
      </w:r>
      <w:r>
        <w:rPr>
          <w:lang w:val="en-US"/>
        </w:rPr>
        <w:t xml:space="preserve"> (</w:t>
      </w:r>
      <w:commentRangeStart w:id="29"/>
      <w:r>
        <w:rPr>
          <w:highlight w:val="green"/>
          <w:lang w:val="en-US"/>
        </w:rPr>
        <w:t>reaction</w:t>
      </w:r>
      <w:r>
        <w:rPr>
          <w:highlight w:val="green"/>
          <w:lang w:val="en-US"/>
        </w:rPr>
      </w:r>
      <w:commentRangeEnd w:id="29"/>
      <w:r>
        <w:commentReference w:id="29"/>
      </w:r>
      <w:r>
        <w:rPr>
          <w:highlight w:val="yellow"/>
          <w:lang w:val="en-US"/>
        </w:rPr>
        <w:t xml:space="preserve"> 1</w:t>
      </w:r>
      <w:r>
        <w:rPr>
          <w:lang w:val="en-US"/>
        </w:rPr>
        <w:t>), we calculated the thermodynamics of this reaction along with other possible routes (Table 6, entries 6a, b).</w:t>
      </w:r>
    </w:p>
    <w:p>
      <w:pPr>
        <w:pStyle w:val="Normal"/>
        <w:rPr>
          <w:lang w:val="en-US"/>
        </w:rPr>
      </w:pPr>
      <w:r>
        <w:rPr>
          <w:lang w:val="en-US"/>
        </w:rPr>
      </w:r>
    </w:p>
    <w:p>
      <w:pPr>
        <w:pStyle w:val="Normal"/>
        <w:rPr>
          <w:lang w:val="en-US"/>
        </w:rPr>
      </w:pPr>
      <w:r>
        <w:rPr>
          <w:lang w:val="en-US"/>
        </w:rPr>
        <w:t xml:space="preserve">Table 7. Predicted thermodynamic parameters of DS </w:t>
      </w:r>
      <w:r>
        <w:rPr>
          <w:b/>
          <w:lang w:val="en-US"/>
        </w:rPr>
        <w:t>1a</w:t>
        <w:noBreakHyphen/>
        <w:t>c</w:t>
      </w:r>
      <w:r>
        <w:rPr>
          <w:lang w:val="en-US"/>
        </w:rPr>
        <w:t xml:space="preserve">, </w:t>
      </w:r>
      <w:r>
        <w:rPr>
          <w:b/>
          <w:lang w:val="en-US"/>
        </w:rPr>
        <w:t>2</w:t>
      </w:r>
      <w:r>
        <w:rPr>
          <w:lang w:val="en-US"/>
        </w:rPr>
        <w:t xml:space="preserve">, </w:t>
      </w:r>
      <w:r>
        <w:rPr>
          <w:b/>
          <w:lang w:val="en-US"/>
        </w:rPr>
        <w:t>3</w:t>
      </w:r>
      <w:r>
        <w:rPr>
          <w:lang w:val="en-US"/>
        </w:rPr>
        <w:t xml:space="preserve"> decomposition reactions according to quantum chemical calculations at RB3LYP/aug-cc-pVDZ level of theory.</w:t>
      </w:r>
    </w:p>
    <w:p>
      <w:pPr>
        <w:pStyle w:val="Normal"/>
        <w:ind w:hanging="0"/>
        <w:rPr>
          <w:lang w:val="en-US"/>
        </w:rPr>
      </w:pPr>
      <w:r>
        <w:rPr>
          <w:lang w:val="en-US"/>
        </w:rPr>
      </w:r>
    </w:p>
    <w:tbl>
      <w:tblPr>
        <w:tblW w:w="9357"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noVBand="0" w:noHBand="0" w:lastColumn="0" w:firstColumn="0" w:lastRow="0" w:firstRow="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b/>
                <w:b/>
                <w:bCs/>
                <w:sz w:val="22"/>
                <w:szCs w:val="22"/>
                <w:lang w:val="en-US"/>
              </w:rPr>
            </w:pPr>
            <w:r>
              <w:rPr>
                <w:b/>
                <w:bCs/>
                <w:sz w:val="22"/>
                <w:szCs w:val="22"/>
                <w:lang w:val="en-US"/>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rFonts w:cs="Standard Symbols L" w:ascii="Symbol" w:hAnsi="Symbol"/>
                <w:b/>
                <w:bCs/>
                <w:sz w:val="20"/>
                <w:szCs w:val="20"/>
                <w:lang w:val="en-US"/>
              </w:rPr>
              <w:t></w:t>
            </w:r>
            <w:r>
              <w:rPr>
                <w:b/>
                <w:bCs/>
                <w:sz w:val="22"/>
                <w:szCs w:val="22"/>
                <w:lang w:val="en-US"/>
              </w:rPr>
              <w:t>G</w:t>
            </w:r>
            <w:r>
              <w:rPr>
                <w:b/>
                <w:bCs/>
                <w:sz w:val="22"/>
                <w:szCs w:val="22"/>
                <w:vertAlign w:val="subscript"/>
                <w:lang w:val="en-US"/>
              </w:rPr>
              <w:t>298</w:t>
            </w:r>
            <w:r>
              <w:rPr>
                <w:b/>
                <w:bCs/>
                <w:sz w:val="22"/>
                <w:szCs w:val="22"/>
                <w:lang w:val="en-US"/>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lang w:val="en-US"/>
              </w:rPr>
            </w:pPr>
            <w:r>
              <w:rPr>
                <w:rFonts w:cs="Standard Symbols L" w:ascii="Symbol" w:hAnsi="Symbol"/>
                <w:b/>
                <w:bCs/>
                <w:sz w:val="22"/>
                <w:szCs w:val="22"/>
                <w:lang w:val="en-US"/>
              </w:rPr>
              <w:t></w:t>
            </w:r>
            <w:r>
              <w:rPr>
                <w:b/>
                <w:bCs/>
                <w:sz w:val="22"/>
                <w:szCs w:val="22"/>
                <w:lang w:val="en-US"/>
              </w:rPr>
              <w:t>H</w:t>
            </w:r>
            <w:r>
              <w:rPr>
                <w:b/>
                <w:bCs/>
                <w:sz w:val="22"/>
                <w:szCs w:val="22"/>
                <w:vertAlign w:val="subscript"/>
                <w:lang w:val="en-US"/>
              </w:rPr>
              <w:t>298</w:t>
            </w:r>
            <w:r>
              <w:rPr>
                <w:b/>
                <w:bCs/>
                <w:sz w:val="22"/>
                <w:szCs w:val="22"/>
                <w:lang w:val="en-US"/>
              </w:rPr>
              <w:t xml:space="preserve">,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lang w:val="en-US"/>
              </w:rPr>
            </w:pPr>
            <w:r>
              <w:rPr>
                <w:rFonts w:cs="Standard Symbols L" w:ascii="Symbol" w:hAnsi="Symbol"/>
                <w:b/>
                <w:bCs/>
                <w:sz w:val="22"/>
                <w:szCs w:val="22"/>
                <w:lang w:val="en-US"/>
              </w:rPr>
              <w:t></w:t>
            </w:r>
            <w:r>
              <w:rPr>
                <w:b/>
                <w:bCs/>
                <w:sz w:val="22"/>
                <w:szCs w:val="22"/>
                <w:lang w:val="en-US"/>
              </w:rPr>
              <w:t xml:space="preserve">S*298.15,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sz w:val="22"/>
                <w:szCs w:val="22"/>
                <w:lang w:val="en-US"/>
              </w:rPr>
            </w:pPr>
            <w:r>
              <w:rPr>
                <w:sz w:val="22"/>
                <w:szCs w:val="22"/>
                <w:lang w:val="en-US"/>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sz w:val="22"/>
                <w:szCs w:val="22"/>
                <w:lang w:val="en-US"/>
              </w:rPr>
            </w:pPr>
            <w:r>
              <w:rPr>
                <w:sz w:val="22"/>
                <w:szCs w:val="22"/>
                <w:lang w:val="en-US"/>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sz w:val="22"/>
                <w:szCs w:val="22"/>
                <w:lang w:val="en-US"/>
              </w:rPr>
            </w:pPr>
            <w:r>
              <w:rPr>
                <w:sz w:val="22"/>
                <w:szCs w:val="22"/>
                <w:lang w:val="en-US"/>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sz w:val="22"/>
                <w:szCs w:val="22"/>
                <w:lang w:val="en-US"/>
              </w:rPr>
            </w:pPr>
            <w:r>
              <w:rPr>
                <w:sz w:val="22"/>
                <w:szCs w:val="22"/>
                <w:lang w:val="en-US"/>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sz w:val="22"/>
                <w:szCs w:val="22"/>
                <w:lang w:val="en-US"/>
              </w:rPr>
            </w:pPr>
            <w:r>
              <w:rPr>
                <w:sz w:val="22"/>
                <w:szCs w:val="22"/>
                <w:lang w:val="en-US"/>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sz w:val="22"/>
                <w:szCs w:val="22"/>
                <w:lang w:val="en-US"/>
              </w:rPr>
            </w:pPr>
            <w:r>
              <w:rPr>
                <w:sz w:val="22"/>
                <w:szCs w:val="22"/>
                <w:lang w:val="en-US"/>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s-ES"/>
              </w:rPr>
            </w:pPr>
            <w:r>
              <w:rPr>
                <w:sz w:val="22"/>
                <w:szCs w:val="22"/>
                <w:lang w:val="es-ES"/>
              </w:rPr>
              <w:t>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N</w:t>
            </w:r>
            <w:r>
              <w:rPr>
                <w:sz w:val="22"/>
                <w:szCs w:val="22"/>
                <w:vertAlign w:val="subscript"/>
                <w:lang w:val="es-ES"/>
              </w:rPr>
              <w:t>2</w:t>
            </w:r>
            <w:r>
              <w:rPr>
                <w:sz w:val="22"/>
                <w:szCs w:val="22"/>
                <w:vertAlign w:val="superscript"/>
                <w:lang w:val="es-ES"/>
              </w:rPr>
              <w:t>+</w:t>
            </w:r>
            <w:r>
              <w:rPr>
                <w:sz w:val="22"/>
                <w:szCs w:val="22"/>
                <w:lang w:val="es-ES"/>
              </w:rPr>
              <w:t xml:space="preserve"> </w:t>
            </w:r>
            <w:r>
              <w:rPr>
                <w:sz w:val="22"/>
                <w:szCs w:val="22"/>
                <w:vertAlign w:val="superscript"/>
                <w:lang w:val="es-ES"/>
              </w:rPr>
              <w:t>-</w:t>
            </w:r>
            <w:r>
              <w:rPr>
                <w:sz w:val="22"/>
                <w:szCs w:val="22"/>
                <w:lang w:val="es-ES"/>
              </w:rPr>
              <w:t>BF</w:t>
            </w:r>
            <w:r>
              <w:rPr>
                <w:sz w:val="22"/>
                <w:szCs w:val="22"/>
                <w:vertAlign w:val="subscript"/>
                <w:lang w:val="es-ES"/>
              </w:rPr>
              <w:t>4</w:t>
            </w:r>
            <w:r>
              <w:rPr>
                <w:sz w:val="22"/>
                <w:szCs w:val="22"/>
                <w:lang w:val="es-ES"/>
              </w:rPr>
              <w:t xml:space="preserve"> </w:t>
            </w:r>
            <w:r>
              <w:rPr>
                <w:rFonts w:cs="Times New Roman" w:ascii="Times New Roman" w:hAnsi="Times New Roman"/>
                <w:sz w:val="22"/>
                <w:szCs w:val="22"/>
                <w:lang w:val="es-ES"/>
              </w:rPr>
              <w:t>→</w:t>
            </w:r>
            <w:r>
              <w:rPr>
                <w:sz w:val="22"/>
                <w:szCs w:val="22"/>
                <w:lang w:val="es-ES"/>
              </w:rPr>
              <w:t xml:space="preserve"> 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F + BF</w:t>
            </w:r>
            <w:r>
              <w:rPr>
                <w:sz w:val="22"/>
                <w:szCs w:val="22"/>
                <w:vertAlign w:val="subscript"/>
                <w:lang w:val="es-ES"/>
              </w:rPr>
              <w:t>3</w:t>
            </w:r>
            <w:r>
              <w:rPr>
                <w:sz w:val="22"/>
                <w:szCs w:val="22"/>
                <w:lang w:val="es-ES"/>
              </w:rPr>
              <w:t xml:space="preserve"> + N</w:t>
            </w:r>
            <w:r>
              <w:rPr>
                <w:sz w:val="22"/>
                <w:szCs w:val="22"/>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sz w:val="22"/>
                <w:szCs w:val="22"/>
                <w:lang w:val="en-US"/>
              </w:rPr>
            </w:pPr>
            <w:r>
              <w:rPr>
                <w:sz w:val="22"/>
                <w:szCs w:val="22"/>
                <w:lang w:val="en-US"/>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sz w:val="22"/>
                <w:szCs w:val="22"/>
                <w:lang w:val="en-US"/>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color w:val="000000"/>
                <w:sz w:val="22"/>
                <w:szCs w:val="22"/>
                <w:lang w:val="en-US"/>
              </w:rPr>
            </w:pPr>
            <w:r>
              <w:rPr>
                <w:color w:val="000000"/>
                <w:sz w:val="22"/>
                <w:szCs w:val="22"/>
                <w:lang w:val="en-US"/>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color w:val="000000"/>
                <w:sz w:val="22"/>
                <w:szCs w:val="22"/>
                <w:lang w:val="en-US"/>
              </w:rPr>
            </w:pPr>
            <w:r>
              <w:rPr>
                <w:color w:val="000000"/>
                <w:sz w:val="22"/>
                <w:szCs w:val="22"/>
                <w:lang w:val="en-US"/>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color w:val="000000"/>
                <w:sz w:val="22"/>
                <w:szCs w:val="22"/>
                <w:lang w:val="en-US"/>
              </w:rPr>
            </w:pPr>
            <w:r>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color w:val="000000"/>
                <w:sz w:val="22"/>
                <w:szCs w:val="22"/>
                <w:lang w:val="en-US"/>
              </w:rPr>
            </w:pPr>
            <w:r>
              <w:rPr>
                <w:color w:val="000000"/>
                <w:sz w:val="22"/>
                <w:szCs w:val="22"/>
                <w:lang w:val="en-US"/>
              </w:rPr>
              <w:t>39.4</w:t>
            </w:r>
          </w:p>
        </w:tc>
      </w:tr>
    </w:tbl>
    <w:p>
      <w:pPr>
        <w:pStyle w:val="Normal"/>
        <w:jc w:val="right"/>
        <w:rPr>
          <w:lang w:val="en-US"/>
        </w:rPr>
      </w:pPr>
      <w:r>
        <w:rPr>
          <w:lang w:val="en-US"/>
        </w:rPr>
      </w:r>
    </w:p>
    <w:p>
      <w:pPr>
        <w:pStyle w:val="Normal"/>
        <w:rPr>
          <w:lang w:val="en-US"/>
        </w:rPr>
      </w:pPr>
      <w:r>
        <w:rPr>
          <w:lang w:val="en-US"/>
        </w:rPr>
        <w:t>Table 8. Experimental and predicted enthalpies of decomposition of diazonium salts (RB3LYP/aug-cc-pVDZ).</w:t>
      </w:r>
    </w:p>
    <w:tbl>
      <w:tblPr>
        <w:tblW w:w="9775" w:type="dxa"/>
        <w:jc w:val="left"/>
        <w:tblInd w:w="39"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noVBand="0" w:noHBand="0" w:lastColumn="0" w:firstColumn="0" w:lastRow="0" w:firstRow="0"/>
      </w:tblPr>
      <w:tblGrid>
        <w:gridCol w:w="4387"/>
        <w:gridCol w:w="1680"/>
        <w:gridCol w:w="784"/>
        <w:gridCol w:w="838"/>
        <w:gridCol w:w="840"/>
        <w:gridCol w:w="3"/>
        <w:gridCol w:w="1242"/>
      </w:tblGrid>
      <w:tr>
        <w:trPr/>
        <w:tc>
          <w:tcPr>
            <w:tcW w:w="438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b/>
                <w:b/>
                <w:sz w:val="22"/>
                <w:szCs w:val="22"/>
                <w:lang w:val="en-US"/>
              </w:rPr>
            </w:pPr>
            <w:r>
              <w:rPr>
                <w:b/>
                <w:sz w:val="22"/>
                <w:szCs w:val="22"/>
                <w:lang w:val="en-US"/>
              </w:rPr>
              <w:t>Reaction</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b/>
                <w:b/>
                <w:sz w:val="22"/>
                <w:szCs w:val="22"/>
                <w:lang w:val="en-US"/>
              </w:rPr>
            </w:pPr>
            <w:r>
              <w:rPr>
                <w:b/>
                <w:sz w:val="22"/>
                <w:szCs w:val="22"/>
                <w:lang w:val="en-US"/>
              </w:rPr>
              <w:t>Predicted enthalpy</w:t>
            </w:r>
          </w:p>
        </w:tc>
        <w:tc>
          <w:tcPr>
            <w:tcW w:w="2465" w:type="dxa"/>
            <w:gridSpan w:val="4"/>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b/>
                <w:b/>
                <w:sz w:val="22"/>
                <w:szCs w:val="22"/>
                <w:lang w:val="en-US"/>
              </w:rPr>
            </w:pPr>
            <w:r>
              <w:rPr>
                <w:b/>
                <w:sz w:val="22"/>
                <w:szCs w:val="22"/>
                <w:lang w:val="en-US"/>
              </w:rPr>
              <w:t>Experimental enthalpy (flow calorimetry)</w:t>
            </w:r>
          </w:p>
        </w:tc>
        <w:tc>
          <w:tcPr>
            <w:tcW w:w="12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b/>
                <w:b/>
                <w:sz w:val="22"/>
                <w:szCs w:val="22"/>
                <w:lang w:val="en-US"/>
              </w:rPr>
            </w:pPr>
            <w:r>
              <w:rPr>
                <w:b/>
                <w:lang w:val="en-US"/>
              </w:rPr>
              <w:t>DSC</w:t>
            </w:r>
            <w:r>
              <w:rPr>
                <w:b/>
              </w:rPr>
              <w:t>/</w:t>
            </w:r>
            <w:r>
              <w:rPr>
                <w:b/>
                <w:lang w:val="en-US"/>
              </w:rPr>
              <w:t>TGA</w:t>
            </w:r>
          </w:p>
        </w:tc>
      </w:tr>
      <w:tr>
        <w:trPr/>
        <w:tc>
          <w:tcPr>
            <w:tcW w:w="438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rPr>
                <w:b/>
                <w:b/>
                <w:lang w:val="en-US"/>
              </w:rPr>
            </w:pPr>
            <w:r>
              <w:rPr>
                <w:b/>
                <w:lang w:val="en-US"/>
              </w:rPr>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298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w:t>
            </w: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 kJ/mol</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348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-230 (-230.4)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-414</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-386</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-396</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rFonts w:ascii="Free Times" w:hAnsi="Free Times"/>
                <w:sz w:val="22"/>
                <w:szCs w:val="22"/>
                <w:lang w:val="en-US"/>
              </w:rPr>
            </w:pPr>
            <w:r>
              <w:rPr>
                <w:rFonts w:ascii="Free Times" w:hAnsi="Free Times"/>
                <w:sz w:val="22"/>
                <w:szCs w:val="22"/>
                <w:lang w:val="en-US"/>
              </w:rPr>
              <w:t>-203.4</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-243 (-243.2)</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-228</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-230</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-225</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rFonts w:ascii="Free Times" w:hAnsi="Free Times"/>
                <w:sz w:val="22"/>
                <w:szCs w:val="22"/>
                <w:lang w:val="en-US"/>
              </w:rPr>
            </w:pPr>
            <w:r>
              <w:rPr>
                <w:rFonts w:ascii="Free Times" w:hAnsi="Free Times"/>
                <w:sz w:val="22"/>
                <w:szCs w:val="22"/>
                <w:lang w:val="en-US"/>
              </w:rPr>
              <w:t>-238.5</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-248 (-248.4)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-200</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-235</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-250</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rFonts w:ascii="Free Times" w:hAnsi="Free Times"/>
                <w:sz w:val="22"/>
                <w:szCs w:val="22"/>
                <w:lang w:val="en-US"/>
              </w:rPr>
            </w:pPr>
            <w:r>
              <w:rPr>
                <w:rFonts w:ascii="Free Times" w:hAnsi="Free Times"/>
                <w:sz w:val="22"/>
                <w:szCs w:val="22"/>
                <w:lang w:val="en-US"/>
              </w:rPr>
              <w:t>-65.8</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-201 (-200.8)</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-106</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rFonts w:ascii="Free Times" w:hAnsi="Free Times"/>
                <w:sz w:val="22"/>
                <w:szCs w:val="22"/>
                <w:lang w:val="en-US"/>
              </w:rPr>
            </w:pPr>
            <w:r>
              <w:rPr>
                <w:rFonts w:ascii="Free Times" w:hAnsi="Free Times"/>
                <w:sz w:val="22"/>
                <w:szCs w:val="22"/>
                <w:lang w:val="en-US"/>
              </w:rPr>
              <w:t>-64.5</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-284 (-284.0)</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-253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-232</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-231</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rFonts w:ascii="Free Times" w:hAnsi="Free Times"/>
                <w:sz w:val="22"/>
                <w:szCs w:val="22"/>
                <w:lang w:val="en-US"/>
              </w:rPr>
            </w:pPr>
            <w:r>
              <w:rPr>
                <w:rFonts w:ascii="Free Times" w:hAnsi="Free Times"/>
                <w:sz w:val="22"/>
                <w:szCs w:val="22"/>
                <w:lang w:val="en-US"/>
              </w:rPr>
              <w:t>-117.3</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Style24"/>
              <w:ind w:hanging="0"/>
              <w:jc w:val="left"/>
              <w:rPr>
                <w:lang w:val="es-ES"/>
              </w:rPr>
            </w:pPr>
            <w:r>
              <w:rPr>
                <w:rFonts w:ascii="Free Times" w:hAnsi="Free Times"/>
                <w:sz w:val="22"/>
                <w:szCs w:val="22"/>
                <w:lang w:val="es-ES"/>
              </w:rPr>
              <w:t>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N</w:t>
            </w:r>
            <w:r>
              <w:rPr>
                <w:rFonts w:ascii="Free Times" w:hAnsi="Free Times"/>
                <w:sz w:val="22"/>
                <w:szCs w:val="22"/>
                <w:vertAlign w:val="subscript"/>
                <w:lang w:val="es-ES"/>
              </w:rPr>
              <w:t>2</w:t>
            </w:r>
            <w:r>
              <w:rPr>
                <w:rFonts w:ascii="Free Times" w:hAnsi="Free Times"/>
                <w:sz w:val="22"/>
                <w:szCs w:val="22"/>
                <w:vertAlign w:val="superscript"/>
                <w:lang w:val="es-ES"/>
              </w:rPr>
              <w:t>+</w:t>
            </w:r>
            <w:r>
              <w:rPr>
                <w:rFonts w:ascii="Free Times" w:hAnsi="Free Times"/>
                <w:sz w:val="22"/>
                <w:szCs w:val="22"/>
                <w:lang w:val="es-ES"/>
              </w:rPr>
              <w:t xml:space="preserve"> </w:t>
            </w:r>
            <w:r>
              <w:rPr>
                <w:rFonts w:ascii="Free Times" w:hAnsi="Free Times"/>
                <w:sz w:val="22"/>
                <w:szCs w:val="22"/>
                <w:vertAlign w:val="superscript"/>
                <w:lang w:val="es-ES"/>
              </w:rPr>
              <w:t>-</w:t>
            </w:r>
            <w:r>
              <w:rPr>
                <w:rFonts w:ascii="Free Times" w:hAnsi="Free Times"/>
                <w:sz w:val="22"/>
                <w:szCs w:val="22"/>
                <w:lang w:val="es-ES"/>
              </w:rPr>
              <w:t>BF</w:t>
            </w:r>
            <w:r>
              <w:rPr>
                <w:rFonts w:ascii="Free Times" w:hAnsi="Free Times"/>
                <w:sz w:val="22"/>
                <w:szCs w:val="22"/>
                <w:vertAlign w:val="subscript"/>
                <w:lang w:val="es-ES"/>
              </w:rPr>
              <w:t>4</w:t>
            </w:r>
            <w:r>
              <w:rPr>
                <w:rFonts w:ascii="Free Times" w:hAnsi="Free Times"/>
                <w:sz w:val="22"/>
                <w:szCs w:val="22"/>
                <w:lang w:val="es-ES"/>
              </w:rPr>
              <w:t xml:space="preserve"> </w:t>
            </w:r>
            <w:r>
              <w:rPr>
                <w:rFonts w:cs="Times New Roman" w:ascii="Free Times" w:hAnsi="Free Times"/>
                <w:sz w:val="22"/>
                <w:szCs w:val="22"/>
                <w:lang w:val="es-ES"/>
              </w:rPr>
              <w:t>→</w:t>
            </w:r>
            <w:r>
              <w:rPr>
                <w:rFonts w:ascii="Free Times" w:hAnsi="Free Times"/>
                <w:sz w:val="22"/>
                <w:szCs w:val="22"/>
                <w:lang w:val="es-ES"/>
              </w:rPr>
              <w:t xml:space="preserve"> 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F + BF</w:t>
            </w:r>
            <w:r>
              <w:rPr>
                <w:rFonts w:ascii="Free Times" w:hAnsi="Free Times"/>
                <w:sz w:val="22"/>
                <w:szCs w:val="22"/>
                <w:vertAlign w:val="subscript"/>
                <w:lang w:val="es-ES"/>
              </w:rPr>
              <w:t>3</w:t>
            </w:r>
            <w:r>
              <w:rPr>
                <w:rFonts w:ascii="Free Times" w:hAnsi="Free Times"/>
                <w:sz w:val="22"/>
                <w:szCs w:val="22"/>
                <w:lang w:val="es-ES"/>
              </w:rPr>
              <w:t xml:space="preserve"> + N</w:t>
            </w:r>
            <w:r>
              <w:rPr>
                <w:rFonts w:ascii="Free Times" w:hAnsi="Free Times"/>
                <w:sz w:val="22"/>
                <w:szCs w:val="22"/>
                <w:vertAlign w:val="subscript"/>
                <w:lang w:val="es-E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-188 (-189.5)</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-173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-156</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29" w:type="dxa"/>
            </w:tcMar>
          </w:tcPr>
          <w:p>
            <w:pPr>
              <w:pStyle w:val="Normal"/>
              <w:ind w:hanging="0"/>
              <w:jc w:val="center"/>
              <w:rPr>
                <w:rFonts w:ascii="Free Times" w:hAnsi="Free Times"/>
                <w:sz w:val="22"/>
                <w:szCs w:val="22"/>
                <w:lang w:val="en-US"/>
              </w:rPr>
            </w:pPr>
            <w:r>
              <w:rPr>
                <w:rFonts w:ascii="Free Times" w:hAnsi="Free Times"/>
                <w:sz w:val="22"/>
                <w:szCs w:val="22"/>
                <w:lang w:val="en-US"/>
              </w:rPr>
              <w:t>-147</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9" w:type="dxa"/>
            </w:tcMar>
          </w:tcPr>
          <w:p>
            <w:pPr>
              <w:pStyle w:val="Style24"/>
              <w:ind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lang w:val="en-US"/>
        </w:rPr>
      </w:pPr>
      <w:r>
        <w:rPr>
          <w:color w:val="000000"/>
          <w:highlight w:val="red"/>
          <w:lang w:val="en-US"/>
        </w:rPr>
      </w:r>
    </w:p>
    <w:p>
      <w:pPr>
        <w:pStyle w:val="Normal"/>
        <w:rPr/>
      </w:pPr>
      <w:r>
        <w:rPr>
          <w:lang w:val="en-US"/>
        </w:rPr>
        <w:t>Overall, for all reactions of DS</w:t>
      </w:r>
      <w:r>
        <w:rPr>
          <w:b/>
          <w:lang w:val="en-US"/>
        </w:rPr>
        <w:t xml:space="preserve"> 1b-d</w:t>
      </w:r>
      <w:r>
        <w:rPr>
          <w:lang w:val="en-US"/>
        </w:rPr>
        <w:t xml:space="preserve">, </w:t>
      </w:r>
      <w:r>
        <w:rPr>
          <w:b/>
          <w:lang w:val="en-US"/>
        </w:rPr>
        <w:t>2</w:t>
      </w:r>
      <w:r>
        <w:rPr>
          <w:lang w:val="en-US"/>
        </w:rPr>
        <w:t xml:space="preserve"> and </w:t>
      </w:r>
      <w:r>
        <w:rPr>
          <w:b/>
          <w:lang w:val="en-US"/>
        </w:rPr>
        <w:t>3</w:t>
      </w:r>
      <w:r>
        <w:rPr>
          <w:lang w:val="en-US"/>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lang w:val="en-US"/>
        </w:rPr>
        <w:t xml:space="preserve">1a </w:t>
      </w:r>
      <w:r>
        <w:rPr>
          <w:lang w:val="en-US"/>
        </w:rPr>
        <w:t xml:space="preserve">(Table 7). However, this is consistent with GC-MS and LC-MS data demonstrating that decomposition of DS </w:t>
      </w:r>
      <w:r>
        <w:rPr>
          <w:b/>
          <w:lang w:val="en-US"/>
        </w:rPr>
        <w:t>1a</w:t>
      </w:r>
      <w:r>
        <w:rPr>
          <w:lang w:val="en-US"/>
        </w:rPr>
        <w:t xml:space="preserve"> proceeds via different route </w:t>
      </w:r>
      <w:commentRangeStart w:id="30"/>
      <w:r>
        <w:rPr>
          <w:highlight w:val="green"/>
          <w:lang w:val="en-US"/>
        </w:rPr>
        <w:t>(Scheme 3)</w:t>
      </w:r>
      <w:r>
        <w:rPr>
          <w:highlight w:val="green"/>
          <w:lang w:val="en-US"/>
        </w:rPr>
      </w:r>
      <w:commentRangeEnd w:id="30"/>
      <w:r>
        <w:commentReference w:id="30"/>
      </w:r>
      <w:r>
        <w:rPr>
          <w:lang w:val="en-US"/>
        </w:rPr>
        <w:t xml:space="preserve"> and does not result in </w:t>
      </w: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 xml:space="preserve">OTf. </w:t>
      </w:r>
    </w:p>
    <w:p>
      <w:pPr>
        <w:pStyle w:val="Normal"/>
        <w:rPr>
          <w:lang w:val="en-US"/>
        </w:rPr>
      </w:pPr>
      <w:r>
        <w:rPr>
          <w:lang w:val="en-US"/>
        </w:rPr>
        <w:t xml:space="preserve">In some cases, the enthalpy values of DS </w:t>
      </w:r>
      <w:r>
        <w:rPr>
          <w:b/>
          <w:lang w:val="en-US"/>
        </w:rPr>
        <w:t xml:space="preserve">1-3 </w:t>
      </w:r>
      <w:r>
        <w:rPr>
          <w:lang w:val="en-US"/>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1"/>
        <w:numPr>
          <w:ilvl w:val="0"/>
          <w:numId w:val="2"/>
        </w:numPr>
        <w:ind w:left="0" w:firstLine="397"/>
        <w:rPr>
          <w:lang w:val="en-US"/>
        </w:rPr>
      </w:pPr>
      <w:r>
        <w:rPr>
          <w:lang w:val="en-US"/>
        </w:rPr>
        <w:t>CONCLUSIONS</w:t>
      </w:r>
    </w:p>
    <w:p>
      <w:pPr>
        <w:pStyle w:val="Normal"/>
        <w:tabs>
          <w:tab w:val="center" w:pos="218" w:leader="none"/>
        </w:tabs>
        <w:rPr>
          <w:lang w:val="en-US"/>
        </w:rPr>
      </w:pPr>
      <w:r>
        <w:rPr>
          <w:lang w:val="en-US"/>
        </w:rPr>
        <w:t>In conclusion, for the first time we have determined the thermodynamics and kinetics of thermal decomposition of a series of aromatic diazonium salts ArN</w:t>
      </w:r>
      <w:r>
        <w:rPr>
          <w:vertAlign w:val="subscript"/>
          <w:lang w:val="en-US"/>
        </w:rPr>
        <w:t>2</w:t>
      </w:r>
      <w:r>
        <w:rPr>
          <w:vertAlign w:val="superscript"/>
          <w:lang w:val="en-US"/>
        </w:rPr>
        <w:t>+</w:t>
      </w:r>
      <w:r>
        <w:rPr>
          <w:lang w:val="en-US"/>
        </w:rPr>
        <w:t>X</w:t>
      </w:r>
      <w:r>
        <w:rPr>
          <w:vertAlign w:val="superscript"/>
          <w:lang w:val="en-US"/>
        </w:rPr>
        <w:t>–</w:t>
      </w:r>
      <w:r>
        <w:rPr>
          <w:lang w:val="en-US"/>
        </w:rPr>
        <w:t xml:space="preserve"> with various counterions X = TfO, TsO, BF</w:t>
      </w:r>
      <w:r>
        <w:rPr>
          <w:vertAlign w:val="subscript"/>
          <w:lang w:val="en-US"/>
        </w:rPr>
        <w:t>4</w:t>
      </w:r>
      <w:r>
        <w:rPr>
          <w:lang w:val="en-US"/>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Normal"/>
        <w:tabs>
          <w:tab w:val="center" w:pos="218" w:leader="none"/>
        </w:tabs>
        <w:rPr>
          <w:lang w:val="en-US"/>
        </w:rPr>
      </w:pPr>
      <w:r>
        <w:rPr>
          <w:lang w:val="en-US"/>
        </w:rPr>
        <w:t xml:space="preserve">We demonstrated that thermodynamic parameters of DS thermal decomposition reactions calculated by DFT at RB3LYP/aug-cc-pVDZ are consisted with experimental data obtained by isothermal flow calorimetry for all 3- and 4-substituted DSs </w:t>
      </w:r>
      <w:r>
        <w:rPr>
          <w:color w:val="00000A"/>
          <w:lang w:val="en-US"/>
        </w:rPr>
        <w:t>investigated (</w:t>
      </w:r>
      <w:r>
        <w:rPr>
          <w:b/>
          <w:color w:val="00000A"/>
          <w:lang w:val="en-US"/>
        </w:rPr>
        <w:t>1b-d, 2, 3</w:t>
      </w:r>
      <w:r>
        <w:rPr>
          <w:color w:val="00000A"/>
          <w:lang w:val="en-US"/>
        </w:rPr>
        <w:t xml:space="preserve">). For these DSs the main decomposition route is elimination of nitrogen </w:t>
      </w:r>
      <w:r>
        <w:rPr>
          <w:lang w:val="en-US"/>
        </w:rPr>
        <w:t>with the formation of benzene-1-ylium ions that subsequently react with the corresponding anions. A completely d</w:t>
      </w:r>
      <w:bookmarkStart w:id="1" w:name="_GoBack"/>
      <w:bookmarkEnd w:id="1"/>
      <w:r>
        <w:rPr>
          <w:lang w:val="en-US"/>
        </w:rPr>
        <w:t xml:space="preserve">ifferent process occurs during the thermolysis of 2-nitrobenzene diazonium triflate </w:t>
      </w:r>
      <w:r>
        <w:rPr>
          <w:b/>
          <w:lang w:val="en-US"/>
        </w:rPr>
        <w:t>1a</w:t>
      </w:r>
      <w:r>
        <w:rPr>
          <w:lang w:val="en-US"/>
        </w:rPr>
        <w:t>. In this case, the polymeric products are formed, probably through the primary generation of 1-nitrocyclohexa-1,3-dien-5-yne.</w:t>
      </w:r>
    </w:p>
    <w:p>
      <w:pPr>
        <w:pStyle w:val="Normal"/>
        <w:tabs>
          <w:tab w:val="center" w:pos="218" w:leader="none"/>
        </w:tabs>
        <w:rPr>
          <w:lang w:val="en-US"/>
        </w:rPr>
      </w:pPr>
      <w:r>
        <w:rPr>
          <w:lang w:val="en-US"/>
        </w:rPr>
      </w:r>
    </w:p>
    <w:p>
      <w:pPr>
        <w:pStyle w:val="1"/>
        <w:numPr>
          <w:ilvl w:val="0"/>
          <w:numId w:val="2"/>
        </w:numPr>
        <w:ind w:left="0" w:firstLine="397"/>
        <w:rPr>
          <w:lang w:val="en-US"/>
        </w:rPr>
      </w:pPr>
      <w:r>
        <w:rPr>
          <w:lang w:val="en-US"/>
        </w:rPr>
        <w:t xml:space="preserve">  </w:t>
      </w:r>
      <w:r>
        <w:rPr>
          <w:lang w:val="en-US"/>
        </w:rPr>
        <w:t>ASSOCIATED CONTENT</w:t>
      </w:r>
    </w:p>
    <w:p>
      <w:pPr>
        <w:pStyle w:val="1"/>
        <w:numPr>
          <w:ilvl w:val="0"/>
          <w:numId w:val="2"/>
        </w:numPr>
        <w:ind w:left="0" w:firstLine="397"/>
        <w:rPr>
          <w:lang w:val="en-US"/>
        </w:rPr>
      </w:pPr>
      <w:r>
        <w:rPr>
          <w:lang w:val="en-US"/>
        </w:rPr>
        <w:t xml:space="preserve">  </w:t>
      </w:r>
      <w:r>
        <w:rPr>
          <w:lang w:val="en-US"/>
        </w:rPr>
        <w:t>AUTHOR INFORMATION</w:t>
      </w:r>
    </w:p>
    <w:p>
      <w:pPr>
        <w:pStyle w:val="1"/>
        <w:numPr>
          <w:ilvl w:val="0"/>
          <w:numId w:val="2"/>
        </w:numPr>
        <w:ind w:left="0" w:firstLine="397"/>
        <w:rPr>
          <w:lang w:val="en-US"/>
        </w:rPr>
      </w:pPr>
      <w:r>
        <w:rPr>
          <w:lang w:val="en-US"/>
        </w:rPr>
        <w:t xml:space="preserve">  </w:t>
      </w:r>
      <w:r>
        <w:rPr>
          <w:lang w:val="en-US"/>
        </w:rPr>
        <w:t>ACKNOWLEDGMENTS</w:t>
      </w:r>
    </w:p>
    <w:p>
      <w:pPr>
        <w:pStyle w:val="1"/>
        <w:numPr>
          <w:ilvl w:val="0"/>
          <w:numId w:val="2"/>
        </w:numPr>
        <w:ind w:left="0" w:firstLine="397"/>
        <w:rPr>
          <w:lang w:val="en-US"/>
        </w:rPr>
      </w:pPr>
      <w:r>
        <w:rPr>
          <w:lang w:val="en-US"/>
        </w:rPr>
        <w:t xml:space="preserve">  </w:t>
      </w:r>
      <w:r>
        <w:rPr>
          <w:lang w:val="en-US"/>
        </w:rPr>
        <w:t>REFERENCES (fINAL)</w:t>
      </w:r>
    </w:p>
    <w:p>
      <w:pPr>
        <w:pStyle w:val="Normal"/>
        <w:numPr>
          <w:ilvl w:val="0"/>
          <w:numId w:val="4"/>
        </w:numPr>
        <w:tabs>
          <w:tab w:val="center" w:pos="218" w:leader="none"/>
        </w:tabs>
        <w:spacing w:before="0" w:after="57"/>
        <w:rPr>
          <w:lang w:val="en-US"/>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xml:space="preserve">, 2298. (g) Idowu, O.S., Kolawole, A.O., Abegoke, O.A., Kolade, Y.T., Fasanmade, A.A., Olaniyi, A.A. </w:t>
      </w:r>
      <w:r>
        <w:rPr>
          <w:rFonts w:cs="Times New Roman" w:ascii="FreeSerif" w:hAnsi="FreeSerif"/>
          <w:i/>
          <w:lang w:val="en-US"/>
        </w:rPr>
        <w:t>J. AOAC International</w:t>
      </w:r>
      <w:r>
        <w:rPr>
          <w:rFonts w:cs="Times New Roman" w:ascii="FreeSerif" w:hAnsi="FreeSerif"/>
          <w:lang w:val="en-US"/>
        </w:rPr>
        <w:t xml:space="preserve">, </w:t>
      </w:r>
      <w:r>
        <w:rPr>
          <w:rFonts w:cs="Times New Roman" w:ascii="FreeSerif" w:hAnsi="FreeSerif"/>
          <w:b/>
          <w:lang w:val="en-US"/>
        </w:rPr>
        <w:t>2005</w:t>
      </w:r>
      <w:r>
        <w:rPr>
          <w:rFonts w:cs="Times New Roman" w:ascii="FreeSerif" w:hAnsi="FreeSerif"/>
          <w:lang w:val="en-US"/>
        </w:rPr>
        <w:t xml:space="preserve">, </w:t>
      </w:r>
      <w:r>
        <w:rPr>
          <w:rFonts w:cs="Times New Roman" w:ascii="FreeSerif" w:hAnsi="FreeSerif"/>
          <w:i/>
          <w:lang w:val="en-US"/>
        </w:rPr>
        <w:t>88</w:t>
      </w:r>
      <w:r>
        <w:rPr>
          <w:rFonts w:cs="Times New Roman" w:ascii="FreeSerif" w:hAnsi="FreeSerif"/>
          <w:lang w:val="en-US"/>
        </w:rPr>
        <w:t>, 1108.</w:t>
      </w:r>
    </w:p>
    <w:p>
      <w:pPr>
        <w:pStyle w:val="Style20"/>
        <w:numPr>
          <w:ilvl w:val="0"/>
          <w:numId w:val="4"/>
        </w:numPr>
        <w:tabs>
          <w:tab w:val="center" w:pos="218" w:leader="none"/>
        </w:tabs>
        <w:spacing w:lineRule="auto" w:line="312" w:before="0" w:after="57"/>
        <w:ind w:left="0" w:firstLine="283"/>
        <w:rPr>
          <w:lang w:val="en-US"/>
        </w:rPr>
      </w:pP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4143.</w:t>
      </w:r>
    </w:p>
    <w:p>
      <w:pPr>
        <w:pStyle w:val="Normal"/>
        <w:numPr>
          <w:ilvl w:val="0"/>
          <w:numId w:val="4"/>
        </w:numPr>
        <w:tabs>
          <w:tab w:val="center" w:pos="218" w:leader="none"/>
        </w:tabs>
        <w:spacing w:before="0" w:after="57"/>
        <w:ind w:left="0" w:firstLine="283"/>
        <w:rPr/>
      </w:pPr>
      <w:r>
        <w:rPr>
          <w:rFonts w:eastAsia="Times New Roman" w:cs="Times New Roman" w:ascii="FreeSerif" w:hAnsi="FreeSerif"/>
          <w:lang w:val="en-US"/>
        </w:rPr>
        <w:t xml:space="preserve">(a) Filimonov V. D., Trusova M.E., Postnikov P.S., Krasnokutskaya E.A., Lee Y.M., Hwang H.Y., Kim H., Ki-Whan Chi. Unusually Stable, Versatile, and Pure Arenediazonium Tosylates: their Preparation, Structures, and Synthetic Applicability. </w:t>
      </w:r>
      <w:r>
        <w:rPr>
          <w:rFonts w:eastAsia="Times New Roman" w:cs="Times New Roman" w:ascii="FreeSerif" w:hAnsi="FreeSerif"/>
          <w:i/>
          <w:lang w:val="en-US"/>
        </w:rPr>
        <w:t>Org.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10</w:t>
      </w:r>
      <w:r>
        <w:rPr>
          <w:rFonts w:eastAsia="Times New Roman" w:cs="Times New Roman" w:ascii="FreeSerif" w:hAnsi="FreeSerif"/>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Pr>
          <w:rFonts w:eastAsia="Times New Roman" w:cs="Times New Roman" w:ascii="FreeSerif" w:hAnsi="FreeSerif"/>
          <w:i/>
          <w:lang w:val="en-US"/>
        </w:rPr>
        <w:t>Eur. J. Org. Chem</w:t>
      </w:r>
      <w:r>
        <w:rPr>
          <w:rFonts w:eastAsia="Times New Roman" w:cs="Times New Roman" w:ascii="FreeSerif" w:hAnsi="FreeSerif"/>
          <w:lang w:val="en-US"/>
        </w:rPr>
        <w:t xml:space="preserve">. </w:t>
      </w:r>
      <w:r>
        <w:rPr>
          <w:rFonts w:eastAsia="Times New Roman" w:cs="Times New Roman" w:ascii="FreeSerif" w:hAnsi="FreeSerif"/>
          <w:b/>
          <w:lang w:val="en-US"/>
        </w:rPr>
        <w:t>2018</w:t>
      </w:r>
      <w:r>
        <w:rPr>
          <w:rFonts w:eastAsia="Times New Roman" w:cs="Times New Roman" w:ascii="FreeSerif" w:hAnsi="FreeSerif"/>
          <w:lang w:val="en-US"/>
        </w:rPr>
        <w:t xml:space="preserve">,  </w:t>
      </w:r>
      <w:hyperlink r:id="rId25">
        <w:r>
          <w:rPr>
            <w:rStyle w:val="Style13"/>
            <w:rFonts w:eastAsia="Times New Roman" w:cs="Times New Roman" w:ascii="FreeSerif" w:hAnsi="FreeSerif"/>
            <w:color w:val="0000FF"/>
            <w:lang w:val="en-US"/>
          </w:rPr>
          <w:t>https://doi.org/10.1002/ejoc.201800887</w:t>
        </w:r>
      </w:hyperlink>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185-187. (c) Gorlushko D.A., Filimonov V.D., Krasnokutskaya E.A., Semenischeva N.I., Go B.S., Hwang H.Y., Chi K-W.  Iodination of aryl amines in a water-paste form via stable aryl diazonium tosylates.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1080-1082. (d) Lee Y.M., Moon M.E., Vajpayee V., Filimonov V.D., Chi K.-W. Efficient and economic halogenation of aryl amines via arenediazonium tosylate salts. </w:t>
      </w:r>
      <w:r>
        <w:rPr>
          <w:rFonts w:eastAsia="Times New Roman" w:cs="Times New Roman" w:ascii="FreeSerif" w:hAnsi="FreeSerif"/>
          <w:i/>
          <w:lang w:val="en-US"/>
        </w:rPr>
        <w:t>Tetrahedron</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66</w:t>
      </w:r>
      <w:r>
        <w:rPr>
          <w:rFonts w:eastAsia="Times New Roman" w:cs="Times New Roman" w:ascii="FreeSerif" w:hAnsi="FreeSerif"/>
          <w:lang w:val="en-US"/>
        </w:rPr>
        <w:t xml:space="preserve">, 7418-7422. (e) Moon M.E., Choi Y., Lee Y.M., Vajpayee V., Trusova M.E., Filimonov V.D., Chi K.-W.. An expeditious and environmentally benign preparation of aryl halides from aryl amines by solvent-free grinding.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51</w:t>
      </w:r>
      <w:r>
        <w:rPr>
          <w:rFonts w:eastAsia="Times New Roman" w:cs="Times New Roman" w:ascii="FreeSerif" w:hAnsi="FreeSerif"/>
          <w:lang w:val="en-US"/>
        </w:rPr>
        <w:t xml:space="preserve">, 6769–6771. (f) Trusova M.E., Krasnokutskaya E.A. Postnikov, P.S., Choi Y.; Chi,  Ki-Whan, Filimonov V.D., A Green Procedure for the Diazotization–Iodination of Aromatic Amines under Aqueous, Strong-Acid-Free Conditions.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2154-2158. (g) Kutonova, K.V.; Trusova, M.E.; Postnikov, P.S.; Filimonov, V.D.; Parello, J. A Simple and Effective Synthesis of Aryl Azides via Arenediazonium Tosylates.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2013</w:t>
      </w:r>
      <w:r>
        <w:rPr>
          <w:rFonts w:eastAsia="Times New Roman" w:cs="Times New Roman" w:ascii="FreeSerif" w:hAnsi="FreeSerif"/>
          <w:lang w:val="en-US"/>
        </w:rPr>
        <w:t xml:space="preserve">, </w:t>
      </w:r>
      <w:r>
        <w:rPr>
          <w:rFonts w:eastAsia="Times New Roman" w:cs="Times New Roman" w:ascii="FreeSerif" w:hAnsi="FreeSerif"/>
          <w:i/>
          <w:lang w:val="en-US"/>
        </w:rPr>
        <w:t>45</w:t>
      </w:r>
      <w:r>
        <w:rPr>
          <w:rFonts w:eastAsia="Times New Roman" w:cs="Times New Roman" w:ascii="FreeSerif" w:hAnsi="FreeSerif"/>
          <w:lang w:val="en-US"/>
        </w:rPr>
        <w:t xml:space="preserve">, 2706-2710. (h) Kutonova, K. S.; Trusova, M. E.; Stankevich, A. V.; Postnikov, P. S.; Filimonov, V. D. Matsuda-Heck reaction with arenediazonium tosylates in water. </w:t>
      </w:r>
      <w:r>
        <w:rPr>
          <w:rFonts w:eastAsia="Times New Roman" w:cs="Times New Roman" w:ascii="FreeSerif" w:hAnsi="FreeSerif"/>
          <w:i/>
          <w:lang w:val="en-US"/>
        </w:rPr>
        <w:t>Beilstein J. Org. Chem</w:t>
      </w:r>
      <w:r>
        <w:rPr>
          <w:rFonts w:eastAsia="Times New Roman" w:cs="Times New Roman" w:ascii="FreeSerif" w:hAnsi="FreeSerif"/>
          <w:lang w:val="en-US"/>
        </w:rPr>
        <w:t xml:space="preserve">. </w:t>
      </w:r>
      <w:r>
        <w:rPr>
          <w:rFonts w:eastAsia="Times New Roman" w:cs="Times New Roman" w:ascii="FreeSerif" w:hAnsi="FreeSerif"/>
          <w:b/>
          <w:lang w:val="en-US"/>
        </w:rPr>
        <w:t>2015</w:t>
      </w:r>
      <w:r>
        <w:rPr>
          <w:rFonts w:eastAsia="Times New Roman" w:cs="Times New Roman" w:ascii="FreeSerif" w:hAnsi="FreeSerif"/>
          <w:lang w:val="en-US"/>
        </w:rPr>
        <w:t xml:space="preserve">, </w:t>
      </w:r>
      <w:r>
        <w:rPr>
          <w:rFonts w:eastAsia="Times New Roman" w:cs="Times New Roman" w:ascii="FreeSerif" w:hAnsi="FreeSerif"/>
          <w:i/>
          <w:lang w:val="en-US"/>
        </w:rPr>
        <w:t>11</w:t>
      </w:r>
      <w:r>
        <w:rPr>
          <w:rFonts w:eastAsia="Times New Roman" w:cs="Times New Roman" w:ascii="FreeSerif" w:hAnsi="FreeSerif"/>
          <w:lang w:val="en-US"/>
        </w:rPr>
        <w:t xml:space="preserve">, 358-362. (i) Kutonova K.V., Jung N., Trusova M.E., Filimonov V.D., Postnikov P.S., Brase S. Arenediazonium Tosylates (ADTs) as Efficient Reagents for Suzuki-Miyaura Cross-Coupling in Neat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2017</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1680-1688. (j) Vajpayee, V.; Song, Y. H.; Ahn, J. S.; Chi, K.-W. </w:t>
      </w:r>
      <w:r>
        <w:rPr>
          <w:rFonts w:eastAsia="Times New Roman" w:cs="Times New Roman" w:ascii="FreeSerif" w:hAnsi="FreeSerif"/>
          <w:i/>
          <w:lang w:val="en-US"/>
        </w:rPr>
        <w:t>Bull. Korean Chem. Soc</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w:t>
      </w:r>
      <w:r>
        <w:rPr>
          <w:rFonts w:eastAsia="Times New Roman" w:cs="Times New Roman" w:ascii="FreeSerif" w:hAnsi="FreeSerif"/>
          <w:i/>
          <w:lang w:val="en-US"/>
        </w:rPr>
        <w:t>32</w:t>
      </w:r>
      <w:r>
        <w:rPr>
          <w:rFonts w:eastAsia="Times New Roman" w:cs="Times New Roman" w:ascii="FreeSerif" w:hAnsi="FreeSerif"/>
          <w:lang w:val="en-US"/>
        </w:rPr>
        <w:t>, 2970.</w:t>
      </w:r>
    </w:p>
    <w:p>
      <w:pPr>
        <w:pStyle w:val="Normal"/>
        <w:numPr>
          <w:ilvl w:val="0"/>
          <w:numId w:val="4"/>
        </w:numPr>
        <w:tabs>
          <w:tab w:val="center" w:pos="218" w:leader="none"/>
        </w:tabs>
        <w:spacing w:before="0" w:after="57"/>
        <w:ind w:left="0" w:firstLine="283"/>
        <w:rPr/>
      </w:pPr>
      <w:commentRangeStart w:id="31"/>
      <w:r>
        <w:rPr>
          <w:rFonts w:eastAsia="Times New Roman" w:cs="Times New Roman" w:ascii="FreeSerif" w:hAnsi="FreeSerif"/>
          <w:lang w:val="en-US"/>
        </w:rPr>
        <w:t>(a)</w:t>
      </w:r>
      <w:r>
        <w:rPr>
          <w:rFonts w:eastAsia="Times New Roman" w:cs="Times New Roman" w:ascii="FreeSerif" w:hAnsi="FreeSerif"/>
          <w:lang w:val="en-US"/>
        </w:rPr>
      </w:r>
      <w:commentRangeEnd w:id="31"/>
      <w:r>
        <w:commentReference w:id="31"/>
      </w:r>
      <w:r>
        <w:rPr>
          <w:rFonts w:eastAsia="Times New Roman" w:cs="Times New Roman" w:ascii="FreeSerif" w:hAnsi="FreeSerif"/>
          <w:lang w:val="en-US"/>
        </w:rPr>
        <w:t xml:space="preserve"> Riss, P. J.; Kuschel, S.; Aigbirhio, F. I. </w:t>
      </w:r>
      <w:r>
        <w:rPr>
          <w:rFonts w:eastAsia="Times New Roman" w:cs="Times New Roman" w:ascii="FreeSerif" w:hAnsi="FreeSerif"/>
          <w:color w:val="00000A"/>
          <w:highlight w:val="green"/>
          <w:lang w:val="en-US"/>
        </w:rPr>
        <w:t>No carrier-added nucleophilic aromatic radiofluorination using solid phase supported arenediazonium sulfonates and 1-(aryldiazenyl)piperazines.</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color w:val="00000A"/>
          <w:highlight w:val="green"/>
          <w:lang w:val="en-US"/>
        </w:rPr>
        <w:t>Some chemical transformations of alkyl (4-aminophenyl)carbamates</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color w:val="00000A"/>
          <w:highlight w:val="green"/>
          <w:lang w:val="en-US"/>
        </w:rPr>
        <w:t>Rhodium(I)-Catalyzed Synthesis of Aryltriethoxysilanes from Arenediazonium Tosylate Salts with Triethoxysilane.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w:t>
      </w:r>
      <w:r>
        <w:rPr>
          <w:rFonts w:eastAsia="Times New Roman" w:cs="Times New Roman" w:ascii="FreeSerif" w:hAnsi="FreeSerif"/>
          <w:color w:val="00000A"/>
          <w:highlight w:val="green"/>
          <w:lang w:val="en-US"/>
        </w:rPr>
        <w:t>Changes in major charge transport by molecular spatial orientation in graphene channel field effect transistors.</w:t>
      </w:r>
      <w:r>
        <w:rPr>
          <w:rFonts w:eastAsia="Times New Roman" w:cs="Times New Roman" w:ascii="FreeSerif" w:hAnsi="FreeSerif"/>
          <w:lang w:val="en-US"/>
        </w:rPr>
        <w:t xml:space="preserve"> Chem. Commun. 2013, 49, 6289-6291.</w:t>
      </w:r>
    </w:p>
    <w:p>
      <w:pPr>
        <w:pStyle w:val="Normal"/>
        <w:numPr>
          <w:ilvl w:val="0"/>
          <w:numId w:val="4"/>
        </w:numPr>
        <w:tabs>
          <w:tab w:val="center" w:pos="218" w:leader="none"/>
        </w:tabs>
        <w:spacing w:before="0" w:after="57"/>
        <w:ind w:left="0" w:firstLine="283"/>
        <w:rPr/>
      </w:pPr>
      <w:hyperlink r:id="rId26">
        <w:r>
          <w:rPr>
            <w:rStyle w:val="Style13"/>
            <w:rFonts w:eastAsia="Calibri" w:cs="Calibri" w:ascii="FreeSerif" w:hAnsi="FreeSerif"/>
            <w:color w:val="0000FF"/>
            <w:lang w:val="en-US"/>
          </w:rPr>
          <w:t>http://www.unece.org/trans/danger/danger.html</w:t>
        </w:r>
      </w:hyperlink>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1688-1691</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numPr>
          <w:ilvl w:val="0"/>
          <w:numId w:val="4"/>
        </w:numPr>
        <w:tabs>
          <w:tab w:val="center" w:pos="218" w:leader="none"/>
        </w:tabs>
        <w:spacing w:before="0" w:after="57"/>
        <w:ind w:left="0" w:firstLine="283"/>
        <w:rPr/>
      </w:pPr>
      <w:commentRangeStart w:id="32"/>
      <w:r>
        <w:rPr>
          <w:highlight w:val="green"/>
          <w:lang w:val="en-US"/>
        </w:rPr>
        <w:t>(a)</w:t>
      </w:r>
      <w:r>
        <w:rPr>
          <w:highlight w:val="green"/>
          <w:lang w:val="en-US"/>
        </w:rPr>
      </w:r>
      <w:commentRangeEnd w:id="32"/>
      <w:r>
        <w:commentReference w:id="32"/>
      </w:r>
      <w:r>
        <w:rPr>
          <w:highlight w:val="green"/>
          <w:lang w:val="en-US"/>
        </w:rPr>
        <w:t xml:space="preserve"> U. Ticmanis, S. Wilker, G. Pantel, P. Guillaume, C. Balès, N. van der Meer. Principles of a STANAG for the estimation of the chemical stability of propellants by Heat Flow Calorimetry", Proc. Int Annu. Conf. ICT 31, 2 (2000). (b) P. Guillaume, M. Rat, S. Wilker, G. Pantel, "Microcalorimetric and Chemical Studies of Propellants", Proc. Int Annu. Conf. ICT 29, 133 (1998).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pp.48-54</w:t>
      </w:r>
    </w:p>
    <w:p>
      <w:pPr>
        <w:pStyle w:val="Normal"/>
        <w:numPr>
          <w:ilvl w:val="0"/>
          <w:numId w:val="4"/>
        </w:numPr>
        <w:tabs>
          <w:tab w:val="center" w:pos="218" w:leader="none"/>
        </w:tabs>
        <w:spacing w:before="0" w:after="57"/>
        <w:ind w:left="0" w:firstLine="283"/>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27">
        <w:r>
          <w:rPr>
            <w:rStyle w:val="Style13"/>
            <w:rFonts w:eastAsia="Times New Roman" w:cs="Times New Roman" w:ascii="FreeSerif" w:hAnsi="FreeSerif"/>
            <w:color w:val="00000A"/>
            <w:highlight w:val="yellow"/>
            <w:lang w:val="en-US"/>
          </w:rPr>
          <w:t>https://www.R-project.org/</w:t>
        </w:r>
      </w:hyperlink>
    </w:p>
    <w:p>
      <w:pPr>
        <w:pStyle w:val="Normal"/>
        <w:numPr>
          <w:ilvl w:val="0"/>
          <w:numId w:val="4"/>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numPr>
          <w:ilvl w:val="0"/>
          <w:numId w:val="4"/>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tabs>
          <w:tab w:val="center" w:pos="218" w:leader="none"/>
        </w:tabs>
        <w:spacing w:before="0" w:after="57"/>
        <w:ind w:left="720" w:hanging="0"/>
        <w:rPr>
          <w:rStyle w:val="13"/>
          <w:rFonts w:ascii="FreeSerif" w:hAnsi="FreeSerif" w:eastAsia="Times New Roman" w:cs="Times New Roman"/>
          <w:i w:val="false"/>
          <w:i w:val="false"/>
          <w:iCs w:val="false"/>
          <w:highlight w:val="green"/>
          <w:lang w:val="en-US"/>
        </w:rPr>
      </w:pPr>
      <w:r>
        <w:rPr>
          <w:rFonts w:eastAsia="Times New Roman" w:cs="Times New Roman" w:ascii="FreeSerif" w:hAnsi="FreeSerif"/>
          <w:i w:val="false"/>
          <w:iCs w:val="false"/>
          <w:highlight w:val="green"/>
          <w:lang w:val="en-US"/>
        </w:rPr>
      </w:r>
      <w:r>
        <w:br w:type="page"/>
      </w:r>
    </w:p>
    <w:p>
      <w:pPr>
        <w:pStyle w:val="1"/>
        <w:numPr>
          <w:ilvl w:val="0"/>
          <w:numId w:val="2"/>
        </w:numPr>
        <w:ind w:left="0" w:firstLine="397"/>
        <w:rPr>
          <w:lang w:val="en-US"/>
        </w:rPr>
      </w:pPr>
      <w:r>
        <w:rPr>
          <w:lang w:val="en-US"/>
        </w:rPr>
        <w:t>Supporting</w:t>
      </w:r>
    </w:p>
    <w:p>
      <w:pPr>
        <w:pStyle w:val="Normal"/>
        <w:tabs>
          <w:tab w:val="left" w:pos="225" w:leader="none"/>
          <w:tab w:val="left" w:pos="510" w:leader="none"/>
        </w:tabs>
        <w:spacing w:before="0" w:after="113"/>
        <w:ind w:left="720" w:hanging="0"/>
        <w:jc w:val="center"/>
        <w:rPr>
          <w:b/>
          <w:b/>
          <w:bCs/>
          <w:lang w:val="en-US"/>
        </w:rPr>
      </w:pPr>
      <w:r>
        <w:rPr>
          <w:b/>
          <w:bCs/>
          <w:lang w:val="en-US"/>
        </w:rPr>
        <w:t xml:space="preserve">Supporitng 1s. Results of modeling and deconvolution of heat flow experimental kinetic curves acquired in isothermal conditions </w:t>
      </w:r>
    </w:p>
    <w:p>
      <w:pPr>
        <w:pStyle w:val="Normal"/>
        <w:tabs>
          <w:tab w:val="center" w:pos="218" w:leader="none"/>
        </w:tabs>
        <w:rPr>
          <w:color w:val="000000"/>
          <w:lang w:val="en-US"/>
        </w:rPr>
      </w:pPr>
      <w:r>
        <w:rPr>
          <w:bCs/>
          <w:lang w:val="en-US"/>
        </w:rPr>
        <w:t xml:space="preserve">The initial experimental heat flow over time curves are can be found in </w:t>
      </w:r>
      <w:r>
        <w:rPr>
          <w:i/>
          <w:iCs/>
          <w:color w:val="000000"/>
          <w:u w:val="single"/>
          <w:lang w:val="en-US"/>
        </w:rPr>
        <w:t>Supporting/Flow-Calorimetry/Main-Experiment/Source.</w:t>
      </w:r>
      <w:r>
        <w:rPr>
          <w:iCs/>
          <w:color w:val="000000"/>
          <w:lang w:val="en-US"/>
        </w:rPr>
        <w:t xml:space="preserve"> The results of simulations when a single </w:t>
      </w:r>
      <w:r>
        <w:rPr>
          <w:bCs/>
          <w:lang w:val="en-US"/>
        </w:rPr>
        <w:t xml:space="preserve">autocatalytic process was taken as model are presented in </w:t>
      </w:r>
      <w:r>
        <w:rPr>
          <w:i/>
          <w:iCs/>
          <w:color w:val="000000"/>
          <w:u w:val="single"/>
          <w:lang w:val="en-US"/>
        </w:rPr>
        <w:t>Supporting/Flow-Calorimetry/Main-Experiment/pdf</w:t>
      </w:r>
      <w:r>
        <w:rPr>
          <w:color w:val="000000"/>
          <w:lang w:val="en-US"/>
        </w:rPr>
        <w:t xml:space="preserve">. </w:t>
      </w:r>
      <w:r>
        <w:rPr>
          <w:bCs/>
          <w:lang w:val="en-US"/>
        </w:rPr>
        <w:t xml:space="preserve">The results of statistical processing and assessment of data reproducibility can be found in </w:t>
      </w:r>
      <w:r>
        <w:rPr>
          <w:i/>
          <w:iCs/>
          <w:color w:val="000000"/>
          <w:u w:val="single"/>
          <w:lang w:val="en-US"/>
        </w:rPr>
        <w:t>Supporting/Flow-Calorimetry/Stat</w:t>
      </w:r>
      <w:r>
        <w:rPr>
          <w:color w:val="000000"/>
          <w:lang w:val="en-US"/>
        </w:rPr>
        <w:t>.</w:t>
      </w:r>
    </w:p>
    <w:p>
      <w:pPr>
        <w:pStyle w:val="Normal"/>
        <w:tabs>
          <w:tab w:val="center" w:pos="218" w:leader="none"/>
        </w:tabs>
        <w:rPr>
          <w:color w:val="000000"/>
          <w:lang w:val="en-US"/>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 xml:space="preserve">algorithm (BFGS) [1a] implemented in our computer program [1b], as well as </w:t>
      </w:r>
      <w:r>
        <w:rPr>
          <w:color w:val="000000"/>
          <w:lang w:val="en-US"/>
        </w:rPr>
        <w:t xml:space="preserve">Nelder–Mead </w:t>
      </w:r>
      <w:r>
        <w:rPr>
          <w:bCs/>
          <w:lang w:val="en-US"/>
        </w:rPr>
        <w:t xml:space="preserve">[1c] method implemented in the R statistics software package for statistical analysis and processing [2]. The initial values for the first approximation were taken from the DSC-TGA data (endothermic reaction). Figure </w:t>
      </w:r>
      <w:r>
        <w:rPr>
          <w:bCs/>
          <w:highlight w:val="yellow"/>
          <w:lang w:val="en-US"/>
        </w:rPr>
        <w:t>1s.1-6</w:t>
      </w:r>
      <w:r>
        <w:rPr>
          <w:bCs/>
          <w:lang w:val="en-US"/>
        </w:rPr>
        <w:t xml:space="preserve"> shows the results of deconvolution. The model of two independent autocatalytic processes was found to describe the experimental dependencies more accurately.</w:t>
      </w:r>
    </w:p>
    <w:p>
      <w:pPr>
        <w:pStyle w:val="Normal"/>
        <w:tabs>
          <w:tab w:val="center" w:pos="218" w:leader="none"/>
        </w:tabs>
        <w:rPr>
          <w:b/>
          <w:b/>
          <w:bCs/>
          <w:lang w:val="en-US"/>
        </w:rPr>
      </w:pPr>
      <w:r>
        <w:rPr>
          <w:b/>
          <w:bCs/>
          <w:lang w:val="en-US"/>
        </w:rPr>
      </w:r>
    </w:p>
    <w:p>
      <w:pPr>
        <w:pStyle w:val="Normal"/>
        <w:spacing w:before="113" w:after="0"/>
        <w:ind w:hanging="0"/>
        <w:rPr>
          <w:color w:val="000000"/>
          <w:lang w:val="en-US"/>
        </w:rPr>
      </w:pPr>
      <w:r>
        <w:rPr>
          <w:color w:val="000000"/>
          <w:lang w:val="en-US"/>
        </w:rPr>
        <w:t xml:space="preserve">Table 1s.1.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noVBand="0" w:noHBand="0" w:lastColumn="0" w:firstColumn="0" w:lastRow="0" w:firstRow="0"/>
      </w:tblPr>
      <w:tblGrid>
        <w:gridCol w:w="626"/>
        <w:gridCol w:w="1295"/>
        <w:gridCol w:w="1219"/>
        <w:gridCol w:w="1351"/>
        <w:gridCol w:w="1508"/>
        <w:gridCol w:w="1205"/>
        <w:gridCol w:w="1261"/>
        <w:gridCol w:w="1171"/>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5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6"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0.5222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0.0480</w:t>
            </w:r>
          </w:p>
        </w:tc>
        <w:tc>
          <w:tcPr>
            <w:tcW w:w="135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0.00133</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0.00304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48.5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-500.6</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7.3·10</w:t>
            </w:r>
            <w:r>
              <w:rPr>
                <w:vertAlign w:val="superscript"/>
                <w:lang w:val="en-US"/>
              </w:rPr>
              <w:t>-10</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0.4046</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0.0489</w:t>
            </w:r>
          </w:p>
        </w:tc>
        <w:tc>
          <w:tcPr>
            <w:tcW w:w="135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0.00111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0.00230</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30.7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-441.0</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7.1·10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0.9554</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0.0611</w:t>
            </w:r>
          </w:p>
        </w:tc>
        <w:tc>
          <w:tcPr>
            <w:tcW w:w="135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0.00070</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0.00272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32.5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-453.9</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p>
    <w:p>
      <w:pPr>
        <w:pStyle w:val="Normal"/>
        <w:spacing w:before="113" w:after="0"/>
        <w:ind w:hanging="0"/>
        <w:rPr>
          <w:color w:val="000000"/>
          <w:lang w:val="en-US"/>
        </w:rPr>
      </w:pPr>
      <w:r>
        <w:rPr>
          <w:color w:val="000000"/>
          <w:lang w:val="en-US"/>
        </w:rPr>
        <w:t xml:space="preserve">Table 1s.2.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noVBand="0" w:noHBand="0" w:lastColumn="0" w:firstColumn="0" w:lastRow="0" w:firstRow="0"/>
      </w:tblPr>
      <w:tblGrid>
        <w:gridCol w:w="626"/>
        <w:gridCol w:w="1295"/>
        <w:gridCol w:w="1219"/>
        <w:gridCol w:w="1351"/>
        <w:gridCol w:w="1508"/>
        <w:gridCol w:w="1205"/>
        <w:gridCol w:w="1261"/>
        <w:gridCol w:w="1171"/>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5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6"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0.4679</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0.0642</w:t>
            </w:r>
          </w:p>
        </w:tc>
        <w:tc>
          <w:tcPr>
            <w:tcW w:w="135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0.00191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0.00204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39.2</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-520.7</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1.1·10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0.5791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0.0435</w:t>
            </w:r>
          </w:p>
        </w:tc>
        <w:tc>
          <w:tcPr>
            <w:tcW w:w="135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0.00122</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0.00263</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36.7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-493.9</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6.1·10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1.0512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0.0631</w:t>
            </w:r>
          </w:p>
        </w:tc>
        <w:tc>
          <w:tcPr>
            <w:tcW w:w="135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0.00075</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0.00259</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31.8</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-483.4</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6"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r>
        <w:br w:type="page"/>
      </w:r>
    </w:p>
    <w:p>
      <w:pPr>
        <w:pStyle w:val="Normal"/>
        <w:tabs>
          <w:tab w:val="center" w:pos="218" w:leader="none"/>
        </w:tabs>
        <w:rPr>
          <w:sz w:val="12"/>
          <w:szCs w:val="12"/>
          <w:lang w:val="en-US"/>
        </w:rPr>
      </w:pPr>
      <w:r>
        <w:rPr>
          <w:sz w:val="12"/>
          <w:szCs w:val="12"/>
          <w:lang w:val="en-US"/>
        </w:rPr>
      </w:r>
    </w:p>
    <w:p>
      <w:pPr>
        <w:pStyle w:val="Normal"/>
        <w:ind w:hanging="0"/>
        <w:jc w:val="center"/>
        <w:rPr>
          <w:lang w:val="en-US"/>
        </w:rPr>
      </w:pPr>
      <w:r>
        <w:rPr/>
        <w:drawing>
          <wp:inline distT="0" distB="0" distL="0" distR="0">
            <wp:extent cx="4201160" cy="3818255"/>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28"/>
                    <a:stretch>
                      <a:fillRect/>
                    </a:stretch>
                  </pic:blipFill>
                  <pic:spPr bwMode="auto">
                    <a:xfrm>
                      <a:off x="0" y="0"/>
                      <a:ext cx="4201160" cy="3818255"/>
                    </a:xfrm>
                    <a:prstGeom prst="rect">
                      <a:avLst/>
                    </a:prstGeom>
                  </pic:spPr>
                </pic:pic>
              </a:graphicData>
            </a:graphic>
          </wp:inline>
        </w:drawing>
      </w:r>
    </w:p>
    <w:p>
      <w:pPr>
        <w:pStyle w:val="Normal"/>
        <w:ind w:hanging="0"/>
        <w:jc w:val="center"/>
        <w:rPr>
          <w:lang w:val="en-US"/>
        </w:rPr>
      </w:pPr>
      <w:r>
        <w:rPr>
          <w:lang w:val="en-US"/>
        </w:rPr>
        <w:t xml:space="preserve">Figure 1s.1.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167505" cy="378777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29"/>
                    <a:stretch>
                      <a:fillRect/>
                    </a:stretch>
                  </pic:blipFill>
                  <pic:spPr bwMode="auto">
                    <a:xfrm>
                      <a:off x="0" y="0"/>
                      <a:ext cx="4167505" cy="3787775"/>
                    </a:xfrm>
                    <a:prstGeom prst="rect">
                      <a:avLst/>
                    </a:prstGeom>
                  </pic:spPr>
                </pic:pic>
              </a:graphicData>
            </a:graphic>
          </wp:inline>
        </w:drawing>
      </w:r>
    </w:p>
    <w:p>
      <w:pPr>
        <w:pStyle w:val="Normal"/>
        <w:ind w:hanging="0"/>
        <w:jc w:val="center"/>
        <w:rPr>
          <w:lang w:val="en-US"/>
        </w:rPr>
      </w:pPr>
      <w:r>
        <w:rPr>
          <w:lang w:val="en-US"/>
        </w:rPr>
        <w:t xml:space="preserve">Figure 1s.2.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lang w:val="en-US"/>
        </w:rPr>
      </w:pPr>
      <w:r>
        <w:rPr>
          <w:color w:val="000000"/>
          <w:lang w:val="en-US"/>
        </w:rPr>
      </w:r>
    </w:p>
    <w:p>
      <w:pPr>
        <w:pStyle w:val="Normal"/>
        <w:ind w:hanging="0"/>
        <w:jc w:val="center"/>
        <w:rPr>
          <w:lang w:val="en-US"/>
        </w:rPr>
      </w:pPr>
      <w:r>
        <w:rPr/>
        <w:drawing>
          <wp:inline distT="0" distB="0" distL="0" distR="0">
            <wp:extent cx="3982085" cy="361950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0"/>
                    <a:stretch>
                      <a:fillRect/>
                    </a:stretch>
                  </pic:blipFill>
                  <pic:spPr bwMode="auto">
                    <a:xfrm>
                      <a:off x="0" y="0"/>
                      <a:ext cx="3982085" cy="3619500"/>
                    </a:xfrm>
                    <a:prstGeom prst="rect">
                      <a:avLst/>
                    </a:prstGeom>
                  </pic:spPr>
                </pic:pic>
              </a:graphicData>
            </a:graphic>
          </wp:inline>
        </w:drawing>
      </w:r>
    </w:p>
    <w:p>
      <w:pPr>
        <w:pStyle w:val="Normal"/>
        <w:ind w:hanging="0"/>
        <w:jc w:val="center"/>
        <w:rPr>
          <w:lang w:val="en-US"/>
        </w:rPr>
      </w:pPr>
      <w:r>
        <w:rPr>
          <w:lang w:val="en-US"/>
        </w:rPr>
        <w:t xml:space="preserve">Figure 1s.3.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jc w:val="center"/>
        <w:rPr>
          <w:sz w:val="12"/>
          <w:szCs w:val="12"/>
          <w:lang w:val="en-US"/>
        </w:rPr>
      </w:pPr>
      <w:r>
        <w:rPr>
          <w:sz w:val="12"/>
          <w:szCs w:val="12"/>
          <w:lang w:val="en-US"/>
        </w:rPr>
      </w:r>
    </w:p>
    <w:p>
      <w:pPr>
        <w:pStyle w:val="Normal"/>
        <w:ind w:hanging="0"/>
        <w:jc w:val="center"/>
        <w:rPr>
          <w:lang w:val="en-US"/>
        </w:rPr>
      </w:pPr>
      <w:r>
        <w:rPr/>
        <w:drawing>
          <wp:inline distT="0" distB="0" distL="0" distR="0">
            <wp:extent cx="4034790" cy="3667125"/>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1"/>
                    <a:stretch>
                      <a:fillRect/>
                    </a:stretch>
                  </pic:blipFill>
                  <pic:spPr bwMode="auto">
                    <a:xfrm>
                      <a:off x="0" y="0"/>
                      <a:ext cx="4034790" cy="3667125"/>
                    </a:xfrm>
                    <a:prstGeom prst="rect">
                      <a:avLst/>
                    </a:prstGeom>
                  </pic:spPr>
                </pic:pic>
              </a:graphicData>
            </a:graphic>
          </wp:inline>
        </w:drawing>
      </w:r>
    </w:p>
    <w:p>
      <w:pPr>
        <w:pStyle w:val="Normal"/>
        <w:ind w:hanging="0"/>
        <w:jc w:val="center"/>
        <w:rPr>
          <w:lang w:val="en-US"/>
        </w:rPr>
      </w:pPr>
      <w:r>
        <w:rPr>
          <w:lang w:val="en-US"/>
        </w:rPr>
        <w:t xml:space="preserve">Figure 1s.4.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color w:val="000000"/>
          <w:lang w:val="en-US"/>
        </w:rPr>
        <w:t xml:space="preserve"> </w:t>
      </w:r>
    </w:p>
    <w:p>
      <w:pPr>
        <w:pStyle w:val="Normal"/>
        <w:ind w:hanging="0"/>
        <w:jc w:val="center"/>
        <w:rPr>
          <w:lang w:val="en-US"/>
        </w:rPr>
      </w:pPr>
      <w:r>
        <w:rPr/>
        <w:drawing>
          <wp:inline distT="0" distB="0" distL="0" distR="0">
            <wp:extent cx="4125595" cy="3749675"/>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32"/>
                    <a:stretch>
                      <a:fillRect/>
                    </a:stretch>
                  </pic:blipFill>
                  <pic:spPr bwMode="auto">
                    <a:xfrm>
                      <a:off x="0" y="0"/>
                      <a:ext cx="4125595" cy="3749675"/>
                    </a:xfrm>
                    <a:prstGeom prst="rect">
                      <a:avLst/>
                    </a:prstGeom>
                  </pic:spPr>
                </pic:pic>
              </a:graphicData>
            </a:graphic>
          </wp:inline>
        </w:drawing>
      </w:r>
    </w:p>
    <w:p>
      <w:pPr>
        <w:pStyle w:val="Normal"/>
        <w:ind w:hanging="0"/>
        <w:jc w:val="center"/>
        <w:rPr>
          <w:lang w:val="en-US"/>
        </w:rPr>
      </w:pPr>
      <w:r>
        <w:rPr>
          <w:lang w:val="en-US"/>
        </w:rPr>
        <w:t xml:space="preserve">Figure 1s.5.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027805" cy="3660775"/>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33"/>
                    <a:stretch>
                      <a:fillRect/>
                    </a:stretch>
                  </pic:blipFill>
                  <pic:spPr bwMode="auto">
                    <a:xfrm>
                      <a:off x="0" y="0"/>
                      <a:ext cx="4027805" cy="3660775"/>
                    </a:xfrm>
                    <a:prstGeom prst="rect">
                      <a:avLst/>
                    </a:prstGeom>
                  </pic:spPr>
                </pic:pic>
              </a:graphicData>
            </a:graphic>
          </wp:inline>
        </w:drawing>
      </w:r>
    </w:p>
    <w:p>
      <w:pPr>
        <w:pStyle w:val="Normal"/>
        <w:ind w:hanging="0"/>
        <w:jc w:val="center"/>
        <w:rPr>
          <w:lang w:val="en-US"/>
        </w:rPr>
      </w:pPr>
      <w:r>
        <w:rPr>
          <w:lang w:val="en-US"/>
        </w:rPr>
        <w:t xml:space="preserve">Figure 1s.6.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lang w:val="en-US"/>
        </w:rPr>
      </w:r>
    </w:p>
    <w:p>
      <w:pPr>
        <w:pStyle w:val="Normal"/>
        <w:rPr>
          <w:color w:val="000000"/>
          <w:lang w:val="en-US"/>
        </w:rPr>
      </w:pPr>
      <w:r>
        <w:rPr>
          <w:color w:val="000000"/>
          <w:lang w:val="en-US"/>
        </w:rPr>
        <w:t xml:space="preserve"> </w:t>
      </w:r>
      <w:r>
        <w:rPr>
          <w:b/>
          <w:bCs/>
          <w:color w:val="000000"/>
          <w:lang w:val="en-US"/>
        </w:rPr>
        <w:t>REFERENCES</w:t>
      </w:r>
    </w:p>
    <w:p>
      <w:pPr>
        <w:pStyle w:val="Normal"/>
        <w:numPr>
          <w:ilvl w:val="0"/>
          <w:numId w:val="5"/>
        </w:numPr>
        <w:tabs>
          <w:tab w:val="center" w:pos="218" w:leader="none"/>
        </w:tabs>
        <w:spacing w:before="0" w:after="57"/>
        <w:ind w:left="0" w:firstLine="283"/>
        <w:rPr>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13"/>
          <w:rFonts w:eastAsia="Times New Roman" w:cs="Times New Roman" w:ascii="FreeSerif" w:hAnsi="FreeSerif"/>
          <w:i w:val="false"/>
          <w:iCs w:val="false"/>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13"/>
          <w:rFonts w:eastAsia="Times New Roman" w:cs="Times New Roman" w:ascii="FreeSerif" w:hAnsi="FreeSerif"/>
          <w:i w:val="false"/>
          <w:iCs w:val="false"/>
          <w:highlight w:val="green"/>
          <w:lang w:val="en-US"/>
        </w:rPr>
        <w:t>(c) J.A. Nelder and R. Mead, Computer Journal, 1965, vol 7, pp 308—313, doi:10.1093/comjnl/7.4.308</w:t>
      </w:r>
    </w:p>
    <w:p>
      <w:pPr>
        <w:pStyle w:val="Normal"/>
        <w:numPr>
          <w:ilvl w:val="0"/>
          <w:numId w:val="5"/>
        </w:numPr>
        <w:tabs>
          <w:tab w:val="center" w:pos="218" w:leader="none"/>
        </w:tabs>
        <w:spacing w:before="0" w:after="57"/>
        <w:ind w:left="0" w:firstLine="283"/>
        <w:rPr>
          <w:lang w:val="en-US"/>
        </w:rPr>
      </w:pPr>
      <w:r>
        <w:rPr>
          <w:lang w:val="en-US"/>
        </w:rPr>
        <w:t>(9) (a) Williams, T. and Kelley, C. (2011). Gnuplot 4.5: an interactive plotting program. URL http://gnuplot.info. (Last accessed: 2011 June 7) (b) R Core Team (2017). R: A language and environment for statistical computing. R Foundation for Statistical / Computing, Vienna, Austria. URL https://www.R-project.org/</w:t>
      </w:r>
    </w:p>
    <w:p>
      <w:pPr>
        <w:pStyle w:val="Normal"/>
        <w:ind w:hanging="0"/>
        <w:jc w:val="center"/>
        <w:rPr>
          <w:lang w:val="en-US"/>
        </w:rPr>
      </w:pPr>
      <w:r>
        <w:rPr>
          <w:lang w:val="en-US"/>
        </w:rPr>
      </w:r>
    </w:p>
    <w:p>
      <w:pPr>
        <w:pStyle w:val="Normal"/>
        <w:spacing w:before="113" w:after="0"/>
        <w:jc w:val="right"/>
        <w:rPr>
          <w:lang w:val="en-US"/>
        </w:rPr>
      </w:pPr>
      <w:r>
        <w:rPr>
          <w:lang w:val="en-US"/>
        </w:rPr>
      </w:r>
    </w:p>
    <w:p>
      <w:pPr>
        <w:pStyle w:val="Normal"/>
        <w:ind w:hanging="0"/>
        <w:jc w:val="center"/>
        <w:rPr>
          <w:b/>
          <w:b/>
          <w:bCs/>
          <w:lang w:val="en-US"/>
        </w:rPr>
      </w:pPr>
      <w:r>
        <w:rPr>
          <w:b/>
          <w:bCs/>
          <w:lang w:val="en-US"/>
        </w:rPr>
      </w:r>
      <w:r>
        <w:br w:type="page"/>
      </w:r>
    </w:p>
    <w:p>
      <w:pPr>
        <w:pStyle w:val="Normal"/>
        <w:ind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2s. GC-MS spectra of the decomposition products of diazonium salts studied</w:t>
      </w:r>
    </w:p>
    <w:p>
      <w:pPr>
        <w:pStyle w:val="Normal"/>
        <w:tabs>
          <w:tab w:val="left" w:pos="0" w:leader="none"/>
        </w:tabs>
        <w:ind w:hanging="0"/>
        <w:jc w:val="center"/>
        <w:rPr>
          <w:lang w:val="en-US"/>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15. The decomposition products of DS </w:t>
      </w:r>
      <w:r>
        <w:rPr>
          <w:b/>
          <w:lang w:val="en-US"/>
        </w:rPr>
        <w:t>1a</w:t>
      </w:r>
      <w:r>
        <w:rPr>
          <w:lang w:val="en-US"/>
        </w:rPr>
        <w:t xml:space="preserve"> according to GC-MS data. </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3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16.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3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17.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18.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t xml:space="preserve">Figure 19.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hanging="0"/>
        <w:jc w:val="center"/>
        <w:rPr>
          <w:lang w:val="en-US"/>
        </w:rPr>
      </w:pPr>
      <w:r>
        <w:rPr>
          <w:lang w:val="en-US"/>
        </w:rPr>
        <w:t xml:space="preserve">Figure 20.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Normal"/>
        <w:tabs>
          <w:tab w:val="left" w:pos="0" w:leader="none"/>
        </w:tabs>
        <w:spacing w:before="0" w:after="113"/>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21.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1"/>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hanging="0"/>
        <w:jc w:val="center"/>
        <w:rPr>
          <w:lang w:val="en-US"/>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42"/>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22.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23. The major product of decomposition of DS </w:t>
      </w:r>
      <w:r>
        <w:rPr>
          <w:b/>
          <w:lang w:val="en-US"/>
        </w:rPr>
        <w:t>1d</w:t>
      </w:r>
      <w:r>
        <w:rPr>
          <w:lang w:val="en-US"/>
        </w:rPr>
        <w:t xml:space="preserve"> according to GC-MS data. Fragmentation pattern corresponds to 3-CH</w:t>
      </w:r>
      <w:r>
        <w:rPr>
          <w:vertAlign w:val="subscript"/>
          <w:lang w:val="en-US"/>
        </w:rPr>
        <w:t>3</w:t>
      </w:r>
      <w:r>
        <w:rPr>
          <w:lang w:val="en-US"/>
        </w:rPr>
        <w:t>O-C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256, 123, 69, 52.</w:t>
      </w:r>
    </w:p>
    <w:p>
      <w:pPr>
        <w:pStyle w:val="Normal"/>
        <w:tabs>
          <w:tab w:val="left" w:pos="0" w:leader="none"/>
        </w:tabs>
        <w:ind w:hanging="0"/>
        <w:jc w:val="center"/>
        <w:rPr>
          <w:lang w:val="en-US"/>
        </w:rPr>
      </w:pPr>
      <w:r>
        <w:rPr>
          <w:lang w:val="en-US"/>
        </w:rPr>
      </w:r>
    </w:p>
    <w:p>
      <w:pPr>
        <w:pStyle w:val="Normal"/>
        <w:rPr>
          <w:lang w:val="en-US"/>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24. The major products of decomposition of DS </w:t>
      </w:r>
      <w:r>
        <w:rPr>
          <w:b/>
          <w:lang w:val="en-US"/>
        </w:rPr>
        <w:t>2</w:t>
      </w:r>
      <w:r>
        <w:rPr>
          <w:lang w:val="en-US"/>
        </w:rPr>
        <w:t xml:space="preserve"> according to GC-MS data. Fragmentation patterns correspond to nitrobenzene M/Z: 123, 77, 51 and 1-iodo-4-nitrobenzene M/Z: 249, 203, 76, 50.</w:t>
      </w:r>
    </w:p>
    <w:p>
      <w:pPr>
        <w:pStyle w:val="Normal"/>
        <w:tabs>
          <w:tab w:val="left" w:pos="0" w:leader="none"/>
        </w:tabs>
        <w:ind w:hanging="0"/>
        <w:rPr>
          <w:lang w:val="en-US"/>
        </w:rPr>
      </w:pPr>
      <w:r>
        <w:rPr>
          <w:lang w:val="en-US"/>
        </w:rPr>
      </w:r>
    </w:p>
    <w:p>
      <w:pPr>
        <w:pStyle w:val="Normal"/>
        <w:rPr>
          <w:lang w:val="en-US"/>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25.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Normal"/>
        <w:tabs>
          <w:tab w:val="left" w:pos="225" w:leader="none"/>
          <w:tab w:val="left" w:pos="510" w:leader="none"/>
        </w:tabs>
        <w:spacing w:before="0" w:after="113"/>
        <w:ind w:hanging="0"/>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3s. LS-MS spectra of the decomposition products of diazonium salts studied</w:t>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Style20"/>
        <w:rPr/>
      </w:pPr>
      <w:r>
        <w:rPr>
          <w:lang w:val="en-US"/>
        </w:rPr>
        <w:t xml:space="preserve">The acquired LS-MS spectra can be found in </w:t>
      </w:r>
      <w:r>
        <w:rPr>
          <w:i/>
          <w:iCs/>
          <w:u w:val="single"/>
          <w:lang w:val="en-US"/>
        </w:rPr>
        <w:t>Supporting/LC-MS</w:t>
      </w:r>
      <w:r>
        <w:rPr>
          <w:lang w:val="en-US"/>
        </w:rPr>
        <w:t>. To view and analyze the data the free OpenMS software can be used (</w:t>
      </w:r>
      <w:hyperlink r:id="rId48">
        <w:r>
          <w:rPr>
            <w:rStyle w:val="Style13"/>
            <w:lang w:val="en-US"/>
          </w:rPr>
          <w:t>https://www.openms.de/</w:t>
        </w:r>
      </w:hyperlink>
      <w:r>
        <w:rPr>
          <w:lang w:val="en-US"/>
        </w:rPr>
        <w:t>).</w:t>
      </w:r>
    </w:p>
    <w:p>
      <w:pPr>
        <w:pStyle w:val="Style20"/>
        <w:rPr>
          <w:lang w:val="en-US"/>
        </w:rPr>
      </w:pPr>
      <w:r>
        <w:rPr>
          <w:lang w:val="en-US"/>
        </w:rPr>
      </w:r>
    </w:p>
    <w:p>
      <w:pPr>
        <w:pStyle w:val="Normal"/>
        <w:tabs>
          <w:tab w:val="left" w:pos="0" w:leader="none"/>
        </w:tabs>
        <w:ind w:hanging="0"/>
        <w:jc w:val="center"/>
        <w:rPr>
          <w:b/>
          <w:b/>
          <w:bCs/>
          <w:lang w:val="en-US"/>
        </w:rPr>
      </w:pPr>
      <w:r>
        <w:rPr>
          <w:b/>
          <w:bCs/>
          <w:lang w:val="en-US"/>
        </w:rPr>
        <w:t>Supporting 4s. Results of quantum-chemical calculations</w:t>
      </w:r>
    </w:p>
    <w:p>
      <w:pPr>
        <w:pStyle w:val="Normal"/>
        <w:tabs>
          <w:tab w:val="left" w:pos="0" w:leader="none"/>
        </w:tabs>
        <w:ind w:hanging="0"/>
        <w:jc w:val="center"/>
        <w:rPr>
          <w:b/>
          <w:b/>
          <w:bCs/>
          <w:lang w:val="en-US"/>
        </w:rPr>
      </w:pPr>
      <w:r>
        <w:rPr>
          <w:b/>
          <w:bCs/>
          <w:lang w:val="en-US"/>
        </w:rPr>
      </w:r>
    </w:p>
    <w:p>
      <w:pPr>
        <w:pStyle w:val="Normal"/>
        <w:tabs>
          <w:tab w:val="left" w:pos="225" w:leader="none"/>
          <w:tab w:val="left" w:pos="510" w:leader="none"/>
        </w:tabs>
        <w:spacing w:before="0" w:after="113"/>
        <w:rPr>
          <w:lang w:val="en-US"/>
        </w:rPr>
      </w:pPr>
      <w:r>
        <w:rPr>
          <w:lang w:val="en-US"/>
        </w:rPr>
        <w:t xml:space="preserve">The .out files for quantum chemical calculations can be found in </w:t>
      </w:r>
      <w:r>
        <w:rPr>
          <w:i/>
          <w:iCs/>
          <w:u w:val="single"/>
          <w:lang w:val="en-US"/>
        </w:rPr>
        <w:t>Supporting/Quant/Out</w:t>
      </w:r>
      <w:r>
        <w:rPr>
          <w:lang w:val="en-US"/>
        </w:rPr>
        <w:t xml:space="preserve">. The files containing structures with optimized geometries are given in </w:t>
      </w:r>
      <w:r>
        <w:rPr>
          <w:i/>
          <w:iCs/>
          <w:u w:val="single"/>
          <w:lang w:val="en-US"/>
        </w:rPr>
        <w:t>Supporting/Quant/Mol</w:t>
      </w:r>
      <w:r>
        <w:rPr>
          <w:lang w:val="en-US"/>
        </w:rPr>
        <w:t>.</w:t>
      </w:r>
    </w:p>
    <w:p>
      <w:pPr>
        <w:pStyle w:val="Normal"/>
        <w:tabs>
          <w:tab w:val="left" w:pos="225" w:leader="none"/>
          <w:tab w:val="left" w:pos="510" w:leader="none"/>
        </w:tabs>
        <w:spacing w:before="0" w:after="113"/>
        <w:ind w:left="1230" w:hanging="0"/>
        <w:rPr>
          <w:lang w:val="en-US"/>
        </w:rPr>
      </w:pPr>
      <w:r>
        <w:rPr>
          <w:lang w:val="en-US"/>
        </w:rPr>
      </w:r>
    </w:p>
    <w:p>
      <w:pPr>
        <w:pStyle w:val="Normal"/>
        <w:tabs>
          <w:tab w:val="center" w:pos="218" w:leader="none"/>
        </w:tabs>
        <w:spacing w:before="227" w:after="227"/>
        <w:ind w:left="1230" w:right="624" w:hanging="0"/>
        <w:rPr/>
      </w:pPr>
      <w:r>
        <w:rPr/>
      </w:r>
    </w:p>
    <w:sectPr>
      <w:headerReference w:type="default" r:id="rId49"/>
      <w:footerReference w:type="default" r:id="rId50"/>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Ксения Станкевич" w:date="2019-03-23T17:17:00Z" w:initials="КС">
    <w:p>
      <w:r>
        <w:rPr>
          <w:rFonts w:eastAsia="DejaVu Sans" w:cs="DejaVu Sans"/>
          <w:color w:val="00000A"/>
          <w:lang w:val="en-US" w:eastAsia="en-US" w:bidi="en-US"/>
        </w:rPr>
        <w:t>Was it Aldrich or Sigma or Merk? I know its kinda complicated now)</w:t>
      </w:r>
    </w:p>
  </w:comment>
  <w:comment w:id="1" w:author="Александр Александрович Бондарев" w:date="2019-04-03T16:10:14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17:17): "..."</w:t>
      </w:r>
    </w:p>
    <w:p>
      <w:r>
        <w:rPr>
          <w:rFonts w:eastAsia="DejaVu Sans" w:cs="DejaVu Sans"/>
          <w:color w:val="00000A"/>
          <w:sz w:val="20"/>
          <w:lang w:val="en-US" w:eastAsia="ru-RU" w:bidi="ar-SA"/>
        </w:rPr>
        <w:t xml:space="preserve">Не знаю как правильно? </w:t>
      </w:r>
    </w:p>
  </w:comment>
  <w:comment w:id="2" w:author="Ксения Станкевич" w:date="2019-03-23T17:17:00Z" w:initials="КС">
    <w:p>
      <w:r>
        <w:rPr>
          <w:rFonts w:eastAsia="DejaVu Sans" w:cs="DejaVu Sans"/>
          <w:color w:val="00000A"/>
          <w:lang w:val="en-US" w:eastAsia="en-US" w:bidi="en-US"/>
        </w:rPr>
        <w:t>I have added figure caption</w:t>
      </w:r>
    </w:p>
  </w:comment>
  <w:comment w:id="3" w:author="Александр Александрович Бондарев" w:date="2019-04-03T16:11:01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17:17): "..."</w:t>
      </w:r>
    </w:p>
    <w:p>
      <w:r>
        <w:rPr>
          <w:rFonts w:eastAsia="DejaVu Sans" w:cs="DejaVu Sans"/>
          <w:color w:val="00000A"/>
          <w:sz w:val="20"/>
          <w:lang w:val="en-US" w:eastAsia="ru-RU" w:bidi="ar-SA"/>
        </w:rPr>
        <w:t>Спасибо</w:t>
      </w:r>
    </w:p>
  </w:comment>
  <w:comment w:id="4" w:author="Ксения Станкевич" w:date="2019-03-23T16:59:00Z" w:initials="КС">
    <w:p>
      <w:r>
        <w:rPr>
          <w:rFonts w:eastAsia="DejaVu Sans" w:cs="DejaVu Sans"/>
          <w:color w:val="00000A"/>
          <w:lang w:val="en-US" w:eastAsia="en-US" w:bidi="en-US"/>
        </w:rPr>
        <w:t>I suggest to mention the following parameters:</w:t>
      </w:r>
    </w:p>
    <w:p>
      <w:r>
        <w:rPr>
          <w:rFonts w:eastAsia="DejaVu Sans" w:cs="DejaVu Sans"/>
          <w:color w:val="auto"/>
          <w:lang w:val="en-US" w:eastAsia="en-US" w:bidi="en-US"/>
        </w:rPr>
      </w:r>
    </w:p>
    <w:p>
      <w:r>
        <w:rPr>
          <w:rFonts w:ascii="TimesNewRoman" w:hAnsi="TimesNewRoman" w:eastAsia="DejaVu Sans" w:cs="DejaVu Sans"/>
          <w:color w:val="00000A"/>
          <w:sz w:val="22"/>
          <w:szCs w:val="22"/>
          <w:lang w:val="en-US" w:eastAsia="en-US" w:bidi="en-US"/>
        </w:rPr>
        <w:t xml:space="preserve">a heating rate </w:t>
      </w:r>
    </w:p>
    <w:p>
      <w:r>
        <w:rPr>
          <w:rFonts w:eastAsia="DejaVu Sans" w:cs="DejaVu Sans"/>
          <w:color w:val="00000A"/>
          <w:lang w:val="en-US" w:eastAsia="en-US" w:bidi="en-US"/>
        </w:rPr>
        <w:t>temperature range</w:t>
      </w:r>
    </w:p>
    <w:p>
      <w:r>
        <w:rPr>
          <w:rFonts w:eastAsia="DejaVu Sans" w:cs="DejaVu Sans"/>
          <w:color w:val="00000A"/>
          <w:lang w:val="en-US" w:eastAsia="en-US" w:bidi="en-US"/>
        </w:rPr>
        <w:t>gas purge flow</w:t>
      </w:r>
    </w:p>
  </w:comment>
  <w:comment w:id="5" w:author="Александр Александрович Бондарев" w:date="2019-04-03T14:53:39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16:59): "..."</w:t>
      </w:r>
    </w:p>
    <w:p>
      <w:r>
        <w:rPr>
          <w:rFonts w:eastAsia="DejaVu Sans" w:cs="DejaVu Sans"/>
          <w:color w:val="00000A"/>
          <w:sz w:val="20"/>
          <w:lang w:val="en-US" w:eastAsia="ru-RU" w:bidi="ar-SA"/>
        </w:rPr>
        <w:t>Постараюсь выяснить условия DSC/TGA.</w:t>
      </w:r>
    </w:p>
  </w:comment>
  <w:comment w:id="6" w:author="Ксения Станкевич" w:date="2019-03-23T17:14:00Z" w:initials="КС">
    <w:p>
      <w:r>
        <w:rPr>
          <w:rFonts w:eastAsia="DejaVu Sans" w:cs="DejaVu Sans"/>
          <w:color w:val="00000A"/>
          <w:lang w:val="en-US" w:eastAsia="en-US" w:bidi="en-US"/>
        </w:rPr>
        <w:t>Am I right that you evacuate he beaker that is placed into the ampoule?</w:t>
      </w:r>
    </w:p>
  </w:comment>
  <w:comment w:id="7" w:author="Александр Александрович Бондарев" w:date="2019-04-03T14:22:31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17:14): "..."</w:t>
      </w:r>
    </w:p>
    <w:p>
      <w:r>
        <w:rPr>
          <w:rFonts w:eastAsia="DejaVu Sans" w:cs="DejaVu Sans"/>
          <w:color w:val="00000A"/>
          <w:sz w:val="20"/>
          <w:lang w:val="en-US" w:eastAsia="ru-RU" w:bidi="ar-SA"/>
        </w:rPr>
        <w:t xml:space="preserve">Заменил beaker на ampoule. Вакууммировалось и заполнялось все вместе. </w:t>
      </w:r>
    </w:p>
  </w:comment>
  <w:comment w:id="8" w:author="Ксения Станкевич" w:date="2019-03-23T17:14:00Z" w:initials="КС">
    <w:p>
      <w:r>
        <w:rPr>
          <w:rFonts w:eastAsia="DejaVu Sans" w:cs="DejaVu Sans"/>
          <w:color w:val="00000A"/>
          <w:lang w:val="en-US" w:eastAsia="en-US" w:bidi="en-US"/>
        </w:rPr>
        <w:t xml:space="preserve">I have found the full text of the paper you referring to, so I am not entirely sure if I am correct here. </w:t>
      </w:r>
    </w:p>
    <w:p>
      <w:r>
        <w:rPr>
          <w:rFonts w:eastAsia="DejaVu Sans" w:cs="DejaVu Sans"/>
          <w:color w:val="auto"/>
          <w:lang w:val="en-US" w:eastAsia="en-US" w:bidi="en-US"/>
        </w:rPr>
      </w:r>
    </w:p>
  </w:comment>
  <w:comment w:id="9" w:author="Александр Александрович Бондарев" w:date="2019-04-03T14:55:14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17:14): "..."</w:t>
      </w:r>
    </w:p>
    <w:p>
      <w:r>
        <w:rPr>
          <w:rFonts w:eastAsia="DejaVu Sans" w:cs="DejaVu Sans"/>
          <w:color w:val="00000A"/>
          <w:sz w:val="20"/>
          <w:lang w:val="en-US" w:eastAsia="ru-RU" w:bidi="ar-SA"/>
        </w:rPr>
        <w:t>Мы выкинули ценные ссылки из списка литературы, где применяли аналогичный подход, теперь я их вернул. Сгладил формулировку.</w:t>
      </w:r>
    </w:p>
  </w:comment>
  <w:comment w:id="10" w:author="Ксения Станкевич" w:date="2019-03-23T17:08:00Z" w:initials="КС">
    <w:p>
      <w:r>
        <w:rPr>
          <w:rFonts w:eastAsia="DejaVu Sans" w:cs="DejaVu Sans"/>
          <w:color w:val="00000A"/>
          <w:lang w:val="en-US" w:eastAsia="en-US" w:bidi="en-US"/>
        </w:rPr>
        <w:t>Are those the parameters of ESI or APCI? Did you use both sources for your experiments?</w:t>
      </w:r>
    </w:p>
    <w:p>
      <w:r>
        <w:rPr>
          <w:rFonts w:eastAsia="DejaVu Sans" w:cs="DejaVu Sans"/>
          <w:color w:val="00000A"/>
          <w:lang w:val="en-US" w:eastAsia="en-US" w:bidi="en-US"/>
        </w:rPr>
        <w:t>What is “fragmentor”? Is it like the part of the device where compound is ionized?</w:t>
      </w:r>
    </w:p>
  </w:comment>
  <w:comment w:id="11" w:author="Александр Александрович Бондарев" w:date="2019-04-03T14:52:37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ru-RU" w:eastAsia="ru-RU"/>
        </w:rPr>
        <w:t>Ответ на Ксения Станкевич (23.03.2019, 17:08): "..."</w:t>
      </w:r>
    </w:p>
    <w:p>
      <w:r>
        <w:rPr>
          <w:rFonts w:eastAsia="DejaVu Sans" w:cs="DejaVu Sans"/>
          <w:color w:val="00000A"/>
          <w:sz w:val="20"/>
          <w:lang w:val="ru-RU" w:eastAsia="ru-RU" w:bidi="ar-SA"/>
        </w:rPr>
        <w:t>Добавил более полное описание. Фрагментор — часть прибора после вакуумного капиляра.</w:t>
      </w:r>
    </w:p>
  </w:comment>
  <w:comment w:id="12" w:author="Ксения Станкевич" w:date="2019-03-23T18:03:00Z" w:initials="КС">
    <w:p>
      <w:r>
        <w:rPr>
          <w:rFonts w:eastAsia="DejaVu Sans" w:cs="DejaVu Sans"/>
          <w:color w:val="00000A"/>
          <w:lang w:val="en-US" w:eastAsia="en-US" w:bidi="en-US"/>
        </w:rPr>
        <w:t>Is it correct?</w:t>
      </w:r>
    </w:p>
  </w:comment>
  <w:comment w:id="13" w:author="Ксения Станкевич" w:date="2019-03-23T18:02:00Z" w:initials="КС">
    <w:p>
      <w:r>
        <w:rPr>
          <w:rFonts w:eastAsia="DejaVu Sans" w:cs="DejaVu Sans"/>
          <w:color w:val="00000A"/>
          <w:lang w:val="en-US" w:eastAsia="en-US" w:bidi="en-US"/>
        </w:rPr>
        <w:t xml:space="preserve">You haven’t mentioned those temperatures in above passages. Is it temperatures used for decomposition products study? </w:t>
      </w:r>
    </w:p>
  </w:comment>
  <w:comment w:id="14" w:author="Александр Александрович Бондарев" w:date="2019-04-03T14:35:47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18:02): "..."</w:t>
      </w:r>
    </w:p>
    <w:p>
      <w:r>
        <w:rPr>
          <w:rFonts w:eastAsia="DejaVu Sans" w:cs="DejaVu Sans"/>
          <w:color w:val="00000A"/>
          <w:sz w:val="20"/>
          <w:lang w:val="en-US" w:eastAsia="ru-RU" w:bidi="ar-SA"/>
        </w:rPr>
        <w:t>Спасибо! Да добавил эти температуры в описание методики.</w:t>
      </w:r>
    </w:p>
  </w:comment>
  <w:comment w:id="15" w:author="Александр Александрович Бондарев" w:date="2019-04-03T13:25:08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более корректно</w:t>
      </w:r>
    </w:p>
  </w:comment>
  <w:comment w:id="16" w:author="Александр Александрович Бондарев" w:date="2019-04-03T13:23:3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Более точное значение</w:t>
      </w:r>
    </w:p>
  </w:comment>
  <w:comment w:id="17" w:author="Ксения Станкевич" w:date="2019-03-25T21:22:00Z" w:initials="КС">
    <w:p>
      <w:r>
        <w:rPr>
          <w:rFonts w:eastAsia="DejaVu Sans" w:cs="DejaVu Sans"/>
          <w:color w:val="00000A"/>
          <w:lang w:val="en-US" w:eastAsia="en-US" w:bidi="en-US"/>
        </w:rPr>
        <w:t>What did you mean by that?</w:t>
      </w:r>
    </w:p>
  </w:comment>
  <w:comment w:id="18" w:author="Александр Александрович Бондарев" w:date="2019-04-03T14:01:13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(25.03.2019, 21:22): "..."</w:t>
      </w:r>
    </w:p>
    <w:p>
      <w:r>
        <w:rPr>
          <w:rFonts w:eastAsia="DejaVu Sans" w:cs="DejaVu Sans"/>
          <w:color w:val="00000A"/>
          <w:sz w:val="20"/>
          <w:lang w:val="en-US" w:eastAsia="ru-RU" w:bidi="ar-SA"/>
        </w:rPr>
        <w:t>Имеются ввиду как минимум два механизма нуклеофильного замещения и образование бензин производного (схемы 2 и 3). Немного исправил текст.</w:t>
      </w:r>
    </w:p>
  </w:comment>
  <w:comment w:id="19" w:author="&lt;анонимный&gt;" w:date="2019-04-03T23:49:12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Убрал отрицательное значение.</w:t>
      </w:r>
    </w:p>
  </w:comment>
  <w:comment w:id="20" w:author="Ксения Станкевич" w:date="2019-03-27T09:33:00Z" w:initials="КС">
    <w:p>
      <w:r>
        <w:rPr>
          <w:rFonts w:eastAsia="DejaVu Sans" w:cs="DejaVu Sans"/>
          <w:color w:val="00000A"/>
          <w:lang w:val="en-US" w:eastAsia="en-US" w:bidi="en-US"/>
        </w:rPr>
        <w:t>I suggest assigning different numbers to figures in Supporting and add S in front of it. It is very common to do that and most of the journals would eventually force you to arrange the data in that way</w:t>
      </w:r>
    </w:p>
  </w:comment>
  <w:comment w:id="21" w:author="Александр Александрович Бондарев" w:date="2019-04-03T13:27:46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(27.03.2019, 09:33): "..."</w:t>
      </w:r>
    </w:p>
    <w:p>
      <w:r>
        <w:rPr>
          <w:rFonts w:eastAsia="DejaVu Sans" w:cs="DejaVu Sans"/>
          <w:color w:val="00000A"/>
          <w:sz w:val="20"/>
          <w:lang w:val="en-US" w:eastAsia="ru-RU" w:bidi="ar-SA"/>
        </w:rPr>
        <w:t>Спасибо!</w:t>
      </w:r>
    </w:p>
  </w:comment>
  <w:comment w:id="22" w:author="Александр Александрович Бондарев" w:date="2019-04-03T13:43:15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Убрал нумерацию</w:t>
      </w:r>
    </w:p>
  </w:comment>
  <w:comment w:id="23" w:author="Ксения Станкевич" w:date="2019-03-26T17:38:00Z" w:initials="КС">
    <w:p>
      <w:r>
        <w:rPr>
          <w:rFonts w:eastAsia="DejaVu Sans" w:cs="DejaVu Sans"/>
          <w:color w:val="00000A"/>
          <w:lang w:val="en-US" w:eastAsia="en-US" w:bidi="en-US"/>
        </w:rPr>
        <w:t>I would assign this as Scheme not an equation since you are providing mechanism</w:t>
      </w:r>
    </w:p>
  </w:comment>
  <w:comment w:id="24" w:author="Александр Александрович Бондарев" w:date="2019-04-03T13:28:51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(26.03.2019, 17:38): "..."</w:t>
      </w:r>
    </w:p>
    <w:p>
      <w:r>
        <w:rPr>
          <w:rFonts w:eastAsia="DejaVu Sans" w:cs="DejaVu Sans"/>
          <w:color w:val="00000A"/>
          <w:sz w:val="20"/>
          <w:lang w:val="en-US" w:eastAsia="ru-RU" w:bidi="ar-SA"/>
        </w:rPr>
        <w:t>Спасибо Ксения! Так действительно более корректно.</w:t>
      </w:r>
    </w:p>
  </w:comment>
  <w:comment w:id="25" w:author="Александр Александрович Бондарев" w:date="2019-04-03T13:33:42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Уточнил</w:t>
      </w:r>
    </w:p>
  </w:comment>
  <w:comment w:id="26" w:author="Александр Александрович Бондарев" w:date="2019-04-03T13:40:4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Рисунок исправил, добавил обозначение для интермедиата</w:t>
      </w:r>
    </w:p>
  </w:comment>
  <w:comment w:id="27" w:author="Ксения Станкевич" w:date="2019-03-26T17:53:00Z" w:initials="КС">
    <w:p>
      <w:r>
        <w:rPr>
          <w:rFonts w:eastAsia="DejaVu Sans" w:cs="DejaVu Sans"/>
          <w:color w:val="00000A"/>
          <w:lang w:val="en-US" w:eastAsia="en-US" w:bidi="en-US"/>
        </w:rPr>
        <w:t>Same is here. It may be useful to assign numbers to intermediate structures</w:t>
      </w:r>
    </w:p>
  </w:comment>
  <w:comment w:id="28" w:author="Александр Александрович Бондарев" w:date="2019-04-03T13:34:13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Уточнил</w:t>
      </w:r>
    </w:p>
  </w:comment>
  <w:comment w:id="29" w:author="Александр Александрович Бондарев" w:date="2019-04-03T13:52:14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Заменил equation на reaction</w:t>
      </w:r>
    </w:p>
  </w:comment>
  <w:comment w:id="30" w:author="&lt;анонимный&gt;" w:date="2019-04-03T22:42:22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Исправил номер схемы</w:t>
      </w:r>
    </w:p>
  </w:comment>
  <w:comment w:id="31" w:author="&lt;анонимный&gt;" w:date="2019-04-03T23:41:14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Добавил названия статей</w:t>
      </w:r>
    </w:p>
  </w:comment>
  <w:comment w:id="32" w:author="Александр Александрович Бондарев" w:date="2019-04-03T11:45:0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Добавлены ссылки на применение потоковой калориметрии для оценки стабильности высоко- энергетичных материалов.</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erif">
    <w:charset w:val="01"/>
    <w:family w:val="roman"/>
    <w:pitch w:val="variable"/>
  </w:font>
  <w:font w:name="Symbol">
    <w:charset w:val="01"/>
    <w:family w:val="roman"/>
    <w:pitch w:val="variable"/>
  </w:font>
  <w:font w:name="Free Times">
    <w:charset w:val="01"/>
    <w:family w:val="roman"/>
    <w:pitch w:val="variable"/>
  </w:font>
  <w:font w:name="FreeSans">
    <w:charset w:val="01"/>
    <w:family w:val="roman"/>
    <w:pitch w:val="variable"/>
  </w:font>
  <w:font w:name="TimesNew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24</w:t>
    </w:r>
    <w:r>
      <w:fldChar w:fldCharType="end"/>
    </w:r>
    <w:r>
      <w:rPr/>
      <w:t>/</w:t>
    </w:r>
    <w:r>
      <w:rPr/>
      <w:fldChar w:fldCharType="begin"/>
    </w:r>
    <w:r>
      <w:instrText> NUMPAGES </w:instrText>
    </w:r>
    <w:r>
      <w:fldChar w:fldCharType="separate"/>
    </w:r>
    <w:r>
      <w:t>35</w:t>
    </w:r>
    <w:r>
      <w:fldChar w:fldCharType="end"/>
    </w:r>
    <w:r>
      <w:rPr/>
      <w:t xml:space="preserve"> от </w:t>
    </w:r>
    <w:r>
      <w:rPr/>
      <w:fldChar w:fldCharType="begin"/>
    </w:r>
    <w:r>
      <w:instrText> DATE \@"dd\.MM\.yy" </w:instrText>
    </w:r>
    <w:r>
      <w:fldChar w:fldCharType="separate"/>
    </w:r>
    <w:r>
      <w:t>06.04.19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embedSystemFonts/>
  <w:defaultTabStop w:val="720"/>
  <w:autoHyphenation w:val="false"/>
  <w:compat>
    <w:compatSetting w:name="compatibilityMode" w:uri="http://schemas.microsoft.com/office/word" w:val="12"/>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12"/>
      <w:ind w:firstLine="39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19"/>
    <w:qFormat/>
    <w:pPr>
      <w:widowControl w:val="false"/>
      <w:numPr>
        <w:ilvl w:val="0"/>
        <w:numId w:val="1"/>
      </w:numPr>
      <w:bidi w:val="0"/>
      <w:spacing w:before="170" w:after="113"/>
      <w:jc w:val="left"/>
      <w:outlineLvl w:val="0"/>
      <w:outlineLvl w:val="0"/>
    </w:pPr>
    <w:rPr>
      <w:rFonts w:ascii="Times New Roman" w:hAnsi="Times New Roman" w:eastAsia="Times New Roman" w:cs="Times New Roman"/>
      <w:b/>
      <w:caps/>
      <w:color w:val="669900"/>
      <w:sz w:val="24"/>
      <w:szCs w:val="36"/>
      <w:lang w:val="ru-RU" w:eastAsia="ru-RU" w:bidi="ar-SA"/>
    </w:rPr>
  </w:style>
  <w:style w:type="paragraph" w:styleId="2">
    <w:name w:val="Heading 2"/>
    <w:basedOn w:val="Style19"/>
    <w:qFormat/>
    <w:pPr>
      <w:widowControl w:val="false"/>
      <w:numPr>
        <w:ilvl w:val="1"/>
        <w:numId w:val="1"/>
      </w:numPr>
      <w:bidi w:val="0"/>
      <w:spacing w:before="113" w:after="57"/>
      <w:ind w:firstLine="397"/>
      <w:jc w:val="left"/>
      <w:outlineLvl w:val="1"/>
      <w:outlineLvl w:val="1"/>
    </w:pPr>
    <w:rPr>
      <w:rFonts w:ascii="Times New Roman" w:hAnsi="Times New Roman" w:eastAsia="Times New Roman" w:cs="Times New Roman"/>
      <w:b/>
      <w:color w:val="00000A"/>
      <w:sz w:val="24"/>
      <w:szCs w:val="32"/>
      <w:lang w:val="ru-RU" w:eastAsia="ru-RU" w:bidi="ar-SA"/>
    </w:rPr>
  </w:style>
  <w:style w:type="paragraph" w:styleId="3">
    <w:name w:val="Heading 3"/>
    <w:basedOn w:val="Style19"/>
    <w:qFormat/>
    <w:pPr>
      <w:widowControl w:val="false"/>
      <w:numPr>
        <w:ilvl w:val="2"/>
        <w:numId w:val="1"/>
      </w:numPr>
      <w:bidi w:val="0"/>
      <w:spacing w:before="142" w:after="0"/>
      <w:ind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Annotationreference">
    <w:name w:val="annotation reference"/>
    <w:qFormat/>
    <w:rPr>
      <w:sz w:val="16"/>
    </w:rPr>
  </w:style>
  <w:style w:type="character" w:styleId="Style14" w:customStyle="1">
    <w:name w:val="Текст примечания Знак"/>
    <w:qFormat/>
    <w:rPr>
      <w:rFonts w:ascii="Liberation Serif" w:hAnsi="Liberation Serif" w:eastAsia="Mangal"/>
      <w:sz w:val="18"/>
      <w:lang w:eastAsia="hi-IN"/>
    </w:rPr>
  </w:style>
  <w:style w:type="character" w:styleId="Style15" w:customStyle="1">
    <w:name w:val="Тема примечания Знак"/>
    <w:qFormat/>
    <w:rPr>
      <w:rFonts w:ascii="Liberation Serif" w:hAnsi="Liberation Serif" w:eastAsia="Mangal"/>
      <w:b/>
      <w:sz w:val="18"/>
      <w:lang w:eastAsia="hi-IN"/>
    </w:rPr>
  </w:style>
  <w:style w:type="character" w:styleId="Style16" w:customStyle="1">
    <w:name w:val="Посещённая гиперссылка"/>
    <w:rPr>
      <w:color w:val="800000"/>
      <w:u w:val="single"/>
    </w:rPr>
  </w:style>
  <w:style w:type="character" w:styleId="Style17" w:customStyle="1">
    <w:name w:val="Маркеры списка"/>
    <w:qFormat/>
    <w:rPr>
      <w:rFonts w:ascii="OpenSymbol" w:hAnsi="OpenSymbol" w:eastAsia="OpenSymbol" w:cs="OpenSymbol"/>
    </w:rPr>
  </w:style>
  <w:style w:type="character" w:styleId="ListLabel1" w:customStyle="1">
    <w:name w:val="ListLabel 1"/>
    <w:qFormat/>
    <w:rPr>
      <w:rFonts w:cs="Wingdings"/>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13" w:customStyle="1">
    <w:name w:val="Цитата1"/>
    <w:qFormat/>
    <w:rPr>
      <w:i/>
      <w:iCs/>
    </w:rPr>
  </w:style>
  <w:style w:type="character" w:styleId="ListLabel10" w:customStyle="1">
    <w:name w:val="ListLabel 10"/>
    <w:qFormat/>
    <w:rPr>
      <w:rFonts w:cs="Wingdings"/>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Wingdings"/>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Style18" w:customStyle="1">
    <w:name w:val="Верхний колонтитул Знак"/>
    <w:basedOn w:val="DefaultParagraphFont"/>
    <w:link w:val="af8"/>
    <w:uiPriority w:val="99"/>
    <w:qFormat/>
    <w:rsid w:val="007235e1"/>
    <w:rPr>
      <w:rFonts w:ascii="Liberation Serif" w:hAnsi="Liberation Serif" w:eastAsia="Noto Sans CJK SC Regular" w:cs="Mangal"/>
      <w:color w:val="00000A"/>
      <w:sz w:val="24"/>
      <w:szCs w:val="21"/>
      <w:lang w:eastAsia="zh-CN" w:bidi="hi-IN"/>
    </w:rPr>
  </w:style>
  <w:style w:type="character" w:styleId="ListLabel28">
    <w:name w:val="ListLabel 28"/>
    <w:qFormat/>
    <w:rPr>
      <w:rFonts w:cs="Wingdings"/>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Style19">
    <w:name w:val="Заголовок"/>
    <w:basedOn w:val="Normal"/>
    <w:next w:val="Style20"/>
    <w:qFormat/>
    <w:pPr>
      <w:keepNext/>
      <w:spacing w:before="240" w:after="120"/>
    </w:pPr>
    <w:rPr>
      <w:rFonts w:ascii="Liberation Sans" w:hAnsi="Liberation Sans" w:eastAsia="Noto Sans CJK SC DemiLight" w:cs="Free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rFonts w:cs="FreeSans"/>
    </w:rPr>
  </w:style>
  <w:style w:type="paragraph" w:styleId="14" w:customStyle="1">
    <w:name w:val="Заголовок1"/>
    <w:basedOn w:val="Normal"/>
    <w:qFormat/>
    <w:pPr>
      <w:keepNext/>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15" w:customStyle="1">
    <w:name w:val="Указатель1"/>
    <w:basedOn w:val="Normal"/>
    <w:qFormat/>
    <w:pPr>
      <w:suppressLineNumbers/>
    </w:pPr>
    <w:rPr/>
  </w:style>
  <w:style w:type="paragraph" w:styleId="22" w:customStyle="1">
    <w:name w:val="Указатель2"/>
    <w:basedOn w:val="Normal"/>
    <w:qFormat/>
    <w:pPr>
      <w:suppressLineNumbers/>
    </w:pPr>
    <w:rPr/>
  </w:style>
  <w:style w:type="paragraph" w:styleId="16" w:customStyle="1">
    <w:name w:val="Название объекта1"/>
    <w:basedOn w:val="Normal"/>
    <w:qFormat/>
    <w:pPr>
      <w:suppressLineNumbers/>
      <w:spacing w:before="120" w:after="120"/>
    </w:pPr>
    <w:rPr>
      <w:i/>
      <w:iCs/>
    </w:rPr>
  </w:style>
  <w:style w:type="paragraph" w:styleId="Style24" w:customStyle="1">
    <w:name w:val="Содержимое таблицы"/>
    <w:basedOn w:val="Normal"/>
    <w:qFormat/>
    <w:pPr>
      <w:suppressLineNumbers/>
    </w:pPr>
    <w:rPr/>
  </w:style>
  <w:style w:type="paragraph" w:styleId="Style25" w:customStyle="1">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7" w:customStyle="1">
    <w:name w:val="Текст выноски1"/>
    <w:basedOn w:val="Normal"/>
    <w:qFormat/>
    <w:pPr>
      <w:spacing w:lineRule="auto" w:line="240"/>
      <w:jc w:val="left"/>
    </w:pPr>
    <w:rPr>
      <w:rFonts w:ascii="Tahoma" w:hAnsi="Tahoma" w:eastAsia="Tahoma"/>
      <w:sz w:val="16"/>
    </w:rPr>
  </w:style>
  <w:style w:type="paragraph" w:styleId="Style27" w:customStyle="1">
    <w:name w:val="Блочная цитата"/>
    <w:basedOn w:val="Normal"/>
    <w:qFormat/>
    <w:pPr/>
    <w:rPr/>
  </w:style>
  <w:style w:type="paragraph" w:styleId="Style28">
    <w:name w:val="Title"/>
    <w:basedOn w:val="14"/>
    <w:qFormat/>
    <w:pPr/>
    <w:rPr/>
  </w:style>
  <w:style w:type="paragraph" w:styleId="Style29">
    <w:name w:val="Subtitle"/>
    <w:basedOn w:val="14"/>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ind w:firstLine="567"/>
    </w:pPr>
    <w:rPr>
      <w:rFonts w:eastAsia="FreeSans"/>
      <w:lang w:eastAsia="hi-IN"/>
    </w:rPr>
  </w:style>
  <w:style w:type="paragraph" w:styleId="Annotationtext">
    <w:name w:val="annotation text"/>
    <w:basedOn w:val="Normal"/>
    <w:qFormat/>
    <w:pPr>
      <w:spacing w:lineRule="auto" w:line="240"/>
      <w:ind w:firstLine="567"/>
    </w:pPr>
    <w:rPr>
      <w:rFonts w:eastAsia="FreeSans"/>
      <w:sz w:val="20"/>
      <w:lang w:eastAsia="hi-IN"/>
    </w:rPr>
  </w:style>
  <w:style w:type="paragraph" w:styleId="Annotationsubject">
    <w:name w:val="annotation subject"/>
    <w:qFormat/>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0">
    <w:name w:val="Header"/>
    <w:basedOn w:val="Normal"/>
    <w:link w:val="af9"/>
    <w:uiPriority w:val="99"/>
    <w:unhideWhenUsed/>
    <w:rsid w:val="007235e1"/>
    <w:pPr>
      <w:tabs>
        <w:tab w:val="center" w:pos="4677" w:leader="none"/>
        <w:tab w:val="right" w:pos="9355" w:leader="none"/>
      </w:tabs>
      <w:spacing w:lineRule="auto" w:line="240"/>
    </w:pPr>
    <w:rPr>
      <w:rFonts w:cs="Mangal"/>
      <w:szCs w:val="21"/>
    </w:rPr>
  </w:style>
  <w:style w:type="paragraph" w:styleId="NormalWeb">
    <w:name w:val="Normal (Web)"/>
    <w:basedOn w:val="Normal"/>
    <w:uiPriority w:val="99"/>
    <w:semiHidden/>
    <w:unhideWhenUsed/>
    <w:qFormat/>
    <w:rsid w:val="0061520e"/>
    <w:pPr>
      <w:suppressAutoHyphens w:val="false"/>
      <w:spacing w:lineRule="auto" w:line="240" w:beforeAutospacing="1" w:afterAutospacing="1"/>
      <w:ind w:hanging="0"/>
      <w:jc w:val="left"/>
    </w:pPr>
    <w:rPr>
      <w:rFonts w:ascii="Times New Roman" w:hAnsi="Times New Roman" w:eastAsia="Times New Roman" w:cs="Times New Roman"/>
      <w:color w:val="00000A"/>
      <w:lang w:eastAsia="ru-RU"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02/ejoc.201800887" TargetMode="External"/><Relationship Id="rId26" Type="http://schemas.openxmlformats.org/officeDocument/2006/relationships/hyperlink" Target="http://www.unece.org/trans/danger/danger.html" TargetMode="External"/><Relationship Id="rId27" Type="http://schemas.openxmlformats.org/officeDocument/2006/relationships/hyperlink" Target="https://www.R-project.org/" TargetMode="External"/><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png"/><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hyperlink" Target="https://www.openms.de/" TargetMode="External"/><Relationship Id="rId49" Type="http://schemas.openxmlformats.org/officeDocument/2006/relationships/header" Target="header1.xml"/><Relationship Id="rId50" Type="http://schemas.openxmlformats.org/officeDocument/2006/relationships/footer" Target="footer1.xml"/><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12296</TotalTime>
  <Application>LibreOffice/5.2.7.2$Linux_X86_64 LibreOffice_project/20m0$Build-2</Application>
  <Pages>17</Pages>
  <Words>7878</Words>
  <Characters>44649</Characters>
  <CharactersWithSpaces>52072</CharactersWithSpaces>
  <Paragraphs>569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
  <cp:lastPrinted>1900-12-31T17:00:00Z</cp:lastPrinted>
  <dcterms:modified xsi:type="dcterms:W3CDTF">2019-04-06T21:24:26Z</dcterms:modified>
  <cp:revision>178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