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ind w:firstLine="397"/>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pPr>
        <w:pStyle w:val="Normal"/>
        <w:numPr>
          <w:ilvl w:val="0"/>
          <w:numId w:val="3"/>
        </w:numPr>
        <w:ind w:left="0" w:firstLine="397"/>
        <w:rPr>
          <w:lang w:val="en-US"/>
        </w:rPr>
      </w:pPr>
      <w:r>
        <w:rPr>
          <w:rFonts w:eastAsia="Times New Roman" w:cs="Times New Roman"/>
          <w:lang w:val="en-US"/>
        </w:rPr>
        <w:t>Nevertheless, such disadvantages as a poor storage stability in solid state and a propensity to explosive decomposition upon heating, photoirradiation or mechanical stress [1a] limit the preparation and usage of DSs, especially, on an industrial scale.</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w:t>
      </w:r>
      <w:commentRangeStart w:id="0"/>
      <w:r>
        <w:rPr>
          <w:rFonts w:cs="Times New Roman" w:ascii="Times New Roman" w:hAnsi="Times New Roman"/>
          <w:highlight w:val="yellow"/>
          <w:lang w:val="en-US"/>
        </w:rPr>
        <w:t>Aldrich</w:t>
      </w:r>
      <w:r>
        <w:rPr>
          <w:rFonts w:cs="Times New Roman" w:ascii="Times New Roman" w:hAnsi="Times New Roman"/>
          <w:highlight w:val="yellow"/>
          <w:lang w:val="en-US"/>
        </w:rPr>
      </w:r>
      <w:commentRangeEnd w:id="0"/>
      <w:r>
        <w:commentReference w:id="0"/>
      </w:r>
      <w:r>
        <w:rPr>
          <w:rFonts w:cs="Times New Roman" w:ascii="Times New Roman" w:hAnsi="Times New Roman"/>
          <w:highlight w:val="yellow"/>
          <w:lang w:val="en-US"/>
        </w:rPr>
        <w:commentReference w:id="1"/>
      </w:r>
      <w:r>
        <w:rPr>
          <w:rFonts w:cs="Times New Roman" w:ascii="Times New Roman" w:hAnsi="Times New Roman"/>
          <w:lang w:val="en-US"/>
        </w:rPr>
        <w:t xml:space="preserve"> (CAS №</w:t>
      </w:r>
      <w:r>
        <w:rPr>
          <w:rFonts w:cs="Times New Roman" w:ascii="Times New Roman" w:hAnsi="Times New Roman"/>
          <w:highlight w:val="white"/>
          <w:lang w:val="en-US"/>
        </w:rPr>
        <w:t xml:space="preserve"> </w:t>
      </w:r>
      <w:r>
        <w:rPr>
          <w:rFonts w:cs="Times New Roman" w:ascii="Times New Roman" w:hAnsi="Times New Roman"/>
          <w:lang w:val="en-US"/>
        </w:rPr>
        <w:t>456-27-9).</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3"/>
        <w:gridCol w:w="785"/>
      </w:tblGrid>
      <w:tr>
        <w:trPr/>
        <w:tc>
          <w:tcPr>
            <w:tcW w:w="3400" w:type="dxa"/>
            <w:tcBorders/>
            <w:shd w:color="auto" w:fill="FFFFFF" w:val="clear"/>
          </w:tcPr>
          <w:p>
            <w:pPr>
              <w:pStyle w:val="Style24"/>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1a</w:t>
            </w:r>
          </w:p>
        </w:tc>
        <w:tc>
          <w:tcPr>
            <w:tcW w:w="4203" w:type="dxa"/>
            <w:tcBorders/>
            <w:shd w:color="auto" w:fill="FFFFFF" w:val="clear"/>
          </w:tcPr>
          <w:p>
            <w:pPr>
              <w:pStyle w:val="Style24"/>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1d</w:t>
            </w:r>
          </w:p>
        </w:tc>
      </w:tr>
      <w:tr>
        <w:trPr/>
        <w:tc>
          <w:tcPr>
            <w:tcW w:w="3400" w:type="dxa"/>
            <w:tcBorders/>
            <w:shd w:color="auto" w:fill="FFFFFF" w:val="clear"/>
          </w:tcPr>
          <w:p>
            <w:pPr>
              <w:pStyle w:val="Style24"/>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1b</w:t>
            </w:r>
          </w:p>
        </w:tc>
        <w:tc>
          <w:tcPr>
            <w:tcW w:w="4203" w:type="dxa"/>
            <w:tcBorders/>
            <w:shd w:color="auto" w:fill="FFFFFF" w:val="clear"/>
          </w:tcPr>
          <w:p>
            <w:pPr>
              <w:pStyle w:val="Style24"/>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2</w:t>
            </w:r>
          </w:p>
        </w:tc>
      </w:tr>
      <w:tr>
        <w:trPr/>
        <w:tc>
          <w:tcPr>
            <w:tcW w:w="3400" w:type="dxa"/>
            <w:tcBorders/>
            <w:shd w:color="auto" w:fill="FFFFFF" w:val="clear"/>
          </w:tcPr>
          <w:p>
            <w:pPr>
              <w:pStyle w:val="Style24"/>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1c</w:t>
            </w:r>
          </w:p>
        </w:tc>
        <w:tc>
          <w:tcPr>
            <w:tcW w:w="4203" w:type="dxa"/>
            <w:tcBorders/>
            <w:shd w:color="auto" w:fill="FFFFFF" w:val="clear"/>
          </w:tcPr>
          <w:p>
            <w:pPr>
              <w:pStyle w:val="Style24"/>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3</w:t>
            </w:r>
          </w:p>
        </w:tc>
      </w:tr>
    </w:tbl>
    <w:p>
      <w:pPr>
        <w:pStyle w:val="Normal"/>
        <w:numPr>
          <w:ilvl w:val="2"/>
          <w:numId w:val="3"/>
        </w:numPr>
        <w:rPr>
          <w:sz w:val="12"/>
          <w:szCs w:val="12"/>
          <w:highlight w:val="yellow"/>
          <w:lang w:val="en-US"/>
        </w:rPr>
      </w:pPr>
      <w:r>
        <w:rPr>
          <w:sz w:val="12"/>
          <w:szCs w:val="12"/>
          <w:highlight w:val="yellow"/>
          <w:lang w:val="en-US"/>
        </w:rPr>
      </w:r>
    </w:p>
    <w:p>
      <w:pPr>
        <w:pStyle w:val="Normal"/>
        <w:jc w:val="center"/>
        <w:rPr>
          <w:lang w:val="en-US"/>
        </w:rPr>
      </w:pPr>
      <w:commentRangeStart w:id="2"/>
      <w:r>
        <w:rPr>
          <w:highlight w:val="yellow"/>
          <w:lang w:val="en-US"/>
        </w:rPr>
        <w:t>Scheme 1.</w:t>
      </w:r>
      <w:r>
        <w:rPr>
          <w:lang w:val="en-US"/>
        </w:rPr>
        <w:t xml:space="preserve"> </w:t>
      </w:r>
      <w:r>
        <w:rPr>
          <w:lang w:val="en-US"/>
        </w:rPr>
      </w:r>
      <w:commentRangeEnd w:id="2"/>
      <w:r>
        <w:commentReference w:id="2"/>
      </w:r>
      <w:r>
        <w:rPr>
          <w:lang w:val="en-US"/>
        </w:rPr>
        <w:commentReference w:id="3"/>
      </w:r>
      <w:r>
        <w:rPr>
          <w:lang w:val="en-US"/>
        </w:rPr>
        <w:t xml:space="preserve">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pPr>
      <w:r>
        <w:rPr>
          <w:lang w:val="en-US"/>
        </w:rPr>
        <w:t xml:space="preserve">The DSC/TGA runs were made in argon atmosphere using open sample pans on Q600 SDT instrument (TA Instruments), </w:t>
      </w:r>
      <w:r>
        <w:rPr>
          <w:highlight w:val="green"/>
          <w:lang w:val="en-US"/>
        </w:rPr>
        <w:t>the heating rate of 5 degrees per minute, temperature range 20-600 °C, The typical sample size was 10 mg.</w:t>
      </w:r>
    </w:p>
    <w:p>
      <w:pPr>
        <w:pStyle w:val="Normal"/>
        <w:rPr/>
      </w:pPr>
      <w:r>
        <w:rPr>
          <w:lang w:val="en-US"/>
        </w:rPr>
        <w:t xml:space="preserve">Heat flow was measured under isothermal conditions in nitrogen atmosphere using TAM III microcalorimeter (TA Instruments). </w:t>
      </w:r>
      <w:bookmarkStart w:id="0" w:name="__DdeLink__3282_1754029866"/>
      <w:commentRangeStart w:id="4"/>
      <w:r>
        <w:rPr>
          <w:lang w:val="en-US"/>
        </w:rPr>
        <w:t>The typical sample size was 10 mg.</w:t>
      </w:r>
      <w:bookmarkEnd w:id="0"/>
      <w:r>
        <w:rPr>
          <w:lang w:val="en-US"/>
        </w:rPr>
        <w:t xml:space="preserve"> </w:t>
      </w:r>
      <w:r>
        <w:rPr>
          <w:lang w:val="en-US"/>
        </w:rPr>
      </w:r>
      <w:commentRangeEnd w:id="4"/>
      <w:r>
        <w:commentReference w:id="4"/>
      </w:r>
      <w:r>
        <w:rPr>
          <w:lang w:val="en-US"/>
        </w:rPr>
        <w:commentReference w:id="5"/>
      </w:r>
      <w:r>
        <w:rPr>
          <w:lang w:val="en-US"/>
        </w:rPr>
        <w:t xml:space="preserve">Sample was put in a glass beaker placed in a standard calorimeter ampoule made from </w:t>
      </w:r>
      <w:r>
        <w:rPr>
          <w:i/>
          <w:lang w:val="en-US"/>
        </w:rPr>
        <w:t>Hastelloy</w:t>
      </w:r>
      <w:r>
        <w:rPr>
          <w:lang w:val="en-US"/>
        </w:rPr>
        <w:t xml:space="preserve"> with a volume of 1 mL. </w:t>
      </w:r>
      <w:commentRangeStart w:id="6"/>
      <w:r>
        <w:rPr>
          <w:highlight w:val="yellow"/>
          <w:lang w:val="en-US"/>
        </w:rPr>
        <w:t xml:space="preserve">The </w:t>
      </w:r>
      <w:r>
        <w:rPr>
          <w:highlight w:val="green"/>
          <w:lang w:val="en-US"/>
        </w:rPr>
        <w:t>ampoule</w:t>
      </w:r>
      <w:r>
        <w:rPr>
          <w:lang w:val="en-US"/>
        </w:rPr>
        <w:t xml:space="preserve"> </w:t>
      </w:r>
      <w:r>
        <w:rPr>
          <w:lang w:val="en-US"/>
        </w:rPr>
      </w:r>
      <w:commentRangeEnd w:id="6"/>
      <w:r>
        <w:commentReference w:id="6"/>
      </w:r>
      <w:r>
        <w:rPr>
          <w:lang w:val="en-US"/>
        </w:rPr>
        <w:commentReference w:id="7"/>
      </w:r>
      <w:r>
        <w:rPr>
          <w:lang w:val="en-US"/>
        </w:rPr>
        <w:t xml:space="preserve">was evacuated and then purged with nitrogen, argon or air depending on experimental conditions. </w:t>
      </w:r>
      <w:r>
        <w:rPr>
          <w:highlight w:val="green"/>
          <w:lang w:val="en-US"/>
        </w:rPr>
        <w:t xml:space="preserve">The experiment on the study of heat flow in isothermal conditions was carried out at three temperatures 75, 80 and 85 °C, similar to the approach used in [8a-d] at a calorimetric study of the safety of energy materials. </w:t>
      </w:r>
      <w:r>
        <w:rPr>
          <w:i/>
          <w:iCs/>
          <w:highlight w:val="green"/>
          <w:lang w:val="en-US"/>
        </w:rPr>
        <w:t>(Эксперимент по изучению теплового потока в изотермических условиях проводился при трех температурах 75, 80 and 85 ° C, аналогично подходу применяемому в работах [8a-d] при калориметрическом исследовании безопасности высоко энергетических материалов.)</w:t>
      </w:r>
      <w:r>
        <w:rPr>
          <w:lang w:val="en-US"/>
        </w:rPr>
        <w:t xml:space="preserve"> The acquired experimental curves were approximated using the model of an autocatalytic process and the </w:t>
      </w:r>
      <w:commentRangeStart w:id="8"/>
      <w:r>
        <w:rPr>
          <w:highlight w:val="yellow"/>
          <w:lang w:val="en-US"/>
        </w:rPr>
        <w:t xml:space="preserve">Arrhenius </w:t>
      </w:r>
      <w:r>
        <w:rPr>
          <w:lang w:val="en-US"/>
        </w:rPr>
        <w:t>equation</w:t>
      </w:r>
      <w:r>
        <w:rPr>
          <w:lang w:val="en-US"/>
        </w:rPr>
      </w:r>
      <w:commentRangeEnd w:id="8"/>
      <w:r>
        <w:commentReference w:id="8"/>
      </w:r>
      <w:r>
        <w:rPr>
          <w:lang w:val="en-US"/>
        </w:rPr>
        <w:commentReference w:id="9"/>
      </w:r>
      <w:r>
        <w:rPr>
          <w:lang w:val="en-US"/>
        </w:rPr>
        <w:t>. The experimental data were processed using TAM Assistant Software v1.3.0.153. Gnuplot 4.5 [9a] and R Statistics v3.3.3 [9b] were used for mathematical processing, statistical analysis, and dependencies building.</w:t>
      </w:r>
    </w:p>
    <w:p>
      <w:pPr>
        <w:pStyle w:val="Normal"/>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w:t>
      </w:r>
      <w:r>
        <w:rPr>
          <w:highlight w:val="yellow"/>
          <w:lang w:val="en-US"/>
        </w:rPr>
        <w:t xml:space="preserve">. </w:t>
      </w:r>
      <w:r>
        <w:rPr>
          <w:highlight w:val="green"/>
          <w:lang w:val="en-US"/>
        </w:rPr>
        <w:t>The operating parameters of the ESI-QTOF-MS were: gas flow rate, 9 L/min (N</w:t>
      </w:r>
      <w:r>
        <w:rPr>
          <w:highlight w:val="green"/>
          <w:vertAlign w:val="subscript"/>
          <w:lang w:val="en-US"/>
        </w:rPr>
        <w:t>2</w:t>
      </w:r>
      <w:r>
        <w:rPr>
          <w:highlight w:val="green"/>
          <w:lang w:val="en-US"/>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highlight w:val="green"/>
          <w:vertAlign w:val="subscript"/>
          <w:lang w:val="en-US"/>
        </w:rPr>
        <w:t>2</w:t>
      </w:r>
      <w:r>
        <w:rPr>
          <w:highlight w:val="green"/>
          <w:lang w:val="en-US"/>
        </w:rPr>
        <w:t>); drying gas temperature, 300 °C; nebulizer, 35 psi; Vaporizer temperature, 400 °C; capillary, 3500 V; skimmer, 65 V; octopole RF voltage, 750 V; fragmentor, 150 V; eneggy of collision 20 eV.</w:t>
      </w:r>
      <w:commentRangeStart w:id="10"/>
      <w:r>
        <w:rPr>
          <w:highlight w:val="yellow"/>
        </w:rPr>
        <w:t xml:space="preserve"> </w:t>
      </w:r>
      <w:r>
        <w:rPr>
          <w:highlight w:val="yellow"/>
        </w:rPr>
      </w:r>
      <w:commentRangeEnd w:id="10"/>
      <w:r>
        <w:commentReference w:id="10"/>
      </w:r>
      <w:r>
        <w:rPr>
          <w:highlight w:val="yellow"/>
        </w:rPr>
        <w:commentReference w:id="11"/>
      </w:r>
      <w:r>
        <w:rPr/>
        <w:t xml:space="preserve"> </w:t>
      </w:r>
      <w:r>
        <w:rPr>
          <w:lang w:val="en-US"/>
        </w:rPr>
        <w:t xml:space="preserve">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w:t>
      </w:r>
      <w:commentRangeStart w:id="12"/>
      <w:r>
        <w:rPr>
          <w:rFonts w:cs="Times New Roman" w:ascii="Times New Roman" w:hAnsi="Times New Roman"/>
          <w:lang w:val="en-US"/>
        </w:rPr>
        <w:t xml:space="preserve">the </w:t>
      </w:r>
      <w:r>
        <w:rPr>
          <w:lang w:val="en-US"/>
        </w:rPr>
        <w:t xml:space="preserve">vibrational frequencies and thermodynamic corrections </w:t>
      </w:r>
      <w:r>
        <w:rPr>
          <w:lang w:val="en-US"/>
        </w:rPr>
      </w:r>
      <w:commentRangeEnd w:id="12"/>
      <w:r>
        <w:commentReference w:id="12"/>
      </w:r>
      <w:r>
        <w:rPr>
          <w:lang w:val="en-US"/>
        </w:rPr>
        <w:t>were calculated at normal conditions (25 ° C, 1 atm) and at temperatures used for isothermal decomposition experiment (</w:t>
      </w:r>
      <w:commentRangeStart w:id="13"/>
      <w:r>
        <w:rPr>
          <w:lang w:val="en-US"/>
        </w:rPr>
        <w:t>75, 80 and 85 ° C</w:t>
      </w:r>
      <w:r>
        <w:rPr>
          <w:lang w:val="en-US"/>
        </w:rPr>
      </w:r>
      <w:commentRangeEnd w:id="13"/>
      <w:r>
        <w:commentReference w:id="13"/>
      </w:r>
      <w:r>
        <w:rPr>
          <w:lang w:val="en-US"/>
        </w:rPr>
        <w:commentReference w:id="14"/>
      </w:r>
      <w:r>
        <w:rPr>
          <w:lang w:val="en-US"/>
        </w:rPr>
        <w:t>).</w:t>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highlight w:val="yellow"/>
          <w:lang w:val="en-US"/>
        </w:rPr>
        <w:t xml:space="preserve">Our study of the thermal and storage stability of arenediazonium triflates </w:t>
      </w:r>
      <w:r>
        <w:rPr>
          <w:rFonts w:eastAsia="Times New Roman" w:cs="Times New Roman"/>
          <w:b/>
          <w:bCs/>
          <w:highlight w:val="yellow"/>
          <w:lang w:val="en-US"/>
        </w:rPr>
        <w:t>1a-d,</w:t>
      </w:r>
      <w:r>
        <w:rPr>
          <w:rFonts w:eastAsia="Times New Roman" w:cs="Times New Roman"/>
          <w:highlight w:val="yellow"/>
          <w:lang w:val="en-US"/>
        </w:rPr>
        <w:t xml:space="preserve"> </w:t>
      </w:r>
      <w:r>
        <w:rPr>
          <w:highlight w:val="yellow"/>
          <w:lang w:val="en-US"/>
        </w:rPr>
        <w:t xml:space="preserve">4-nitrobenzenediazonium tosylate </w:t>
      </w:r>
      <w:r>
        <w:rPr>
          <w:rFonts w:eastAsia="Times New Roman" w:cs="Times New Roman"/>
          <w:b/>
          <w:bCs/>
          <w:highlight w:val="yellow"/>
          <w:lang w:val="en-US"/>
        </w:rPr>
        <w:t>2</w:t>
      </w:r>
      <w:r>
        <w:rPr>
          <w:highlight w:val="yellow"/>
          <w:lang w:val="en-US"/>
        </w:rPr>
        <w:t xml:space="preserve"> and tetrafluoroborate </w:t>
      </w:r>
      <w:r>
        <w:rPr>
          <w:rFonts w:eastAsia="Times New Roman" w:cs="Times New Roman"/>
          <w:b/>
          <w:bCs/>
          <w:highlight w:val="yellow"/>
          <w:lang w:val="en-US"/>
        </w:rPr>
        <w:t xml:space="preserve">3 </w:t>
      </w:r>
      <w:r>
        <w:rPr>
          <w:rFonts w:eastAsia="Times New Roman" w:cs="Times New Roman"/>
          <w:bCs/>
          <w:highlight w:val="yellow"/>
          <w:lang w:val="en-US"/>
        </w:rPr>
        <w:t>has begun</w:t>
      </w:r>
      <w:r>
        <w:rPr>
          <w:rFonts w:eastAsia="Times New Roman" w:cs="Times New Roman"/>
          <w:b/>
          <w:bCs/>
          <w:highlight w:val="yellow"/>
          <w:lang w:val="en-US"/>
        </w:rPr>
        <w:t xml:space="preserve"> </w:t>
      </w:r>
      <w:r>
        <w:rPr>
          <w:highlight w:val="yellow"/>
          <w:lang w:val="en-US"/>
        </w:rPr>
        <w:t>from collecting DCS/TGA data.</w:t>
      </w:r>
      <w:r>
        <w:rPr>
          <w:lang w:val="en-US"/>
        </w:rPr>
        <w:t xml:space="preserve">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8" w:type="dxa"/>
          <w:bottom w:w="0" w:type="dxa"/>
          <w:right w:w="108" w:type="dxa"/>
        </w:tblCellMar>
        <w:tblLook w:val="0000" w:noVBand="0" w:noHBand="0" w:lastColumn="0" w:firstColumn="0" w:lastRow="0" w:firstRow="0"/>
      </w:tblPr>
      <w:tblGrid>
        <w:gridCol w:w="2768"/>
        <w:gridCol w:w="1028"/>
        <w:gridCol w:w="2483"/>
        <w:gridCol w:w="2"/>
        <w:gridCol w:w="908"/>
        <w:gridCol w:w="2449"/>
      </w:tblGrid>
      <w:tr>
        <w:trPr/>
        <w:tc>
          <w:tcPr>
            <w:tcW w:w="2768"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lang w:val="en-US"/>
              </w:rPr>
            </w:pPr>
            <w:r>
              <w:rPr>
                <w:lang w:val="en-US"/>
              </w:rPr>
              <w:t>Endothermic process</w:t>
            </w:r>
          </w:p>
        </w:tc>
        <w:tc>
          <w:tcPr>
            <w:tcW w:w="335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lang w:val="en-US"/>
              </w:rPr>
              <w:t>Exothermic process</w:t>
            </w:r>
          </w:p>
        </w:tc>
      </w:tr>
      <w:tr>
        <w:trPr/>
        <w:tc>
          <w:tcPr>
            <w:tcW w:w="2768"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rPr>
                <w:lang w:val="en-US"/>
              </w:rPr>
            </w:pPr>
            <w:r>
              <w:rPr>
                <w:lang w:val="en-US"/>
              </w:rPr>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104.1</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73.49 (21.98)</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color w:val="000000"/>
                <w:szCs w:val="28"/>
                <w:lang w:val="en-US"/>
              </w:rPr>
              <w:t>-753.4 (-225.3)</w:t>
            </w:r>
          </w:p>
        </w:tc>
      </w:tr>
      <w:tr>
        <w:trPr/>
        <w:tc>
          <w:tcPr>
            <w:tcW w:w="27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102.5</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43.6 (10.04)</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color w:val="000000"/>
                <w:szCs w:val="28"/>
                <w:lang w:val="en-US"/>
              </w:rPr>
              <w:t>-840.4 (-251.3)</w:t>
            </w:r>
          </w:p>
        </w:tc>
      </w:tr>
      <w:tr>
        <w:trPr/>
        <w:tc>
          <w:tcPr>
            <w:tcW w:w="27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color w:val="000000"/>
                <w:szCs w:val="28"/>
                <w:lang w:val="en-US"/>
              </w:rPr>
              <w:t>-219.9 (-65.7)</w:t>
            </w:r>
          </w:p>
        </w:tc>
      </w:tr>
      <w:tr>
        <w:trPr/>
        <w:tc>
          <w:tcPr>
            <w:tcW w:w="27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88.4</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102.2 (29.05)</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lang w:val="en-US"/>
              </w:rPr>
            </w:pPr>
            <w:r>
              <w:rPr>
                <w:color w:val="000000"/>
                <w:szCs w:val="28"/>
                <w:lang w:val="en-US"/>
              </w:rPr>
              <w:t>-328.9 (-93.5)</w:t>
            </w:r>
          </w:p>
        </w:tc>
      </w:tr>
      <w:tr>
        <w:trPr/>
        <w:tc>
          <w:tcPr>
            <w:tcW w:w="27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33.7</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tcPr>
          <w:p>
            <w:pPr>
              <w:pStyle w:val="Normal"/>
              <w:spacing w:lineRule="auto" w:line="240"/>
              <w:ind w:hanging="0"/>
              <w:jc w:val="center"/>
              <w:rPr>
                <w:color w:val="000000"/>
                <w:szCs w:val="28"/>
                <w:lang w:val="en-US"/>
              </w:rPr>
            </w:pPr>
            <w:r>
              <w:rPr>
                <w:color w:val="000000"/>
                <w:szCs w:val="28"/>
                <w:lang w:val="en-US"/>
              </w:rPr>
              <w:t>617.3 (146.3)</w:t>
            </w:r>
          </w:p>
        </w:tc>
        <w:tc>
          <w:tcPr>
            <w:tcW w:w="91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8"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highlight w:val="yellow"/>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noVBand="0" w:noHBand="0" w:lastColumn="0" w:firstColumn="0" w:lastRow="0" w:firstRow="0"/>
      </w:tblPr>
      <w:tblGrid>
        <w:gridCol w:w="4359"/>
        <w:gridCol w:w="1930"/>
        <w:gridCol w:w="1475"/>
        <w:gridCol w:w="1391"/>
      </w:tblGrid>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0"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1 Nitrogen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2 Nitrogen, (source,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3 Nitrogen, (source,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0"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3 Air, repricipitation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3 Argon, repricipitation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4"/>
              <w:spacing w:lineRule="auto" w:line="240"/>
              <w:ind w:hanging="0"/>
              <w:jc w:val="center"/>
              <w:rPr>
                <w:lang w:val="en-US"/>
              </w:rPr>
            </w:pPr>
            <w:r>
              <w:rPr>
                <w:rFonts w:cs="Arial" w:ascii="Free Times" w:hAnsi="Free Times"/>
                <w:sz w:val="22"/>
                <w:szCs w:val="22"/>
                <w:lang w:val="en-US"/>
              </w:rPr>
              <w:t>(source, repricipitation 1,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0" w:type="dxa"/>
            </w:tcMar>
            <w:vAlign w:val="center"/>
          </w:tcPr>
          <w:p>
            <w:pPr>
              <w:pStyle w:val="Style24"/>
              <w:ind w:hanging="0"/>
              <w:jc w:val="center"/>
              <w:rPr>
                <w:sz w:val="4"/>
                <w:szCs w:val="4"/>
                <w:lang w:val="en-US"/>
              </w:rPr>
            </w:pPr>
            <w:r>
              <w:rPr>
                <w:sz w:val="4"/>
                <w:szCs w:val="4"/>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4 Nitrogen, source</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4 Nitrogen,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lang w:val="en-US"/>
              </w:rPr>
            </w:pPr>
            <w:r>
              <w:rPr>
                <w:rFonts w:cs="Arial" w:ascii="Free Times" w:hAnsi="Free Times"/>
                <w:sz w:val="22"/>
                <w:szCs w:val="22"/>
                <w:lang w:val="en-US"/>
              </w:rPr>
              <w:t>Sample 4 Nitrogen, repricipitation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Style24"/>
              <w:ind w:hanging="0"/>
              <w:jc w:val="center"/>
              <w:rPr>
                <w:sz w:val="4"/>
                <w:szCs w:val="4"/>
                <w:lang w:val="en-US"/>
              </w:rPr>
            </w:pPr>
            <w:r>
              <w:rPr>
                <w:sz w:val="4"/>
                <w:szCs w:val="4"/>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w:t>
      </w:r>
      <w:commentRangeStart w:id="15"/>
      <w:r>
        <w:rPr>
          <w:highlight w:val="green"/>
          <w:lang w:val="en-US"/>
        </w:rPr>
        <w:t>heat flow</w:t>
      </w:r>
      <w:r>
        <w:rPr>
          <w:highlight w:val="green"/>
          <w:lang w:val="en-US"/>
        </w:rPr>
      </w:r>
      <w:commentRangeEnd w:id="15"/>
      <w:r>
        <w:commentReference w:id="15"/>
      </w:r>
      <w:r>
        <w:rPr>
          <w:lang w:val="en-US"/>
        </w:rPr>
        <w:t xml:space="preserve"> </w:t>
      </w:r>
      <w:r>
        <w:rPr>
          <w:highlight w:val="yellow"/>
          <w:lang w:val="en-US"/>
        </w:rPr>
        <w:t>curve</w:t>
      </w:r>
      <w:r>
        <w:rPr>
          <w:lang w:val="en-US"/>
        </w:rPr>
        <w:t xml:space="prese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noVBand="0" w:noHBand="0" w:lastColumn="0" w:firstColumn="0" w:lastRow="0" w:firstRow="0"/>
      </w:tblPr>
      <w:tblGrid>
        <w:gridCol w:w="2811"/>
        <w:gridCol w:w="1082"/>
        <w:gridCol w:w="1083"/>
        <w:gridCol w:w="1107"/>
        <w:gridCol w:w="1"/>
        <w:gridCol w:w="1166"/>
        <w:gridCol w:w="1152"/>
        <w:gridCol w:w="1237"/>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3" w:type="dxa"/>
            <w:gridSpan w:val="4"/>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5"/>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7" w:type="dxa"/>
            <w:gridSpan w:val="2"/>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w:t>
      </w:r>
      <w:r>
        <w:rPr>
          <w:highlight w:val="yellow"/>
          <w:lang w:val="en-US"/>
        </w:rPr>
        <w:t>Supporting (1s)</w:t>
      </w:r>
      <w:r>
        <w:rPr>
          <w:lang w:val="en-US"/>
        </w:rPr>
        <w:t>.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Normal"/>
              <w:rPr>
                <w:lang w:val="en-US"/>
              </w:rPr>
            </w:pPr>
            <w:r>
              <w:rPr>
                <w:lang w:val="en-US"/>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xml:space="preserve">. The </w:t>
      </w:r>
      <w:r>
        <w:rPr>
          <w:highlight w:val="yellow"/>
          <w:lang w:val="en-US"/>
        </w:rPr>
        <w:t>results discussed</w:t>
      </w:r>
      <w:r>
        <w:rPr>
          <w:lang w:val="en-US"/>
        </w:rPr>
        <w:t xml:space="preserve">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jc w:val="center"/>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84"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5"/>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Style24"/>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Style24"/>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90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highlight w:val="yellow"/>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pPr>
      <w:r>
        <w:rPr>
          <w:lang w:val="en-US"/>
        </w:rPr>
        <w:t xml:space="preserve">Secondly, the nature of counterion has a pronounced effect on DS stability. The approximation of experimental data with Arrhenius equation showed that arenediazonium triflates are the most stable during the storage, for example, 3-nitrobenzenediazonium triflate has a shelf-life of </w:t>
      </w:r>
      <w:commentRangeStart w:id="16"/>
      <w:r>
        <w:rPr>
          <w:lang w:val="en-US"/>
        </w:rPr>
        <w:t>83</w:t>
      </w:r>
      <w:r>
        <w:rPr>
          <w:lang w:val="en-US"/>
        </w:rPr>
      </w:r>
      <w:commentRangeEnd w:id="16"/>
      <w:r>
        <w:commentReference w:id="16"/>
      </w:r>
      <w:r>
        <w:rPr>
          <w:lang w:val="en-US"/>
        </w:rPr>
        <w:t xml:space="preserve"> years. </w:t>
      </w:r>
      <w:commentRangeStart w:id="17"/>
      <w:r>
        <w:rPr>
          <w:highlight w:val="yellow"/>
          <w:lang w:val="en-US"/>
        </w:rPr>
        <w:t xml:space="preserve">Presumably, changing the counterion effects the probability of the occurrence of various mechanisms during the DS decomposition, </w:t>
      </w:r>
      <w:r>
        <w:rPr>
          <w:highlight w:val="green"/>
          <w:lang w:val="en-US"/>
        </w:rPr>
        <w:t>which are discussed further and presented in schemes 2 and 3.</w:t>
      </w:r>
      <w:r>
        <w:rPr>
          <w:lang w:val="en-US"/>
        </w:rPr>
        <w:t xml:space="preserve"> (</w:t>
      </w:r>
      <w:r>
        <w:rPr/>
        <w:t>Предположительно</w:t>
      </w:r>
      <w:r>
        <w:rPr>
          <w:lang w:val="en-US"/>
        </w:rPr>
        <w:t xml:space="preserve">, </w:t>
      </w:r>
      <w:r>
        <w:rPr/>
        <w:t>влияние</w:t>
      </w:r>
      <w:r>
        <w:rPr>
          <w:lang w:val="en-US"/>
        </w:rPr>
        <w:t xml:space="preserve"> </w:t>
      </w:r>
      <w:r>
        <w:rPr/>
        <w:t>аниона</w:t>
      </w:r>
      <w:r>
        <w:rPr>
          <w:lang w:val="en-US"/>
        </w:rPr>
        <w:t xml:space="preserve"> </w:t>
      </w:r>
      <w:r>
        <w:rPr/>
        <w:t>связано</w:t>
      </w:r>
      <w:r>
        <w:rPr>
          <w:lang w:val="en-US"/>
        </w:rPr>
        <w:t xml:space="preserve"> </w:t>
      </w:r>
      <w:r>
        <w:rPr/>
        <w:t>с</w:t>
      </w:r>
      <w:r>
        <w:rPr>
          <w:lang w:val="en-US"/>
        </w:rPr>
        <w:t xml:space="preserve"> </w:t>
      </w:r>
      <w:r>
        <w:rPr/>
        <w:t>изменением</w:t>
      </w:r>
      <w:r>
        <w:rPr>
          <w:lang w:val="en-US"/>
        </w:rPr>
        <w:t xml:space="preserve"> </w:t>
      </w:r>
      <w:r>
        <w:rPr/>
        <w:t>вероятности</w:t>
      </w:r>
      <w:r>
        <w:rPr>
          <w:lang w:val="en-US"/>
        </w:rPr>
        <w:t xml:space="preserve"> </w:t>
      </w:r>
      <w:r>
        <w:rPr/>
        <w:t>протекания</w:t>
      </w:r>
      <w:r>
        <w:rPr>
          <w:lang w:val="en-US"/>
        </w:rPr>
        <w:t xml:space="preserve"> </w:t>
      </w:r>
      <w:r>
        <w:rPr/>
        <w:t>различных</w:t>
      </w:r>
      <w:r>
        <w:rPr>
          <w:lang w:val="en-US"/>
        </w:rPr>
        <w:t xml:space="preserve"> </w:t>
      </w:r>
      <w:r>
        <w:rPr/>
        <w:t>механизмов</w:t>
      </w:r>
      <w:r>
        <w:rPr>
          <w:lang w:val="en-US"/>
        </w:rPr>
        <w:t xml:space="preserve"> </w:t>
      </w:r>
      <w:r>
        <w:rPr/>
        <w:t>при</w:t>
      </w:r>
      <w:r>
        <w:rPr>
          <w:lang w:val="en-US"/>
        </w:rPr>
        <w:t xml:space="preserve"> </w:t>
      </w:r>
      <w:r>
        <w:rPr/>
        <w:t>разложении</w:t>
      </w:r>
      <w:r>
        <w:rPr>
          <w:lang w:val="en-US"/>
        </w:rPr>
        <w:t xml:space="preserve"> </w:t>
      </w:r>
      <w:r>
        <w:rPr/>
        <w:t>солей</w:t>
      </w:r>
      <w:r>
        <w:rPr>
          <w:highlight w:val="green"/>
        </w:rPr>
        <w:t>, которые обсуждаются далее и представлены на схемах 2 и 3</w:t>
      </w:r>
      <w:r>
        <w:rPr>
          <w:lang w:val="en-US"/>
        </w:rPr>
        <w:t>).</w:t>
      </w:r>
      <w:r>
        <w:rPr>
          <w:lang w:val="en-US"/>
        </w:rPr>
      </w:r>
      <w:commentRangeEnd w:id="17"/>
      <w:r>
        <w:commentReference w:id="17"/>
      </w:r>
      <w:r>
        <w:rPr>
          <w:lang w:val="en-US"/>
        </w:rPr>
        <w:commentReference w:id="18"/>
      </w:r>
    </w:p>
    <w:p>
      <w:pPr>
        <w:pStyle w:val="Normal"/>
        <w:tabs>
          <w:tab w:val="center" w:pos="218" w:leader="none"/>
        </w:tab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commentRangeStart w:id="19"/>
      <w:r>
        <w:rPr>
          <w:highlight w:val="green"/>
          <w:lang w:val="en-US"/>
        </w:rPr>
        <w:t>1330</w:t>
      </w:r>
      <w:r>
        <w:rPr>
          <w:highlight w:val="green"/>
          <w:lang w:val="en-US"/>
        </w:rPr>
      </w:r>
      <w:commentRangeEnd w:id="19"/>
      <w:r>
        <w:commentReference w:id="19"/>
      </w:r>
      <w:r>
        <w:rPr>
          <w:lang w:val="en-US"/>
        </w:rPr>
        <w:t xml:space="preserve">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According to the GC-MS data (</w:t>
      </w:r>
      <w:r>
        <w:rPr>
          <w:highlight w:val="yellow"/>
          <w:lang w:val="en-US"/>
        </w:rPr>
        <w:t xml:space="preserve">Supporting 2s, </w:t>
      </w:r>
      <w:commentRangeStart w:id="20"/>
      <w:r>
        <w:rPr>
          <w:highlight w:val="yellow"/>
          <w:lang w:val="en-US"/>
        </w:rPr>
        <w:t>Fig. S15-20</w:t>
      </w:r>
      <w:r>
        <w:rPr>
          <w:highlight w:val="yellow"/>
          <w:lang w:val="en-US"/>
        </w:rPr>
      </w:r>
      <w:commentRangeEnd w:id="20"/>
      <w:r>
        <w:commentReference w:id="20"/>
      </w:r>
      <w:r>
        <w:rPr>
          <w:highlight w:val="yellow"/>
          <w:lang w:val="en-US"/>
        </w:rPr>
        <w:commentReference w:id="21"/>
      </w:r>
      <w:r>
        <w:rPr>
          <w:lang w:val="en-US"/>
        </w:rPr>
        <w:t xml:space="preserve">),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highlight w:val="yellow"/>
          <w:lang w:val="en-US"/>
        </w:rPr>
        <w:t>(Scheme 2)</w:t>
      </w:r>
      <w:r>
        <w:rPr>
          <w:bCs/>
          <w:lang w:val="en-US"/>
        </w:rPr>
        <w:t>.</w:t>
      </w:r>
    </w:p>
    <w:p>
      <w:pPr>
        <w:pStyle w:val="Normal"/>
        <w:ind w:hanging="0"/>
        <w:rPr/>
      </w:pPr>
      <w:r>
        <w:rPr/>
      </w:r>
    </w:p>
    <w:p>
      <w:pPr>
        <w:pStyle w:val="Normal"/>
        <w:ind w:hanging="0"/>
        <w:jc w:val="center"/>
        <w:rPr/>
      </w:pPr>
      <w:commentRangeStart w:id="22"/>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commentRangeEnd w:id="22"/>
      <w:r>
        <w:commentReference w:id="22"/>
      </w:r>
      <w:r>
        <w:rPr/>
      </w:r>
    </w:p>
    <w:p>
      <w:pPr>
        <w:pStyle w:val="Normal"/>
        <w:spacing w:before="0" w:after="113"/>
        <w:ind w:hanging="0"/>
        <w:jc w:val="center"/>
        <w:rPr>
          <w:rFonts w:ascii="FreeSans" w:hAnsi="FreeSans"/>
          <w:sz w:val="22"/>
          <w:szCs w:val="22"/>
          <w:lang w:val="en-US" w:eastAsia="ru-RU" w:bidi="ar-SA"/>
        </w:rPr>
      </w:pPr>
      <w:r>
        <w:rPr>
          <w:rFonts w:ascii="FreeSans" w:hAnsi="FreeSans"/>
          <w:sz w:val="22"/>
          <w:szCs w:val="22"/>
          <w:highlight w:val="yellow"/>
          <w:lang w:val="en-US" w:eastAsia="ru-RU" w:bidi="ar-SA"/>
        </w:rPr>
        <w:t>Nu = F, TsO, TfO</w:t>
      </w:r>
    </w:p>
    <w:p>
      <w:pPr>
        <w:pStyle w:val="Normal"/>
        <w:spacing w:before="0" w:after="113"/>
        <w:ind w:hanging="0"/>
        <w:jc w:val="center"/>
        <w:rPr>
          <w:lang w:val="en-US"/>
        </w:rPr>
      </w:pPr>
      <w:commentRangeStart w:id="23"/>
      <w:r>
        <w:rPr>
          <w:bCs/>
          <w:highlight w:val="yellow"/>
          <w:lang w:val="en-US"/>
        </w:rPr>
        <w:t xml:space="preserve">Scheme 2. </w:t>
      </w:r>
      <w:r>
        <w:rPr>
          <w:bCs/>
          <w:highlight w:val="yellow"/>
          <w:lang w:val="en-US"/>
        </w:rPr>
      </w:r>
      <w:commentRangeEnd w:id="23"/>
      <w:r>
        <w:commentReference w:id="23"/>
      </w:r>
      <w:r>
        <w:rPr>
          <w:bCs/>
          <w:highlight w:val="yellow"/>
          <w:lang w:val="en-US"/>
        </w:rPr>
        <w:commentReference w:id="24"/>
      </w:r>
      <w:r>
        <w:rPr>
          <w:bCs/>
          <w:highlight w:val="yellow"/>
          <w:lang w:val="en-US"/>
        </w:rPr>
        <w:t xml:space="preserve">The possible mechanism of thermal decomposition of DSs </w:t>
      </w:r>
      <w:r>
        <w:rPr>
          <w:b/>
          <w:bCs/>
          <w:highlight w:val="yellow"/>
          <w:lang w:val="en-US"/>
        </w:rPr>
        <w:t>1b</w:t>
      </w:r>
      <w:r>
        <w:rPr>
          <w:highlight w:val="yellow"/>
          <w:lang w:val="en-US"/>
        </w:rPr>
        <w:t>-</w:t>
      </w:r>
      <w:r>
        <w:rPr>
          <w:b/>
          <w:bCs/>
          <w:highlight w:val="yellow"/>
          <w:lang w:val="en-US"/>
        </w:rPr>
        <w:t>d</w:t>
      </w:r>
      <w:r>
        <w:rPr>
          <w:highlight w:val="yellow"/>
          <w:lang w:val="en-US"/>
        </w:rPr>
        <w:t xml:space="preserve">, </w:t>
      </w:r>
      <w:r>
        <w:rPr>
          <w:b/>
          <w:bCs/>
          <w:highlight w:val="yellow"/>
          <w:lang w:val="en-US"/>
        </w:rPr>
        <w:t>2</w:t>
      </w:r>
      <w:r>
        <w:rPr>
          <w:highlight w:val="yellow"/>
          <w:lang w:val="en-US"/>
        </w:rPr>
        <w:t xml:space="preserve">, </w:t>
      </w:r>
      <w:r>
        <w:rPr>
          <w:b/>
          <w:bCs/>
          <w:highlight w:val="yellow"/>
          <w:lang w:val="en-US"/>
        </w:rPr>
        <w:t>3</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i/>
                <w:iCs/>
                <w:color w:val="000000"/>
                <w:lang w:val="en-US"/>
              </w:rPr>
              <w:t>The difference between P2 and P3 is 28, which corresponds to the nitrogen elimination</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w:t>
      </w:r>
      <w:r>
        <w:rPr>
          <w:b/>
          <w:bCs/>
          <w:color w:val="000000"/>
          <w:highlight w:val="green"/>
          <w:lang w:val="en-US"/>
        </w:rPr>
        <w:t>i</w:t>
      </w:r>
      <w:r>
        <w:rPr>
          <w:color w:val="000000"/>
          <w:lang w:val="en-US"/>
        </w:rPr>
        <w:t xml:space="preserve">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 xml:space="preserve">M/Z=121.0) is a monomer that is derived from DS according to the route presented </w:t>
      </w:r>
      <w:commentRangeStart w:id="25"/>
      <w:r>
        <w:rPr>
          <w:color w:val="000000"/>
          <w:highlight w:val="green"/>
          <w:lang w:val="en-US"/>
        </w:rPr>
        <w:t>reaction (a)</w:t>
      </w:r>
      <w:r>
        <w:rPr>
          <w:color w:val="000000"/>
          <w:highlight w:val="green"/>
          <w:lang w:val="en-US"/>
        </w:rPr>
      </w:r>
      <w:commentRangeEnd w:id="25"/>
      <w:r>
        <w:commentReference w:id="25"/>
      </w:r>
      <w:r>
        <w:rPr>
          <w:color w:val="000000"/>
          <w:highlight w:val="green"/>
          <w:lang w:val="en-US"/>
        </w:rPr>
        <w:t xml:space="preserve"> in Scheme 3</w:t>
      </w:r>
      <w:r>
        <w:rPr>
          <w:color w:val="000000"/>
          <w:lang w:val="en-US"/>
        </w:rPr>
        <w:t>.</w:t>
      </w:r>
    </w:p>
    <w:p>
      <w:pPr>
        <w:pStyle w:val="Normal"/>
        <w:jc w:val="center"/>
        <w:rPr>
          <w:color w:val="000000"/>
          <w:lang w:val="en-US"/>
        </w:rPr>
      </w:pPr>
      <w:r>
        <w:rPr>
          <w:color w:val="000000"/>
          <w:lang w:val="en-US"/>
        </w:rPr>
      </w:r>
    </w:p>
    <w:p>
      <w:pPr>
        <w:pStyle w:val="Normal"/>
        <w:jc w:val="center"/>
        <w:rPr>
          <w:color w:val="000000"/>
          <w:lang w:val="en-US"/>
        </w:rPr>
      </w:pPr>
      <w:commentRangeStart w:id="26"/>
      <w:r>
        <w:rPr>
          <w:color w:val="000000"/>
          <w:lang w:val="en-US"/>
        </w:rPr>
      </w:r>
    </w:p>
    <w:p>
      <w:pPr>
        <w:pStyle w:val="Normal"/>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commentRangeEnd w:id="26"/>
      <w:r>
        <w:commentReference w:id="26"/>
      </w:r>
      <w:r>
        <w:rPr/>
      </w:r>
    </w:p>
    <w:p>
      <w:pPr>
        <w:pStyle w:val="Normal"/>
        <w:jc w:val="center"/>
        <w:rPr>
          <w:color w:val="000000"/>
          <w:lang w:val="en-US"/>
        </w:rPr>
      </w:pPr>
      <w:r>
        <w:rPr>
          <w:color w:val="000000"/>
          <w:lang w:val="en-US"/>
        </w:rPr>
      </w:r>
    </w:p>
    <w:p>
      <w:pPr>
        <w:pStyle w:val="Normal"/>
        <w:jc w:val="center"/>
        <w:rPr>
          <w:color w:val="000000"/>
          <w:lang w:val="en-US"/>
        </w:rPr>
      </w:pPr>
      <w:commentRangeStart w:id="27"/>
      <w:r>
        <w:rPr>
          <w:color w:val="000000"/>
          <w:highlight w:val="yellow"/>
          <w:lang w:val="en-US"/>
        </w:rPr>
        <w:t>Scheme 3</w:t>
      </w:r>
      <w:r>
        <w:rPr>
          <w:color w:val="000000"/>
          <w:highlight w:val="yellow"/>
          <w:lang w:val="en-US"/>
        </w:rPr>
      </w:r>
      <w:commentRangeEnd w:id="27"/>
      <w:r>
        <w:commentReference w:id="27"/>
      </w:r>
      <w:r>
        <w:rPr>
          <w:color w:val="000000"/>
          <w:highlight w:val="yellow"/>
          <w:lang w:val="en-US"/>
        </w:rPr>
        <w:t>. Possible route of 1-nitrocyclohexa-1,3-dien-5-yne [C</w:t>
      </w:r>
      <w:r>
        <w:rPr>
          <w:color w:val="000000"/>
          <w:highlight w:val="yellow"/>
          <w:vertAlign w:val="subscript"/>
          <w:lang w:val="en-US"/>
        </w:rPr>
        <w:t>6</w:t>
      </w:r>
      <w:r>
        <w:rPr>
          <w:color w:val="000000"/>
          <w:highlight w:val="yellow"/>
          <w:lang w:val="en-US"/>
        </w:rPr>
        <w:t>H</w:t>
      </w:r>
      <w:r>
        <w:rPr>
          <w:color w:val="000000"/>
          <w:highlight w:val="yellow"/>
          <w:vertAlign w:val="subscript"/>
          <w:lang w:val="en-US"/>
        </w:rPr>
        <w:t>3</w:t>
      </w:r>
      <w:r>
        <w:rPr>
          <w:color w:val="000000"/>
          <w:highlight w:val="yellow"/>
          <w:lang w:val="en-US"/>
        </w:rPr>
        <w:t>NO</w:t>
      </w:r>
      <w:r>
        <w:rPr>
          <w:color w:val="000000"/>
          <w:highlight w:val="yellow"/>
          <w:vertAlign w:val="subscript"/>
          <w:lang w:val="en-US"/>
        </w:rPr>
        <w:t>2</w:t>
      </w:r>
      <w:r>
        <w:rPr>
          <w:color w:val="000000"/>
          <w:highlight w:val="yellow"/>
          <w:lang w:val="en-US"/>
        </w:rPr>
        <w:t>] (</w:t>
      </w:r>
      <w:r>
        <w:rPr>
          <w:rFonts w:ascii="Symbol" w:hAnsi="Symbol"/>
          <w:color w:val="000000"/>
          <w:sz w:val="20"/>
          <w:szCs w:val="20"/>
          <w:highlight w:val="yellow"/>
          <w:lang w:val="en-US"/>
        </w:rPr>
        <w:t></w:t>
      </w:r>
      <w:r>
        <w:rPr>
          <w:color w:val="000000"/>
          <w:highlight w:val="yellow"/>
          <w:lang w:val="en-US"/>
        </w:rPr>
        <w:t>M/Z=121.0) formation (a) and further polymerization (b)</w:t>
      </w:r>
    </w:p>
    <w:p>
      <w:pPr>
        <w:pStyle w:val="Normal"/>
        <w:jc w:val="center"/>
        <w:rPr>
          <w:color w:val="000000"/>
          <w:lang w:val="en-US"/>
        </w:rPr>
      </w:pPr>
      <w:r>
        <w:rPr>
          <w:color w:val="000000"/>
          <w:lang w:val="en-US"/>
        </w:rPr>
      </w:r>
    </w:p>
    <w:p>
      <w:pPr>
        <w:pStyle w:val="Normal"/>
        <w:rPr/>
      </w:pPr>
      <w:r>
        <w:rPr>
          <w:color w:val="000000"/>
          <w:lang w:val="en-US"/>
        </w:rPr>
        <w:t>The mechanism of further chain growth involving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as monomer is ambiguous and requires special investigation lying beyond the scope of this work. However, based on the available data, we can assume the structure of the polymer formed as a result of the DS </w:t>
      </w:r>
      <w:r>
        <w:rPr>
          <w:b/>
          <w:color w:val="000000"/>
          <w:lang w:val="en-US"/>
        </w:rPr>
        <w:t>1a</w:t>
      </w:r>
      <w:r>
        <w:rPr>
          <w:color w:val="000000"/>
          <w:lang w:val="en-US"/>
        </w:rPr>
        <w:t xml:space="preserve"> decomposition presented </w:t>
      </w:r>
      <w:commentRangeStart w:id="28"/>
      <w:r>
        <w:rPr>
          <w:color w:val="000000"/>
          <w:highlight w:val="green"/>
          <w:lang w:val="en-US"/>
        </w:rPr>
        <w:t>process (b)</w:t>
      </w:r>
      <w:r>
        <w:rPr>
          <w:color w:val="000000"/>
          <w:highlight w:val="green"/>
          <w:lang w:val="en-US"/>
        </w:rPr>
      </w:r>
      <w:commentRangeEnd w:id="28"/>
      <w:r>
        <w:commentReference w:id="28"/>
      </w:r>
      <w:r>
        <w:rPr>
          <w:color w:val="000000"/>
          <w:lang w:val="en-US"/>
        </w:rPr>
        <w:t xml:space="preserve"> in Scheme 3.</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w:t>
      </w:r>
      <w:r>
        <w:rPr>
          <w:highlight w:val="yellow"/>
          <w:lang w:val="en-US"/>
        </w:rPr>
        <w:t>Supporting 4s</w:t>
      </w:r>
      <w:r>
        <w:rPr>
          <w:lang w:val="en-US"/>
        </w:rPr>
        <w:t xml:space="preserve">.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w:t>
      </w:r>
      <w:commentRangeStart w:id="29"/>
      <w:r>
        <w:rPr>
          <w:highlight w:val="green"/>
          <w:lang w:val="en-US"/>
        </w:rPr>
        <w:t>reaction</w:t>
      </w:r>
      <w:r>
        <w:rPr>
          <w:highlight w:val="green"/>
          <w:lang w:val="en-US"/>
        </w:rPr>
      </w:r>
      <w:commentRangeEnd w:id="29"/>
      <w:r>
        <w:commentReference w:id="29"/>
      </w:r>
      <w:r>
        <w:rPr>
          <w:highlight w:val="yellow"/>
          <w:lang w:val="en-US"/>
        </w:rPr>
        <w:t xml:space="preserve"> 1</w:t>
      </w:r>
      <w:r>
        <w:rPr>
          <w:lang w:val="en-US"/>
        </w:rPr>
        <w:t>), we calculated the thermodynamics of this reaction along with other possible routes (Table 6, entries 6a, b).</w:t>
      </w:r>
    </w:p>
    <w:p>
      <w:pPr>
        <w:pStyle w:val="Normal"/>
        <w:rPr>
          <w:lang w:val="en-US"/>
        </w:rPr>
      </w:pPr>
      <w:r>
        <w:rPr>
          <w:lang w:val="en-US"/>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37"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4387"/>
        <w:gridCol w:w="1680"/>
        <w:gridCol w:w="784"/>
        <w:gridCol w:w="838"/>
        <w:gridCol w:w="840"/>
        <w:gridCol w:w="3"/>
        <w:gridCol w:w="1242"/>
      </w:tblGrid>
      <w:tr>
        <w:trPr/>
        <w:tc>
          <w:tcPr>
            <w:tcW w:w="438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sz w:val="22"/>
                <w:szCs w:val="22"/>
                <w:lang w:val="en-US"/>
              </w:rPr>
            </w:pPr>
            <w:r>
              <w:rPr>
                <w:b/>
                <w:sz w:val="22"/>
                <w:szCs w:val="22"/>
                <w:lang w:val="en-US"/>
              </w:rPr>
              <w:t>Reaction</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sz w:val="22"/>
                <w:szCs w:val="22"/>
                <w:lang w:val="en-US"/>
              </w:rPr>
            </w:pPr>
            <w:r>
              <w:rPr>
                <w:b/>
                <w:sz w:val="22"/>
                <w:szCs w:val="22"/>
                <w:lang w:val="en-US"/>
              </w:rPr>
              <w:t>Predicted enthalpy</w:t>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b/>
                <w:b/>
                <w:sz w:val="22"/>
                <w:szCs w:val="22"/>
                <w:lang w:val="en-US"/>
              </w:rPr>
            </w:pPr>
            <w:r>
              <w:rPr>
                <w:b/>
                <w:lang w:val="en-US"/>
              </w:rPr>
              <w:t>DSC</w:t>
            </w:r>
            <w:r>
              <w:rPr>
                <w:b/>
              </w:rPr>
              <w:t>/</w:t>
            </w:r>
            <w:r>
              <w:rPr>
                <w:b/>
                <w:lang w:val="en-US"/>
              </w:rPr>
              <w:t>TGA</w:t>
            </w:r>
          </w:p>
        </w:tc>
      </w:tr>
      <w:tr>
        <w:trPr/>
        <w:tc>
          <w:tcPr>
            <w:tcW w:w="438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rPr>
                <w:b/>
                <w:b/>
                <w:lang w:val="en-US"/>
              </w:rPr>
            </w:pPr>
            <w:r>
              <w:rPr>
                <w:b/>
                <w:lang w:val="en-US"/>
              </w:rPr>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rFonts w:ascii="Free Times" w:hAnsi="Free Times"/>
                <w:sz w:val="22"/>
                <w:szCs w:val="22"/>
                <w:lang w:val="en-US"/>
              </w:rPr>
            </w:pPr>
            <w:r>
              <w:rPr>
                <w:rFonts w:ascii="Free Times" w:hAnsi="Free Times"/>
                <w:sz w:val="22"/>
                <w:szCs w:val="22"/>
                <w:lang w:val="en-US"/>
              </w:rPr>
              <w:t>-238.5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rFonts w:ascii="Free Times" w:hAnsi="Free Times"/>
                <w:sz w:val="22"/>
                <w:szCs w:val="22"/>
                <w:lang w:val="en-US"/>
              </w:rPr>
            </w:pPr>
            <w:r>
              <w:rPr>
                <w:rFonts w:ascii="Free Times" w:hAnsi="Free Times"/>
                <w:sz w:val="22"/>
                <w:szCs w:val="22"/>
                <w:lang w:val="en-US"/>
              </w:rPr>
              <w:t>-65.8</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rFonts w:ascii="Free Times" w:hAnsi="Free Times"/>
                <w:sz w:val="22"/>
                <w:szCs w:val="22"/>
                <w:lang w:val="en-US"/>
              </w:rPr>
            </w:pPr>
            <w:r>
              <w:rPr>
                <w:rFonts w:ascii="Free Times" w:hAnsi="Free Times"/>
                <w:sz w:val="22"/>
                <w:szCs w:val="22"/>
                <w:lang w:val="en-US"/>
              </w:rPr>
              <w:t>-64.5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rFonts w:ascii="Free Times" w:hAnsi="Free Times"/>
                <w:sz w:val="22"/>
                <w:szCs w:val="22"/>
                <w:lang w:val="en-US"/>
              </w:rPr>
            </w:pPr>
            <w:r>
              <w:rPr>
                <w:rFonts w:ascii="Free Times" w:hAnsi="Free Times"/>
                <w:sz w:val="22"/>
                <w:szCs w:val="22"/>
                <w:lang w:val="en-US"/>
              </w:rPr>
              <w:t>-117.3</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4"/>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w:t>
      </w:r>
      <w:commentRangeStart w:id="30"/>
      <w:r>
        <w:rPr>
          <w:highlight w:val="green"/>
          <w:lang w:val="en-US"/>
        </w:rPr>
        <w:t>(Scheme 3)</w:t>
      </w:r>
      <w:r>
        <w:rPr>
          <w:highlight w:val="green"/>
          <w:lang w:val="en-US"/>
        </w:rPr>
      </w:r>
      <w:commentRangeEnd w:id="30"/>
      <w:r>
        <w:commentReference w:id="30"/>
      </w:r>
      <w:r>
        <w:rPr>
          <w:lang w:val="en-US"/>
        </w:rPr>
        <w:t xml:space="preserve">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 xml:space="preserve">We demonstrated that thermodynamic parameters of DS thermal decomposition reactions calculated by DFT at RB3LYP/aug-cc-pVDZ are consisted with experimental data obtained by isothermal flow calorimetry for all 3- and 4-substituted DSs </w:t>
      </w:r>
      <w:r>
        <w:rPr>
          <w:color w:val="00000A"/>
          <w:lang w:val="en-US"/>
        </w:rPr>
        <w:t>investigated (</w:t>
      </w:r>
      <w:r>
        <w:rPr>
          <w:b/>
          <w:color w:val="00000A"/>
          <w:lang w:val="en-US"/>
        </w:rPr>
        <w:t>1b-d, 2, 3</w:t>
      </w:r>
      <w:r>
        <w:rPr>
          <w:color w:val="00000A"/>
          <w:lang w:val="en-US"/>
        </w:rPr>
        <w:t xml:space="preserve">). For these DSs the main decomposition route is elimination of nitrogen </w:t>
      </w:r>
      <w:r>
        <w:rPr>
          <w:lang w:val="en-US"/>
        </w:rPr>
        <w:t>with the formation of benzene-1-ylium ions that subsequently react with the corresponding anions. A completely d</w:t>
      </w:r>
      <w:bookmarkStart w:id="1" w:name="_GoBack"/>
      <w:bookmarkEnd w:id="1"/>
      <w:r>
        <w:rPr>
          <w:lang w:val="en-US"/>
        </w:rPr>
        <w:t xml:space="preserve">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numPr>
          <w:ilvl w:val="0"/>
          <w:numId w:val="4"/>
        </w:numPr>
        <w:tabs>
          <w:tab w:val="center" w:pos="218" w:leader="none"/>
        </w:tabs>
        <w:spacing w:before="0" w:after="57"/>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4"/>
        </w:numPr>
        <w:tabs>
          <w:tab w:val="center" w:pos="218" w:leader="none"/>
        </w:tabs>
        <w:spacing w:lineRule="auto" w:line="312" w:before="0" w:after="57"/>
        <w:ind w:left="0" w:firstLine="283"/>
        <w:rPr>
          <w:lang w:val="en-US"/>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4"/>
        </w:numPr>
        <w:tabs>
          <w:tab w:val="center" w:pos="218" w:leader="none"/>
        </w:tabs>
        <w:spacing w:before="0" w:after="57"/>
        <w:ind w:left="0" w:firstLine="283"/>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numPr>
          <w:ilvl w:val="0"/>
          <w:numId w:val="4"/>
        </w:numPr>
        <w:tabs>
          <w:tab w:val="center" w:pos="218" w:leader="none"/>
        </w:tabs>
        <w:spacing w:before="0" w:after="57"/>
        <w:ind w:left="0" w:firstLine="283"/>
        <w:rPr/>
      </w:pPr>
      <w:commentRangeStart w:id="31"/>
      <w:r>
        <w:rPr>
          <w:rFonts w:eastAsia="Times New Roman" w:cs="Times New Roman" w:ascii="FreeSerif" w:hAnsi="FreeSerif"/>
          <w:lang w:val="en-US"/>
        </w:rPr>
        <w:t>(a)</w:t>
      </w:r>
      <w:r>
        <w:rPr>
          <w:rFonts w:eastAsia="Times New Roman" w:cs="Times New Roman" w:ascii="FreeSerif" w:hAnsi="FreeSerif"/>
          <w:lang w:val="en-US"/>
        </w:rPr>
      </w:r>
      <w:commentRangeEnd w:id="31"/>
      <w:r>
        <w:commentReference w:id="31"/>
      </w:r>
      <w:r>
        <w:rPr>
          <w:rFonts w:eastAsia="Times New Roman" w:cs="Times New Roman" w:ascii="FreeSerif" w:hAnsi="FreeSerif"/>
          <w:lang w:val="en-US"/>
        </w:rPr>
        <w:t xml:space="preserve"> Riss, P. J.; Kuschel, S.; Aigbirhio, F. I. </w:t>
      </w:r>
      <w:r>
        <w:rPr>
          <w:rFonts w:eastAsia="Times New Roman" w:cs="Times New Roman" w:ascii="FreeSerif" w:hAnsi="FreeSerif"/>
          <w:color w:val="00000A"/>
          <w:highlight w:val="green"/>
          <w:lang w:val="en-US"/>
        </w:rPr>
        <w:t>No carrier-added nucleophilic aromatic radiofluorination using solid phase supported arenediazonium sulfonates and 1-(aryldiazenyl)piperazines.</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00000A"/>
          <w:highlight w:val="green"/>
          <w:lang w:val="en-US"/>
        </w:rPr>
        <w:t>Some chemical transformations of alkyl (4-aminophenyl)carbamates</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00000A"/>
          <w:highlight w:val="green"/>
          <w:lang w:val="en-US"/>
        </w:rPr>
        <w:t>Rhodium(I)-Catalyzed Synthesis of Aryltriethoxysilanes from Arenediazonium Tosylate Salts with Triethoxysilane.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eastAsia="Times New Roman" w:cs="Times New Roman" w:ascii="FreeSerif" w:hAnsi="FreeSerif"/>
          <w:color w:val="00000A"/>
          <w:highlight w:val="green"/>
          <w:lang w:val="en-US"/>
        </w:rPr>
        <w:t>Changes in major charge transport by molecular spatial orientation in graphene channel field effect transistors.</w:t>
      </w:r>
      <w:r>
        <w:rPr>
          <w:rFonts w:eastAsia="Times New Roman" w:cs="Times New Roman" w:ascii="FreeSerif" w:hAnsi="FreeSerif"/>
          <w:lang w:val="en-US"/>
        </w:rPr>
        <w:t xml:space="preserve"> Chem. Commun. 2013, 49, 6289-6291.</w:t>
      </w:r>
    </w:p>
    <w:p>
      <w:pPr>
        <w:pStyle w:val="Normal"/>
        <w:numPr>
          <w:ilvl w:val="0"/>
          <w:numId w:val="4"/>
        </w:numPr>
        <w:tabs>
          <w:tab w:val="center" w:pos="218" w:leader="none"/>
        </w:tabs>
        <w:spacing w:before="0" w:after="57"/>
        <w:ind w:left="0" w:firstLine="283"/>
        <w:rPr/>
      </w:pPr>
      <w:hyperlink r:id="rId26">
        <w:r>
          <w:rPr>
            <w:rStyle w:val="Style13"/>
            <w:rFonts w:eastAsia="Calibri" w:cs="Calibri" w:ascii="FreeSerif" w:hAnsi="FreeSerif"/>
            <w:color w:val="0000FF"/>
            <w:lang w:val="en-US"/>
          </w:rPr>
          <w:t>http://www.unece.org/trans/danger/danger.html</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4"/>
        </w:numPr>
        <w:tabs>
          <w:tab w:val="center" w:pos="218" w:leader="none"/>
        </w:tabs>
        <w:spacing w:before="0" w:after="57"/>
        <w:ind w:left="0" w:firstLine="283"/>
        <w:rPr/>
      </w:pPr>
      <w:commentRangeStart w:id="32"/>
      <w:r>
        <w:rPr>
          <w:highlight w:val="green"/>
          <w:lang w:val="en-US"/>
        </w:rPr>
        <w:t>(a)</w:t>
      </w:r>
      <w:r>
        <w:rPr>
          <w:highlight w:val="green"/>
          <w:lang w:val="en-US"/>
        </w:rPr>
      </w:r>
      <w:commentRangeEnd w:id="32"/>
      <w:r>
        <w:commentReference w:id="32"/>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Normal"/>
        <w:numPr>
          <w:ilvl w:val="0"/>
          <w:numId w:val="4"/>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 xml:space="preserve">[1c] method implemented in the R statistics software package for statistical analysis and processing [2]. The initial values for the first approximation were taken from the DSC-TGA data (endothermic reaction). Figure </w:t>
      </w:r>
      <w:r>
        <w:rPr>
          <w:bCs/>
          <w:highlight w:val="yellow"/>
          <w:lang w:val="en-US"/>
        </w:rPr>
        <w:t>1s.1-6</w:t>
      </w:r>
      <w:r>
        <w:rPr>
          <w:bCs/>
          <w:lang w:val="en-US"/>
        </w:rPr>
        <w:t xml:space="preserve"> shows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noVBand="0" w:noHBand="0" w:lastColumn="0" w:firstColumn="0" w:lastRow="0" w:firstRow="0"/>
      </w:tblPr>
      <w:tblGrid>
        <w:gridCol w:w="626"/>
        <w:gridCol w:w="1295"/>
        <w:gridCol w:w="1219"/>
        <w:gridCol w:w="1352"/>
        <w:gridCol w:w="1508"/>
        <w:gridCol w:w="1205"/>
        <w:gridCol w:w="1261"/>
        <w:gridCol w:w="1170"/>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0.0480</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0.00304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48.5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-500.6</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0.0489</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0.00230</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30.7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-441.0</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0.0611</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0.00272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32.5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-453.9</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noVBand="0" w:noHBand="0" w:lastColumn="0" w:firstColumn="0" w:lastRow="0" w:firstRow="0"/>
      </w:tblPr>
      <w:tblGrid>
        <w:gridCol w:w="626"/>
        <w:gridCol w:w="1295"/>
        <w:gridCol w:w="1219"/>
        <w:gridCol w:w="1352"/>
        <w:gridCol w:w="1508"/>
        <w:gridCol w:w="1205"/>
        <w:gridCol w:w="1261"/>
        <w:gridCol w:w="1170"/>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0.0642</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0.00204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39.2</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-520.7</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0.0435</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0.00263</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36.7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-493.9</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0.0631</w:t>
            </w:r>
          </w:p>
        </w:tc>
        <w:tc>
          <w:tcPr>
            <w:tcW w:w="1352"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0.00259</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31.8</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-483.4</w:t>
            </w:r>
          </w:p>
        </w:tc>
        <w:tc>
          <w:tcPr>
            <w:tcW w:w="1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15.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16.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17.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18.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19.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20.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21.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22.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23.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24.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25.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48">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49"/>
      <w:footerReference w:type="default" r:id="rId50"/>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Ксения Станкевич" w:date="2019-03-23T17:17:00Z" w:initials="КС">
    <w:p>
      <w:r>
        <w:rPr>
          <w:rFonts w:eastAsia="DejaVu Sans" w:cs="DejaVu Sans"/>
          <w:color w:val="00000A"/>
          <w:lang w:val="en-US" w:eastAsia="en-US" w:bidi="en-US"/>
        </w:rPr>
        <w:t>Was it Aldrich or Sigma or Merk? I know its kinda complicated now)</w:t>
      </w:r>
    </w:p>
  </w:comment>
  <w:comment w:id="1" w:author="Александр Александрович Бондарев" w:date="2019-04-03T16:10: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17:17): "..."</w:t>
      </w:r>
    </w:p>
    <w:p>
      <w:r>
        <w:rPr>
          <w:rFonts w:eastAsia="DejaVu Sans" w:cs="DejaVu Sans"/>
          <w:color w:val="00000A"/>
          <w:sz w:val="20"/>
          <w:lang w:val="en-US" w:eastAsia="ru-RU" w:bidi="ar-SA"/>
        </w:rPr>
        <w:t>К сожалению не совсем понял Ваш вопрос. Не знаю как правильно.</w:t>
      </w:r>
    </w:p>
  </w:comment>
  <w:comment w:id="2" w:author="Ксения Станкевич" w:date="2019-03-23T17:17:00Z" w:initials="КС">
    <w:p>
      <w:r>
        <w:rPr>
          <w:rFonts w:eastAsia="DejaVu Sans" w:cs="DejaVu Sans"/>
          <w:color w:val="00000A"/>
          <w:lang w:val="en-US" w:eastAsia="en-US" w:bidi="en-US"/>
        </w:rPr>
        <w:t>I have added figure caption</w:t>
      </w:r>
    </w:p>
  </w:comment>
  <w:comment w:id="3" w:author="Александр Александрович Бондарев" w:date="2019-04-03T16:11:0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17:17): "..."</w:t>
      </w:r>
    </w:p>
    <w:p>
      <w:r>
        <w:rPr>
          <w:rFonts w:eastAsia="DejaVu Sans" w:cs="DejaVu Sans"/>
          <w:color w:val="00000A"/>
          <w:sz w:val="20"/>
          <w:lang w:val="en-US" w:eastAsia="ru-RU" w:bidi="ar-SA"/>
        </w:rPr>
        <w:t>Спасибо</w:t>
      </w:r>
    </w:p>
  </w:comment>
  <w:comment w:id="4" w:author="Ксения Станкевич" w:date="2019-03-23T16:59:00Z" w:initials="КС">
    <w:p>
      <w:r>
        <w:rPr>
          <w:rFonts w:eastAsia="DejaVu Sans" w:cs="DejaVu Sans"/>
          <w:color w:val="00000A"/>
          <w:lang w:val="en-US" w:eastAsia="en-US" w:bidi="en-US"/>
        </w:rPr>
        <w:t>I suggest to mention the following parameters:</w:t>
      </w:r>
    </w:p>
    <w:p>
      <w:r>
        <w:rPr>
          <w:rFonts w:eastAsia="DejaVu Sans" w:cs="DejaVu Sans"/>
          <w:color w:val="auto"/>
          <w:lang w:val="en-US" w:eastAsia="en-US" w:bidi="en-US"/>
        </w:rPr>
      </w:r>
    </w:p>
    <w:p>
      <w:r>
        <w:rPr>
          <w:rFonts w:ascii="TimesNewRoman" w:hAnsi="TimesNewRoman" w:eastAsia="DejaVu Sans" w:cs="DejaVu Sans"/>
          <w:color w:val="00000A"/>
          <w:sz w:val="22"/>
          <w:szCs w:val="22"/>
          <w:lang w:val="en-US" w:eastAsia="en-US" w:bidi="en-US"/>
        </w:rPr>
        <w:t xml:space="preserve">a heating rate </w:t>
      </w:r>
    </w:p>
    <w:p>
      <w:r>
        <w:rPr>
          <w:rFonts w:eastAsia="DejaVu Sans" w:cs="DejaVu Sans"/>
          <w:color w:val="00000A"/>
          <w:lang w:val="en-US" w:eastAsia="en-US" w:bidi="en-US"/>
        </w:rPr>
        <w:t>temperature range</w:t>
      </w:r>
    </w:p>
    <w:p>
      <w:r>
        <w:rPr>
          <w:rFonts w:eastAsia="DejaVu Sans" w:cs="DejaVu Sans"/>
          <w:color w:val="00000A"/>
          <w:lang w:val="en-US" w:eastAsia="en-US" w:bidi="en-US"/>
        </w:rPr>
        <w:t>gas purge flow</w:t>
      </w:r>
    </w:p>
  </w:comment>
  <w:comment w:id="5" w:author="Александр Александрович Бондарев" w:date="2019-04-03T14:53:39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16:59): "..."</w:t>
      </w:r>
    </w:p>
    <w:p>
      <w:r>
        <w:rPr>
          <w:rFonts w:eastAsia="DejaVu Sans" w:cs="DejaVu Sans"/>
          <w:color w:val="00000A"/>
          <w:sz w:val="20"/>
          <w:lang w:val="en-US" w:eastAsia="ru-RU" w:bidi="ar-SA"/>
        </w:rPr>
        <w:t>Выяснил условия DSC/TGA,</w:t>
      </w:r>
    </w:p>
    <w:p>
      <w:r>
        <w:rPr>
          <w:rFonts w:eastAsia="DejaVu Sans" w:cs="DejaVu Sans"/>
          <w:color w:val="00000A"/>
          <w:sz w:val="20"/>
          <w:lang w:val="en-US" w:eastAsia="ru-RU" w:bidi="ar-SA"/>
        </w:rPr>
        <w:t>Добавил в текст.</w:t>
      </w:r>
    </w:p>
  </w:comment>
  <w:comment w:id="6" w:author="Ксения Станкевич" w:date="2019-03-23T17:14:00Z" w:initials="КС">
    <w:p>
      <w:r>
        <w:rPr>
          <w:rFonts w:eastAsia="DejaVu Sans" w:cs="DejaVu Sans"/>
          <w:color w:val="00000A"/>
          <w:lang w:val="en-US" w:eastAsia="en-US" w:bidi="en-US"/>
        </w:rPr>
        <w:t>Am I right that you evacuate he beaker that is placed into the ampoule?</w:t>
      </w:r>
    </w:p>
  </w:comment>
  <w:comment w:id="7" w:author="Александр Александрович Бондарев" w:date="2019-04-03T14:22:3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 xml:space="preserve">Заменил beaker на ampoule. Вакууммировалось и заполнялось все вместе. </w:t>
      </w:r>
    </w:p>
  </w:comment>
  <w:comment w:id="8" w:author="Ксения Станкевич" w:date="2019-03-23T17:14:00Z" w:initials="КС">
    <w:p>
      <w:r>
        <w:rPr>
          <w:rFonts w:eastAsia="DejaVu Sans" w:cs="DejaVu Sans"/>
          <w:color w:val="00000A"/>
          <w:lang w:val="en-US" w:eastAsia="en-US" w:bidi="en-US"/>
        </w:rPr>
        <w:t xml:space="preserve">I have found the full text of the paper you referring to, so I am not entirely sure if I am correct here. </w:t>
      </w:r>
    </w:p>
    <w:p>
      <w:r>
        <w:rPr>
          <w:rFonts w:eastAsia="DejaVu Sans" w:cs="DejaVu Sans"/>
          <w:color w:val="auto"/>
          <w:lang w:val="en-US" w:eastAsia="en-US" w:bidi="en-US"/>
        </w:rPr>
      </w:r>
    </w:p>
  </w:comment>
  <w:comment w:id="9" w:author="Александр Александрович Бондарев" w:date="2019-04-03T14:55: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Мы выкинули ценные ссылки из списка литературы, где применяли аналогичный подход, теперь я их вернул. Сгладил формулировку.</w:t>
      </w:r>
    </w:p>
  </w:comment>
  <w:comment w:id="10" w:author="Ксения Станкевич" w:date="2019-03-23T17:08:00Z" w:initials="КС">
    <w:p>
      <w:r>
        <w:rPr>
          <w:rFonts w:eastAsia="DejaVu Sans" w:cs="DejaVu Sans"/>
          <w:color w:val="00000A"/>
          <w:lang w:val="en-US" w:eastAsia="en-US" w:bidi="en-US"/>
        </w:rPr>
        <w:t>Are those the parameters of ESI or APCI? Did you use both sources for your experiments?</w:t>
      </w:r>
    </w:p>
    <w:p>
      <w:r>
        <w:rPr>
          <w:rFonts w:eastAsia="DejaVu Sans" w:cs="DejaVu Sans"/>
          <w:color w:val="00000A"/>
          <w:lang w:val="en-US" w:eastAsia="en-US" w:bidi="en-US"/>
        </w:rPr>
        <w:t>What is “fragmentor”? Is it like the part of the device where compound is ionized?</w:t>
      </w:r>
    </w:p>
  </w:comment>
  <w:comment w:id="11" w:author="Александр Александрович Бондарев" w:date="2019-04-03T14:52:3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ru-RU" w:eastAsia="ru-RU"/>
        </w:rPr>
        <w:t>Ответ на Ксения Станкевич (23.03.2019, 17:08): "..."</w:t>
      </w:r>
    </w:p>
    <w:p>
      <w:r>
        <w:rPr>
          <w:rFonts w:eastAsia="DejaVu Sans" w:cs="DejaVu Sans"/>
          <w:color w:val="00000A"/>
          <w:sz w:val="20"/>
          <w:lang w:val="ru-RU" w:eastAsia="ru-RU" w:bidi="ar-SA"/>
        </w:rPr>
        <w:t>Добавил более полное описание. Фрагментор — часть прибора после вакуумного капиляра.</w:t>
      </w:r>
    </w:p>
  </w:comment>
  <w:comment w:id="12" w:author="Ксения Станкевич" w:date="2019-03-23T18:03:00Z" w:initials="КС">
    <w:p>
      <w:r>
        <w:rPr>
          <w:rFonts w:eastAsia="DejaVu Sans" w:cs="DejaVu Sans"/>
          <w:color w:val="00000A"/>
          <w:lang w:val="en-US" w:eastAsia="en-US" w:bidi="en-US"/>
        </w:rPr>
        <w:t>Is it correct?</w:t>
      </w:r>
    </w:p>
  </w:comment>
  <w:comment w:id="13" w:author="Ксения Станкевич" w:date="2019-03-23T18:02:00Z" w:initials="КС">
    <w:p>
      <w:r>
        <w:rPr>
          <w:rFonts w:eastAsia="DejaVu Sans" w:cs="DejaVu Sans"/>
          <w:color w:val="00000A"/>
          <w:lang w:val="en-US" w:eastAsia="en-US" w:bidi="en-US"/>
        </w:rPr>
        <w:t xml:space="preserve">You haven’t mentioned those temperatures in above passages. Is it temperatures used for decomposition products study? </w:t>
      </w:r>
    </w:p>
  </w:comment>
  <w:comment w:id="14" w:author="Александр Александрович Бондарев" w:date="2019-04-03T14:35:4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18:02): "..."</w:t>
      </w:r>
    </w:p>
    <w:p>
      <w:r>
        <w:rPr>
          <w:rFonts w:eastAsia="DejaVu Sans" w:cs="DejaVu Sans"/>
          <w:color w:val="00000A"/>
          <w:sz w:val="20"/>
          <w:lang w:val="en-US" w:eastAsia="ru-RU" w:bidi="ar-SA"/>
        </w:rPr>
        <w:t>Спасибо! Да добавил эти температуры в описание методики.</w:t>
      </w:r>
    </w:p>
  </w:comment>
  <w:comment w:id="15" w:author="Александр Александрович Бондарев" w:date="2019-04-03T13:25:08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корректно</w:t>
      </w:r>
    </w:p>
  </w:comment>
  <w:comment w:id="16" w:author="Александр Александрович Бондарев" w:date="2019-04-03T13:23:3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точное значение</w:t>
      </w:r>
    </w:p>
  </w:comment>
  <w:comment w:id="17" w:author="Ксения Станкевич" w:date="2019-03-25T21:22:00Z" w:initials="КС">
    <w:p>
      <w:r>
        <w:rPr>
          <w:rFonts w:eastAsia="DejaVu Sans" w:cs="DejaVu Sans"/>
          <w:color w:val="00000A"/>
          <w:lang w:val="en-US" w:eastAsia="en-US" w:bidi="en-US"/>
        </w:rPr>
        <w:t>What did you mean by that?</w:t>
      </w:r>
    </w:p>
  </w:comment>
  <w:comment w:id="18" w:author="Александр Александрович Бондарев" w:date="2019-04-03T14:01:13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(25.03.2019, 21:22): "..."</w:t>
      </w:r>
    </w:p>
    <w:p>
      <w:r>
        <w:rPr>
          <w:rFonts w:eastAsia="DejaVu Sans" w:cs="DejaVu Sans"/>
          <w:color w:val="00000A"/>
          <w:sz w:val="20"/>
          <w:lang w:val="en-US" w:eastAsia="ru-RU" w:bidi="ar-SA"/>
        </w:rPr>
        <w:t>Имеются ввиду как минимум два механизма нуклеофильного замещения и образование бензин производного (схемы 2 и 3). Немного исправил текст.</w:t>
      </w:r>
    </w:p>
  </w:comment>
  <w:comment w:id="19" w:author="&lt;анонимный&gt;" w:date="2019-04-03T23:49:12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Убрал отрицательное значение.</w:t>
      </w:r>
    </w:p>
  </w:comment>
  <w:comment w:id="20" w:author="Ксения Станкевич" w:date="2019-03-27T09:33:00Z" w:initials="КС">
    <w:p>
      <w:r>
        <w:rPr>
          <w:rFonts w:eastAsia="DejaVu Sans" w:cs="DejaVu Sans"/>
          <w:color w:val="00000A"/>
          <w:lang w:val="en-US" w:eastAsia="en-US" w:bidi="en-US"/>
        </w:rPr>
        <w:t>I suggest assigning different numbers to figures in Supporting and add S in front of it. It is very common to do that and most of the journals would eventually force you to arrange the data in that way</w:t>
      </w:r>
    </w:p>
  </w:comment>
  <w:comment w:id="21" w:author="Александр Александрович Бондарев" w:date="2019-04-03T13:27:46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(27.03.2019, 09:33): "..."</w:t>
      </w:r>
    </w:p>
    <w:p>
      <w:r>
        <w:rPr>
          <w:rFonts w:eastAsia="DejaVu Sans" w:cs="DejaVu Sans"/>
          <w:color w:val="00000A"/>
          <w:sz w:val="20"/>
          <w:lang w:val="en-US" w:eastAsia="ru-RU" w:bidi="ar-SA"/>
        </w:rPr>
        <w:t>Спасибо!</w:t>
      </w:r>
    </w:p>
  </w:comment>
  <w:comment w:id="22" w:author="Александр Александрович Бондарев" w:date="2019-04-03T13:43:15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Убрал нумерацию</w:t>
      </w:r>
    </w:p>
  </w:comment>
  <w:comment w:id="23" w:author="Ксения Станкевич" w:date="2019-03-26T17:38:00Z" w:initials="КС">
    <w:p>
      <w:r>
        <w:rPr>
          <w:rFonts w:eastAsia="DejaVu Sans" w:cs="DejaVu Sans"/>
          <w:color w:val="00000A"/>
          <w:lang w:val="en-US" w:eastAsia="en-US" w:bidi="en-US"/>
        </w:rPr>
        <w:t>I would assign this as Scheme not an equation since you are providing mechanism</w:t>
      </w:r>
    </w:p>
  </w:comment>
  <w:comment w:id="24" w:author="Александр Александрович Бондарев" w:date="2019-04-03T13:28:5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(26.03.2019, 17:38): "..."</w:t>
      </w:r>
    </w:p>
    <w:p>
      <w:r>
        <w:rPr>
          <w:rFonts w:eastAsia="DejaVu Sans" w:cs="DejaVu Sans"/>
          <w:color w:val="00000A"/>
          <w:sz w:val="20"/>
          <w:lang w:val="en-US" w:eastAsia="ru-RU" w:bidi="ar-SA"/>
        </w:rPr>
        <w:t>Спасибо Ксения! Так действительно более корректно.</w:t>
      </w:r>
    </w:p>
  </w:comment>
  <w:comment w:id="25" w:author="Александр Александрович Бондарев" w:date="2019-04-03T13:33:42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6" w:author="Александр Александрович Бондарев" w:date="2019-04-03T13:40:4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Рисунок исправил, добавил обозначение для интермедиата</w:t>
      </w:r>
    </w:p>
  </w:comment>
  <w:comment w:id="27" w:author="Ксения Станкевич" w:date="2019-03-26T17:53:00Z" w:initials="КС">
    <w:p>
      <w:r>
        <w:rPr>
          <w:rFonts w:eastAsia="DejaVu Sans" w:cs="DejaVu Sans"/>
          <w:color w:val="00000A"/>
          <w:lang w:val="en-US" w:eastAsia="en-US" w:bidi="en-US"/>
        </w:rPr>
        <w:t>Same is here. It may be useful to assign numbers to intermediate structures</w:t>
      </w:r>
    </w:p>
  </w:comment>
  <w:comment w:id="28" w:author="Александр Александрович Бондарев" w:date="2019-04-03T13:34:13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9" w:author="Александр Александрович Бондарев" w:date="2019-04-03T13:52:14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Заменил equation на reaction</w:t>
      </w:r>
    </w:p>
  </w:comment>
  <w:comment w:id="30" w:author="&lt;анонимный&gt;" w:date="2019-04-03T22:42:22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Исправил номер схемы</w:t>
      </w:r>
    </w:p>
  </w:comment>
  <w:comment w:id="31" w:author="&lt;анонимный&gt;" w:date="2019-04-03T23:41:14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Добавил названия статей</w:t>
      </w:r>
    </w:p>
  </w:comment>
  <w:comment w:id="32" w:author="Александр Александрович Бондарев" w:date="2019-04-03T11:45:0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Добавлены ссылки на применение потоковой калориметрии для оценки стабильности высоко- энергетичных материалов.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 w:name="TimesNew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35</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23.04.19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9"/>
    <w:qFormat/>
    <w:pPr>
      <w:widowControl w:val="false"/>
      <w:numPr>
        <w:ilvl w:val="0"/>
        <w:numId w:val="1"/>
      </w:numPr>
      <w:bidi w:val="0"/>
      <w:spacing w:before="170" w:after="113"/>
      <w:jc w:val="left"/>
      <w:outlineLvl w:val="0"/>
      <w:outlineLvl w:val="0"/>
    </w:pPr>
    <w:rPr>
      <w:rFonts w:ascii="Times New Roman" w:hAnsi="Times New Roman" w:eastAsia="Times New Roman" w:cs="Times New Roman"/>
      <w:b/>
      <w:caps/>
      <w:color w:val="669900"/>
      <w:sz w:val="24"/>
      <w:szCs w:val="36"/>
      <w:lang w:val="ru-RU" w:eastAsia="ru-RU" w:bidi="ar-SA"/>
    </w:rPr>
  </w:style>
  <w:style w:type="paragraph" w:styleId="2">
    <w:name w:val="Heading 2"/>
    <w:basedOn w:val="Style19"/>
    <w:qFormat/>
    <w:pPr>
      <w:widowControl w:val="false"/>
      <w:numPr>
        <w:ilvl w:val="1"/>
        <w:numId w:val="1"/>
      </w:numPr>
      <w:bidi w:val="0"/>
      <w:spacing w:before="113" w:after="57"/>
      <w:ind w:firstLine="397"/>
      <w:jc w:val="left"/>
      <w:outlineLvl w:val="1"/>
      <w:outlineLvl w:val="1"/>
    </w:pPr>
    <w:rPr>
      <w:rFonts w:ascii="Times New Roman" w:hAnsi="Times New Roman" w:eastAsia="Times New Roman" w:cs="Times New Roman"/>
      <w:b/>
      <w:color w:val="00000A"/>
      <w:sz w:val="24"/>
      <w:szCs w:val="32"/>
      <w:lang w:val="ru-RU" w:eastAsia="ru-RU" w:bidi="ar-SA"/>
    </w:rPr>
  </w:style>
  <w:style w:type="paragraph" w:styleId="3">
    <w:name w:val="Heading 3"/>
    <w:basedOn w:val="Style19"/>
    <w:qFormat/>
    <w:pPr>
      <w:widowControl w:val="false"/>
      <w:numPr>
        <w:ilvl w:val="2"/>
        <w:numId w:val="1"/>
      </w:numPr>
      <w:bidi w:val="0"/>
      <w:spacing w:before="142" w:after="0"/>
      <w:ind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link w:val="af8"/>
    <w:uiPriority w:val="99"/>
    <w:qFormat/>
    <w:rsid w:val="007235e1"/>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DemiLight"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14"/>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0">
    <w:name w:val="Header"/>
    <w:basedOn w:val="Normal"/>
    <w:link w:val="af9"/>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color w:val="00000A"/>
      <w:lang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12306</TotalTime>
  <Application>LibreOffice/5.2.7.2$Linux_X86_64 LibreOffice_project/20m0$Build-2</Application>
  <Pages>35</Pages>
  <Words>7878</Words>
  <Characters>44649</Characters>
  <CharactersWithSpaces>52072</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
  <cp:lastPrinted>1900-12-31T17:00:00Z</cp:lastPrinted>
  <dcterms:modified xsi:type="dcterms:W3CDTF">2019-04-23T22:18:17Z</dcterms:modified>
  <cp:revision>180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