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wmf" ContentType="image/x-wmf"/>
  <Override PartName="/word/media/image19.wmf" ContentType="image/x-wmf"/>
  <Override PartName="/word/media/image18.png" ContentType="image/png"/>
  <Override PartName="/word/media/image17.png" ContentType="image/png"/>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wmf" ContentType="image/x-wmf"/>
  <Override PartName="/word/media/image8.wmf" ContentType="image/x-wmf"/>
  <Override PartName="/word/media/image10.wmf" ContentType="image/x-wmf"/>
  <Override PartName="/word/media/image9.wmf" ContentType="image/x-wm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SupportingInformation"/>
        <w:rPr>
          <w:b/>
          <w:b/>
          <w:bCs/>
        </w:rPr>
      </w:pPr>
      <w:r/>
      <w:r>
        <w:rPr>
          <w:b/>
          <w:bCs/>
        </w:rPr>
        <w:t>Supporting</w:t>
      </w:r>
    </w:p>
    <w:p>
      <w:pPr>
        <w:pStyle w:val="TESupportingInformation"/>
        <w:rPr>
          <w:b/>
          <w:b/>
          <w:bCs/>
        </w:rPr>
      </w:pPr>
      <w:r>
        <w:rPr>
          <w:b/>
          <w:bCs/>
        </w:rPr>
        <w:t>1s. Results of modeling and deconvolution of heat flow experimental kinetic curves acquired in isothermal conditions</w:t>
      </w:r>
    </w:p>
    <w:p>
      <w:pPr>
        <w:pStyle w:val="TESupportingInformation"/>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pPr>
        <w:pStyle w:val="TESupportingInformation"/>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[1c] method implemented in the R statistics software package for statistical analysis and processing [2]. The initial values for the first approximation were taken from the DSC-TGA data (endothermic reaction). Figures 1s.1-6 show the results of deconvolution. The model of two independent autocatalytic processes was found to describe the experimental dependencies more accurately.</w:t>
      </w:r>
    </w:p>
    <w:p>
      <w:pPr>
        <w:pStyle w:val="TESupportingInformation"/>
        <w:rPr/>
      </w:pPr>
      <w:r>
        <w:rPr/>
      </w:r>
    </w:p>
    <w:p>
      <w:pPr>
        <w:pStyle w:val="TESupportingInformation"/>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Pr>
      <w:tblGrid>
        <w:gridCol w:w="608"/>
        <w:gridCol w:w="1258"/>
        <w:gridCol w:w="1184"/>
        <w:gridCol w:w="1317"/>
        <w:gridCol w:w="1465"/>
        <w:gridCol w:w="1170"/>
        <w:gridCol w:w="1226"/>
        <w:gridCol w:w="1132"/>
      </w:tblGrid>
      <w:tr>
        <w:trPr>
          <w:trHeight w:val="256" w:hRule="atLeast"/>
        </w:trPr>
        <w:tc>
          <w:tcPr>
            <w:tcW w:w="60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Quality</w:t>
            </w:r>
          </w:p>
        </w:tc>
      </w:tr>
      <w:tr>
        <w:trPr>
          <w:trHeight w:val="256" w:hRule="atLeast"/>
        </w:trPr>
        <w:tc>
          <w:tcPr>
            <w:tcW w:w="60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0.5222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0.0480</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0.00133</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0.00304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48.5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-500.6</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lang w:val="en-US"/>
              </w:rPr>
              <w:t>7.3·10</w:t>
            </w:r>
            <w:r>
              <w:rPr>
                <w:vertAlign w:val="superscript"/>
                <w:lang w:val="en-US"/>
              </w:rPr>
              <w:t>-10</w:t>
            </w:r>
          </w:p>
        </w:tc>
      </w:tr>
      <w:tr>
        <w:trPr>
          <w:trHeight w:val="256" w:hRule="atLeast"/>
        </w:trPr>
        <w:tc>
          <w:tcPr>
            <w:tcW w:w="60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0.4046</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0.0489</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0.00111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0.00230</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30.7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-441.0</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lang w:val="en-US"/>
              </w:rPr>
              <w:t>7.1·10</w:t>
            </w:r>
            <w:r>
              <w:rPr>
                <w:vertAlign w:val="superscript"/>
                <w:lang w:val="en-US"/>
              </w:rPr>
              <w:t>-9</w:t>
            </w:r>
          </w:p>
        </w:tc>
      </w:tr>
      <w:tr>
        <w:trPr>
          <w:trHeight w:val="256" w:hRule="atLeast"/>
        </w:trPr>
        <w:tc>
          <w:tcPr>
            <w:tcW w:w="60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0.9554</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0.0611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0.00070</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0.00272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32.5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-453.9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lang w:val="en-US"/>
              </w:rPr>
              <w:t>1.3·10</w:t>
            </w:r>
            <w:r>
              <w:rPr>
                <w:vertAlign w:val="superscript"/>
                <w:lang w:val="en-US"/>
              </w:rPr>
              <w:t>-8</w:t>
            </w:r>
          </w:p>
        </w:tc>
      </w:tr>
    </w:tbl>
    <w:p>
      <w:pPr>
        <w:pStyle w:val="TESupportingInformation"/>
        <w:rPr/>
      </w:pPr>
      <w:r>
        <w:rPr/>
      </w:r>
    </w:p>
    <w:p>
      <w:pPr>
        <w:pStyle w:val="TESupportingInformation"/>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Pr>
      <w:tblGrid>
        <w:gridCol w:w="608"/>
        <w:gridCol w:w="1258"/>
        <w:gridCol w:w="1184"/>
        <w:gridCol w:w="1317"/>
        <w:gridCol w:w="1465"/>
        <w:gridCol w:w="1170"/>
        <w:gridCol w:w="1226"/>
        <w:gridCol w:w="1132"/>
      </w:tblGrid>
      <w:tr>
        <w:trPr>
          <w:trHeight w:val="256" w:hRule="atLeast"/>
        </w:trPr>
        <w:tc>
          <w:tcPr>
            <w:tcW w:w="60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Quality</w:t>
            </w:r>
          </w:p>
        </w:tc>
      </w:tr>
      <w:tr>
        <w:trPr>
          <w:trHeight w:val="256" w:hRule="atLeast"/>
        </w:trPr>
        <w:tc>
          <w:tcPr>
            <w:tcW w:w="60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0.4679</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0.0642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0.00191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0.00204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39.2</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-520.7</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lang w:val="en-US"/>
              </w:rPr>
              <w:t>1.1·10</w:t>
            </w:r>
            <w:r>
              <w:rPr>
                <w:vertAlign w:val="superscript"/>
                <w:lang w:val="en-US"/>
              </w:rPr>
              <w:t>-9</w:t>
            </w:r>
          </w:p>
        </w:tc>
      </w:tr>
      <w:tr>
        <w:trPr>
          <w:trHeight w:val="256" w:hRule="atLeast"/>
        </w:trPr>
        <w:tc>
          <w:tcPr>
            <w:tcW w:w="60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0.5791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0.0435</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0.00122</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0.00263</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36.7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-493.9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lang w:val="en-US"/>
              </w:rPr>
              <w:t>6.1·10</w:t>
            </w:r>
            <w:r>
              <w:rPr>
                <w:vertAlign w:val="superscript"/>
                <w:lang w:val="en-US"/>
              </w:rPr>
              <w:t>-9</w:t>
            </w:r>
          </w:p>
        </w:tc>
      </w:tr>
      <w:tr>
        <w:trPr>
          <w:trHeight w:val="256" w:hRule="atLeast"/>
        </w:trPr>
        <w:tc>
          <w:tcPr>
            <w:tcW w:w="60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1.0512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0.0631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0.00075</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0.00259</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31.8</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t>-483.4</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1" w:type="dxa"/>
            </w:tcMar>
            <w:vAlign w:val="bottom"/>
          </w:tcPr>
          <w:p>
            <w:pPr>
              <w:pStyle w:val="TESupportingInformation"/>
              <w:spacing w:lineRule="auto" w:line="480" w:before="0" w:after="200"/>
              <w:ind w:left="0" w:right="0" w:firstLine="187"/>
              <w:rPr/>
            </w:pPr>
            <w:r>
              <w:rPr>
                <w:lang w:val="en-US"/>
              </w:rPr>
              <w:t>1.3·10</w:t>
            </w:r>
            <w:r>
              <w:rPr>
                <w:vertAlign w:val="superscript"/>
                <w:lang w:val="en-US"/>
              </w:rPr>
              <w:t>-8</w:t>
            </w:r>
          </w:p>
        </w:tc>
      </w:tr>
    </w:tbl>
    <w:p>
      <w:pPr>
        <w:pStyle w:val="TESupportingInformation"/>
        <w:rPr/>
      </w:pPr>
      <w:r>
        <w:rPr/>
      </w:r>
      <w:r>
        <w:br w:type="page"/>
      </w:r>
    </w:p>
    <w:p>
      <w:pPr>
        <w:pStyle w:val="TESupportingInformation"/>
        <w:rPr/>
      </w:pPr>
      <w:r>
        <w:rPr/>
      </w:r>
    </w:p>
    <w:p>
      <w:pPr>
        <w:pStyle w:val="TESupportingInformation"/>
        <w:rPr/>
      </w:pPr>
      <w:r>
        <w:rPr/>
        <w:drawing>
          <wp:inline distT="0" distB="0" distL="0" distR="0">
            <wp:extent cx="4201160" cy="3818255"/>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201160" cy="3818255"/>
                    </a:xfrm>
                    <a:prstGeom prst="rect">
                      <a:avLst/>
                    </a:prstGeom>
                  </pic:spPr>
                </pic:pic>
              </a:graphicData>
            </a:graphic>
          </wp:inline>
        </w:drawing>
      </w:r>
    </w:p>
    <w:p>
      <w:pPr>
        <w:pStyle w:val="TESupportingInformation"/>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rPr/>
      </w:pPr>
      <w:r>
        <w:rPr/>
      </w:r>
    </w:p>
    <w:p>
      <w:pPr>
        <w:pStyle w:val="TESupportingInformation"/>
        <w:rPr/>
      </w:pPr>
      <w:r>
        <w:rPr/>
        <w:drawing>
          <wp:inline distT="0" distB="0" distL="0" distR="0">
            <wp:extent cx="4167505" cy="3787775"/>
            <wp:effectExtent l="0" t="0" r="0" b="0"/>
            <wp:docPr id="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8" descr=""/>
                    <pic:cNvPicPr>
                      <a:picLocks noChangeAspect="1" noChangeArrowheads="1"/>
                    </pic:cNvPicPr>
                  </pic:nvPicPr>
                  <pic:blipFill>
                    <a:blip r:embed="rId3"/>
                    <a:stretch>
                      <a:fillRect/>
                    </a:stretch>
                  </pic:blipFill>
                  <pic:spPr bwMode="auto">
                    <a:xfrm>
                      <a:off x="0" y="0"/>
                      <a:ext cx="4167505" cy="3787775"/>
                    </a:xfrm>
                    <a:prstGeom prst="rect">
                      <a:avLst/>
                    </a:prstGeom>
                  </pic:spPr>
                </pic:pic>
              </a:graphicData>
            </a:graphic>
          </wp:inline>
        </w:drawing>
      </w:r>
    </w:p>
    <w:p>
      <w:pPr>
        <w:pStyle w:val="TESupportingInformation"/>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rPr/>
      </w:pPr>
      <w:r>
        <w:rPr/>
      </w:r>
    </w:p>
    <w:p>
      <w:pPr>
        <w:pStyle w:val="TESupportingInformation"/>
        <w:rPr/>
      </w:pPr>
      <w:r>
        <w:rPr/>
        <w:drawing>
          <wp:inline distT="0" distB="0" distL="0" distR="0">
            <wp:extent cx="3982085" cy="3619500"/>
            <wp:effectExtent l="0" t="0" r="0" b="0"/>
            <wp:docPr id="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3" descr=""/>
                    <pic:cNvPicPr>
                      <a:picLocks noChangeAspect="1" noChangeArrowheads="1"/>
                    </pic:cNvPicPr>
                  </pic:nvPicPr>
                  <pic:blipFill>
                    <a:blip r:embed="rId4"/>
                    <a:stretch>
                      <a:fillRect/>
                    </a:stretch>
                  </pic:blipFill>
                  <pic:spPr bwMode="auto">
                    <a:xfrm>
                      <a:off x="0" y="0"/>
                      <a:ext cx="3982085" cy="3619500"/>
                    </a:xfrm>
                    <a:prstGeom prst="rect">
                      <a:avLst/>
                    </a:prstGeom>
                  </pic:spPr>
                </pic:pic>
              </a:graphicData>
            </a:graphic>
          </wp:inline>
        </w:drawing>
      </w:r>
    </w:p>
    <w:p>
      <w:pPr>
        <w:pStyle w:val="TESupportingInformation"/>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rPr/>
      </w:pPr>
      <w:r>
        <w:rPr/>
      </w:r>
    </w:p>
    <w:p>
      <w:pPr>
        <w:pStyle w:val="TESupportingInformation"/>
        <w:rPr/>
      </w:pPr>
      <w:r>
        <w:rPr/>
        <w:drawing>
          <wp:inline distT="0" distB="0" distL="0" distR="0">
            <wp:extent cx="4034790" cy="3667125"/>
            <wp:effectExtent l="0" t="0" r="0" b="0"/>
            <wp:docPr id="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4" descr=""/>
                    <pic:cNvPicPr>
                      <a:picLocks noChangeAspect="1" noChangeArrowheads="1"/>
                    </pic:cNvPicPr>
                  </pic:nvPicPr>
                  <pic:blipFill>
                    <a:blip r:embed="rId5"/>
                    <a:stretch>
                      <a:fillRect/>
                    </a:stretch>
                  </pic:blipFill>
                  <pic:spPr bwMode="auto">
                    <a:xfrm>
                      <a:off x="0" y="0"/>
                      <a:ext cx="4034790" cy="3667125"/>
                    </a:xfrm>
                    <a:prstGeom prst="rect">
                      <a:avLst/>
                    </a:prstGeom>
                  </pic:spPr>
                </pic:pic>
              </a:graphicData>
            </a:graphic>
          </wp:inline>
        </w:drawing>
      </w:r>
    </w:p>
    <w:p>
      <w:pPr>
        <w:pStyle w:val="TESupportingInformation"/>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rPr/>
      </w:pPr>
      <w:r>
        <w:rPr/>
        <w:t xml:space="preserve"> </w:t>
      </w:r>
    </w:p>
    <w:p>
      <w:pPr>
        <w:pStyle w:val="TESupportingInformation"/>
        <w:rPr/>
      </w:pPr>
      <w:r>
        <w:rPr/>
        <w:drawing>
          <wp:inline distT="0" distB="0" distL="0" distR="0">
            <wp:extent cx="4125595" cy="3749675"/>
            <wp:effectExtent l="0" t="0" r="0" b="0"/>
            <wp:docPr id="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5" descr=""/>
                    <pic:cNvPicPr>
                      <a:picLocks noChangeAspect="1" noChangeArrowheads="1"/>
                    </pic:cNvPicPr>
                  </pic:nvPicPr>
                  <pic:blipFill>
                    <a:blip r:embed="rId6"/>
                    <a:stretch>
                      <a:fillRect/>
                    </a:stretch>
                  </pic:blipFill>
                  <pic:spPr bwMode="auto">
                    <a:xfrm>
                      <a:off x="0" y="0"/>
                      <a:ext cx="4125595" cy="3749675"/>
                    </a:xfrm>
                    <a:prstGeom prst="rect">
                      <a:avLst/>
                    </a:prstGeom>
                  </pic:spPr>
                </pic:pic>
              </a:graphicData>
            </a:graphic>
          </wp:inline>
        </w:drawing>
      </w:r>
    </w:p>
    <w:p>
      <w:pPr>
        <w:pStyle w:val="TESupportingInformation"/>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rPr/>
      </w:pPr>
      <w:r>
        <w:rPr/>
      </w:r>
    </w:p>
    <w:p>
      <w:pPr>
        <w:pStyle w:val="TESupportingInformation"/>
        <w:rPr/>
      </w:pPr>
      <w:r>
        <w:rPr/>
        <w:drawing>
          <wp:inline distT="0" distB="0" distL="0" distR="0">
            <wp:extent cx="4027805" cy="3660775"/>
            <wp:effectExtent l="0" t="0" r="0" b="0"/>
            <wp:docPr id="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6" descr=""/>
                    <pic:cNvPicPr>
                      <a:picLocks noChangeAspect="1" noChangeArrowheads="1"/>
                    </pic:cNvPicPr>
                  </pic:nvPicPr>
                  <pic:blipFill>
                    <a:blip r:embed="rId7"/>
                    <a:stretch>
                      <a:fillRect/>
                    </a:stretch>
                  </pic:blipFill>
                  <pic:spPr bwMode="auto">
                    <a:xfrm>
                      <a:off x="0" y="0"/>
                      <a:ext cx="4027805" cy="3660775"/>
                    </a:xfrm>
                    <a:prstGeom prst="rect">
                      <a:avLst/>
                    </a:prstGeom>
                  </pic:spPr>
                </pic:pic>
              </a:graphicData>
            </a:graphic>
          </wp:inline>
        </w:drawing>
      </w:r>
    </w:p>
    <w:p>
      <w:pPr>
        <w:pStyle w:val="TESupportingInformation"/>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rPr/>
      </w:pPr>
      <w:r>
        <w:rPr/>
      </w:r>
    </w:p>
    <w:p>
      <w:pPr>
        <w:pStyle w:val="TESupportingInformation"/>
        <w:rPr/>
      </w:pPr>
      <w:r>
        <w:rPr>
          <w:color w:val="000000"/>
          <w:lang w:val="en-US"/>
        </w:rPr>
        <w:t xml:space="preserve"> </w:t>
      </w:r>
      <w:r>
        <w:rPr>
          <w:b/>
          <w:bCs/>
          <w:color w:val="000000"/>
          <w:lang w:val="en-US"/>
        </w:rPr>
        <w:t>REFERENCES</w:t>
      </w:r>
    </w:p>
    <w:p>
      <w:pPr>
        <w:pStyle w:val="TESupportingInformation"/>
        <w:numPr>
          <w:ilvl w:val="0"/>
          <w:numId w:val="2"/>
        </w:numPr>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14"/>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14"/>
          <w:rFonts w:eastAsia="Times New Roman" w:cs="Times New Roman" w:ascii="FreeSerif" w:hAnsi="FreeSerif"/>
          <w:i w:val="false"/>
          <w:iCs w:val="false"/>
          <w:highlight w:val="green"/>
          <w:lang w:val="en-US"/>
        </w:rPr>
        <w:t>(c) J.A. Nelder and R. Mead, Computer Journal, 1965, vol 7, pp 308—313, doi:10.1093/comjnl/7.4.308</w:t>
      </w:r>
    </w:p>
    <w:p>
      <w:pPr>
        <w:pStyle w:val="TESupportingInformation"/>
        <w:numPr>
          <w:ilvl w:val="0"/>
          <w:numId w:val="2"/>
        </w:numPr>
        <w:rPr/>
      </w:pPr>
      <w:r>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TESupportingInformation"/>
        <w:rPr/>
      </w:pPr>
      <w:r>
        <w:rPr/>
      </w:r>
    </w:p>
    <w:p>
      <w:pPr>
        <w:pStyle w:val="TESupportingInformation"/>
        <w:rPr/>
      </w:pPr>
      <w:r>
        <w:rPr/>
      </w:r>
    </w:p>
    <w:p>
      <w:pPr>
        <w:pStyle w:val="TESupportingInformation"/>
        <w:rPr/>
      </w:pPr>
      <w:r>
        <w:rPr/>
      </w:r>
      <w:r>
        <w:br w:type="page"/>
      </w:r>
    </w:p>
    <w:p>
      <w:pPr>
        <w:pStyle w:val="TESupportingInformation"/>
        <w:rPr/>
      </w:pPr>
      <w:r>
        <w:rPr/>
      </w:r>
    </w:p>
    <w:p>
      <w:pPr>
        <w:pStyle w:val="TESupportingInformation"/>
        <w:rPr>
          <w:b/>
          <w:b/>
          <w:bCs/>
        </w:rPr>
      </w:pPr>
      <w:r>
        <w:rPr>
          <w:b/>
          <w:bCs/>
        </w:rPr>
        <w:t>Supporting 2s. GC-MS spectra of the decomposition products of diazonium salts studied</w:t>
      </w:r>
    </w:p>
    <w:p>
      <w:pPr>
        <w:pStyle w:val="TESupportingInformation"/>
        <w:rPr/>
      </w:pPr>
      <w:r>
        <w:rPr/>
        <w:drawing>
          <wp:inline distT="0" distB="0" distL="0" distR="0">
            <wp:extent cx="5400040" cy="2520315"/>
            <wp:effectExtent l="0" t="0" r="0" b="0"/>
            <wp:docPr id="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5" descr=""/>
                    <pic:cNvPicPr>
                      <a:picLocks noChangeAspect="1" noChangeArrowheads="1"/>
                    </pic:cNvPicPr>
                  </pic:nvPicPr>
                  <pic:blipFill>
                    <a:blip r:embed="rId8"/>
                    <a:stretch>
                      <a:fillRect/>
                    </a:stretch>
                  </pic:blipFill>
                  <pic:spPr bwMode="auto">
                    <a:xfrm>
                      <a:off x="0" y="0"/>
                      <a:ext cx="5400040" cy="2520315"/>
                    </a:xfrm>
                    <a:prstGeom prst="rect">
                      <a:avLst/>
                    </a:prstGeom>
                  </pic:spPr>
                </pic:pic>
              </a:graphicData>
            </a:graphic>
          </wp:inline>
        </w:drawing>
      </w:r>
    </w:p>
    <w:p>
      <w:pPr>
        <w:pStyle w:val="TESupportingInformation"/>
        <w:rPr/>
      </w:pPr>
      <w:r>
        <w:rPr>
          <w:lang w:val="en-US"/>
        </w:rPr>
        <w:t xml:space="preserve">Figure 2s.1 The decomposition products of DS </w:t>
      </w:r>
      <w:r>
        <w:rPr>
          <w:b/>
          <w:lang w:val="en-US"/>
        </w:rPr>
        <w:t>1a</w:t>
      </w:r>
      <w:r>
        <w:rPr>
          <w:lang w:val="en-US"/>
        </w:rPr>
        <w:t xml:space="preserve"> according to GC-MS data. </w:t>
      </w:r>
    </w:p>
    <w:p>
      <w:pPr>
        <w:pStyle w:val="TESupportingInformation"/>
        <w:rPr/>
      </w:pPr>
      <w:r>
        <w:rPr/>
      </w:r>
    </w:p>
    <w:p>
      <w:pPr>
        <w:pStyle w:val="TESupportingInformation"/>
        <w:rPr/>
      </w:pPr>
      <w:r>
        <w:rPr/>
        <w:drawing>
          <wp:inline distT="0" distB="0" distL="0" distR="0">
            <wp:extent cx="5400040" cy="2520315"/>
            <wp:effectExtent l="0" t="0" r="0" b="0"/>
            <wp:docPr id="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6" descr=""/>
                    <pic:cNvPicPr>
                      <a:picLocks noChangeAspect="1" noChangeArrowheads="1"/>
                    </pic:cNvPicPr>
                  </pic:nvPicPr>
                  <pic:blipFill>
                    <a:blip r:embed="rId9"/>
                    <a:stretch>
                      <a:fillRect/>
                    </a:stretch>
                  </pic:blipFill>
                  <pic:spPr bwMode="auto">
                    <a:xfrm>
                      <a:off x="0" y="0"/>
                      <a:ext cx="5400040" cy="2520315"/>
                    </a:xfrm>
                    <a:prstGeom prst="rect">
                      <a:avLst/>
                    </a:prstGeom>
                  </pic:spPr>
                </pic:pic>
              </a:graphicData>
            </a:graphic>
          </wp:inline>
        </w:drawing>
      </w:r>
    </w:p>
    <w:p>
      <w:pPr>
        <w:pStyle w:val="TESupportingInformation"/>
        <w:rPr/>
      </w:pPr>
      <w:r>
        <w:rPr>
          <w:lang w:val="en-US"/>
        </w:rPr>
        <w:t xml:space="preserve">Figure 2s.2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TESupportingInformation"/>
        <w:rPr/>
      </w:pPr>
      <w:r>
        <w:rPr/>
      </w:r>
    </w:p>
    <w:p>
      <w:pPr>
        <w:pStyle w:val="TESupportingInformation"/>
        <w:rPr/>
      </w:pPr>
      <w:r>
        <w:rPr/>
        <w:drawing>
          <wp:inline distT="0" distB="0" distL="0" distR="0">
            <wp:extent cx="5400040" cy="2520315"/>
            <wp:effectExtent l="0" t="0" r="0" b="0"/>
            <wp:docPr id="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7" descr=""/>
                    <pic:cNvPicPr>
                      <a:picLocks noChangeAspect="1" noChangeArrowheads="1"/>
                    </pic:cNvPicPr>
                  </pic:nvPicPr>
                  <pic:blipFill>
                    <a:blip r:embed="rId10"/>
                    <a:stretch>
                      <a:fillRect/>
                    </a:stretch>
                  </pic:blipFill>
                  <pic:spPr bwMode="auto">
                    <a:xfrm>
                      <a:off x="0" y="0"/>
                      <a:ext cx="5400040" cy="2520315"/>
                    </a:xfrm>
                    <a:prstGeom prst="rect">
                      <a:avLst/>
                    </a:prstGeom>
                  </pic:spPr>
                </pic:pic>
              </a:graphicData>
            </a:graphic>
          </wp:inline>
        </w:drawing>
      </w:r>
    </w:p>
    <w:p>
      <w:pPr>
        <w:pStyle w:val="TESupportingInformation"/>
        <w:rPr/>
      </w:pPr>
      <w:r>
        <w:rPr>
          <w:lang w:val="en-US"/>
        </w:rPr>
        <w:t xml:space="preserve">Figure 2s.3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TESupportingInformation"/>
        <w:rPr/>
      </w:pPr>
      <w:r>
        <w:rPr/>
      </w:r>
    </w:p>
    <w:p>
      <w:pPr>
        <w:pStyle w:val="TESupportingInformation"/>
        <w:rPr/>
      </w:pPr>
      <w:r>
        <w:rPr/>
        <w:drawing>
          <wp:inline distT="0" distB="0" distL="0" distR="0">
            <wp:extent cx="5400040" cy="2520315"/>
            <wp:effectExtent l="0" t="0" r="0" b="0"/>
            <wp:docPr id="1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8" descr=""/>
                    <pic:cNvPicPr>
                      <a:picLocks noChangeAspect="1" noChangeArrowheads="1"/>
                    </pic:cNvPicPr>
                  </pic:nvPicPr>
                  <pic:blipFill>
                    <a:blip r:embed="rId11"/>
                    <a:stretch>
                      <a:fillRect/>
                    </a:stretch>
                  </pic:blipFill>
                  <pic:spPr bwMode="auto">
                    <a:xfrm>
                      <a:off x="0" y="0"/>
                      <a:ext cx="5400040" cy="2520315"/>
                    </a:xfrm>
                    <a:prstGeom prst="rect">
                      <a:avLst/>
                    </a:prstGeom>
                  </pic:spPr>
                </pic:pic>
              </a:graphicData>
            </a:graphic>
          </wp:inline>
        </w:drawing>
      </w:r>
    </w:p>
    <w:p>
      <w:pPr>
        <w:pStyle w:val="TESupportingInformation"/>
        <w:rPr/>
      </w:pPr>
      <w:r>
        <w:rPr>
          <w:lang w:val="en-US"/>
        </w:rPr>
        <w:t xml:space="preserve">Figure 2s.4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TESupportingInformation"/>
        <w:rPr/>
      </w:pPr>
      <w:r>
        <w:rPr/>
      </w:r>
    </w:p>
    <w:p>
      <w:pPr>
        <w:pStyle w:val="TESupportingInformation"/>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400040" cy="2520315"/>
            <wp:effectExtent l="0" t="0" r="0" b="0"/>
            <wp:wrapSquare wrapText="largest"/>
            <wp:docPr id="1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1" descr=""/>
                    <pic:cNvPicPr>
                      <a:picLocks noChangeAspect="1" noChangeArrowheads="1"/>
                    </pic:cNvPicPr>
                  </pic:nvPicPr>
                  <pic:blipFill>
                    <a:blip r:embed="rId12"/>
                    <a:stretch>
                      <a:fillRect/>
                    </a:stretch>
                  </pic:blipFill>
                  <pic:spPr bwMode="auto">
                    <a:xfrm>
                      <a:off x="0" y="0"/>
                      <a:ext cx="5400040" cy="2520315"/>
                    </a:xfrm>
                    <a:prstGeom prst="rect">
                      <a:avLst/>
                    </a:prstGeom>
                  </pic:spPr>
                </pic:pic>
              </a:graphicData>
            </a:graphic>
          </wp:anchor>
        </w:drawing>
      </w:r>
    </w:p>
    <w:p>
      <w:pPr>
        <w:pStyle w:val="TESupportingInformation"/>
        <w:rPr/>
      </w:pPr>
      <w:r>
        <w:rPr/>
      </w:r>
    </w:p>
    <w:p>
      <w:pPr>
        <w:pStyle w:val="TESupportingInformation"/>
        <w:rPr/>
      </w:pPr>
      <w:r>
        <w:rPr/>
      </w:r>
    </w:p>
    <w:p>
      <w:pPr>
        <w:pStyle w:val="TESupportingInformation"/>
        <w:rPr/>
      </w:pPr>
      <w:r>
        <w:rPr/>
      </w:r>
    </w:p>
    <w:p>
      <w:pPr>
        <w:pStyle w:val="TESupportingInformation"/>
        <w:rPr/>
      </w:pPr>
      <w:r>
        <w:rPr/>
      </w:r>
    </w:p>
    <w:p>
      <w:pPr>
        <w:pStyle w:val="TESupportingInformation"/>
        <w:rPr/>
      </w:pPr>
      <w:r>
        <w:rPr/>
      </w:r>
    </w:p>
    <w:p>
      <w:pPr>
        <w:pStyle w:val="TESupportingInformation"/>
        <w:rPr/>
      </w:pPr>
      <w:r>
        <w:rPr/>
      </w:r>
    </w:p>
    <w:p>
      <w:pPr>
        <w:pStyle w:val="TESupportingInformation"/>
        <w:rPr/>
      </w:pPr>
      <w:r>
        <w:rPr/>
      </w:r>
    </w:p>
    <w:p>
      <w:pPr>
        <w:pStyle w:val="TESupportingInformation"/>
        <w:rPr/>
      </w:pPr>
      <w:r>
        <w:rPr/>
      </w:r>
    </w:p>
    <w:p>
      <w:pPr>
        <w:pStyle w:val="TESupportingInformation"/>
        <w:rPr/>
      </w:pPr>
      <w:r>
        <w:rPr/>
      </w:r>
    </w:p>
    <w:p>
      <w:pPr>
        <w:pStyle w:val="TESupportingInformation"/>
        <w:rPr/>
      </w:pPr>
      <w:r>
        <w:rPr/>
      </w:r>
    </w:p>
    <w:p>
      <w:pPr>
        <w:pStyle w:val="TESupportingInformation"/>
        <w:rPr/>
      </w:pPr>
      <w:r>
        <w:rPr/>
      </w:r>
    </w:p>
    <w:p>
      <w:pPr>
        <w:pStyle w:val="TESupportingInformation"/>
        <w:rPr/>
      </w:pPr>
      <w:r>
        <w:rPr>
          <w:lang w:val="en-US"/>
        </w:rPr>
        <w:t xml:space="preserve">Figure 2s.5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TESupportingInformation"/>
        <w:rPr/>
      </w:pPr>
      <w:r>
        <w:rPr/>
      </w:r>
    </w:p>
    <w:p>
      <w:pPr>
        <w:pStyle w:val="TESupportingInformation"/>
        <w:rPr/>
      </w:pPr>
      <w:r>
        <w:rPr/>
        <w:drawing>
          <wp:inline distT="0" distB="0" distL="0" distR="0">
            <wp:extent cx="5400040" cy="2520315"/>
            <wp:effectExtent l="0" t="0" r="0" b="0"/>
            <wp:docPr id="1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9" descr=""/>
                    <pic:cNvPicPr>
                      <a:picLocks noChangeAspect="1" noChangeArrowheads="1"/>
                    </pic:cNvPicPr>
                  </pic:nvPicPr>
                  <pic:blipFill>
                    <a:blip r:embed="rId13"/>
                    <a:stretch>
                      <a:fillRect/>
                    </a:stretch>
                  </pic:blipFill>
                  <pic:spPr bwMode="auto">
                    <a:xfrm>
                      <a:off x="0" y="0"/>
                      <a:ext cx="5400040" cy="2520315"/>
                    </a:xfrm>
                    <a:prstGeom prst="rect">
                      <a:avLst/>
                    </a:prstGeom>
                  </pic:spPr>
                </pic:pic>
              </a:graphicData>
            </a:graphic>
          </wp:inline>
        </w:drawing>
      </w:r>
    </w:p>
    <w:p>
      <w:pPr>
        <w:pStyle w:val="TESupportingInformation"/>
        <w:rPr/>
      </w:pPr>
      <w:r>
        <w:rPr>
          <w:lang w:val="en-US"/>
        </w:rPr>
        <w:t xml:space="preserve">Figure 2s.6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TESupportingInformation"/>
        <w:rPr/>
      </w:pPr>
      <w:r>
        <w:rPr/>
      </w:r>
    </w:p>
    <w:p>
      <w:pPr>
        <w:pStyle w:val="TESupportingInformation"/>
        <w:rPr/>
      </w:pPr>
      <w:r>
        <w:rPr/>
        <w:drawing>
          <wp:inline distT="0" distB="0" distL="0" distR="0">
            <wp:extent cx="5400040" cy="2520315"/>
            <wp:effectExtent l="0" t="0" r="0" b="0"/>
            <wp:docPr id="1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1" descr=""/>
                    <pic:cNvPicPr>
                      <a:picLocks noChangeAspect="1" noChangeArrowheads="1"/>
                    </pic:cNvPicPr>
                  </pic:nvPicPr>
                  <pic:blipFill>
                    <a:blip r:embed="rId14"/>
                    <a:stretch>
                      <a:fillRect/>
                    </a:stretch>
                  </pic:blipFill>
                  <pic:spPr bwMode="auto">
                    <a:xfrm>
                      <a:off x="0" y="0"/>
                      <a:ext cx="5400040" cy="2520315"/>
                    </a:xfrm>
                    <a:prstGeom prst="rect">
                      <a:avLst/>
                    </a:prstGeom>
                  </pic:spPr>
                </pic:pic>
              </a:graphicData>
            </a:graphic>
          </wp:inline>
        </w:drawing>
      </w:r>
    </w:p>
    <w:p>
      <w:pPr>
        <w:pStyle w:val="TESupportingInformation"/>
        <w:rPr/>
      </w:pPr>
      <w:r>
        <w:rPr>
          <w:lang w:val="en-US"/>
        </w:rPr>
        <w:t xml:space="preserve">Figure 2s.7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TESupportingInformation"/>
        <w:rPr/>
      </w:pPr>
      <w:r>
        <w:rPr/>
      </w:r>
    </w:p>
    <w:p>
      <w:pPr>
        <w:pStyle w:val="TESupportingInformation"/>
        <w:rPr/>
      </w:pPr>
      <w:r>
        <w:rPr/>
        <w:drawing>
          <wp:inline distT="0" distB="0" distL="0" distR="0">
            <wp:extent cx="5588635" cy="2574925"/>
            <wp:effectExtent l="0" t="0" r="0" b="0"/>
            <wp:docPr id="1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descr=""/>
                    <pic:cNvPicPr>
                      <a:picLocks noChangeAspect="1" noChangeArrowheads="1"/>
                    </pic:cNvPicPr>
                  </pic:nvPicPr>
                  <pic:blipFill>
                    <a:blip r:embed="rId15"/>
                    <a:stretch>
                      <a:fillRect/>
                    </a:stretch>
                  </pic:blipFill>
                  <pic:spPr bwMode="auto">
                    <a:xfrm>
                      <a:off x="0" y="0"/>
                      <a:ext cx="5588635" cy="2574925"/>
                    </a:xfrm>
                    <a:prstGeom prst="rect">
                      <a:avLst/>
                    </a:prstGeom>
                  </pic:spPr>
                </pic:pic>
              </a:graphicData>
            </a:graphic>
          </wp:inline>
        </w:drawing>
      </w:r>
    </w:p>
    <w:p>
      <w:pPr>
        <w:pStyle w:val="TESupportingInformation"/>
        <w:rPr/>
      </w:pPr>
      <w:r>
        <w:rPr/>
        <w:drawing>
          <wp:inline distT="0" distB="0" distL="0" distR="0">
            <wp:extent cx="5588635" cy="2434590"/>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16"/>
                    <a:stretch>
                      <a:fillRect/>
                    </a:stretch>
                  </pic:blipFill>
                  <pic:spPr bwMode="auto">
                    <a:xfrm>
                      <a:off x="0" y="0"/>
                      <a:ext cx="5588635" cy="2434590"/>
                    </a:xfrm>
                    <a:prstGeom prst="rect">
                      <a:avLst/>
                    </a:prstGeom>
                  </pic:spPr>
                </pic:pic>
              </a:graphicData>
            </a:graphic>
          </wp:inline>
        </w:drawing>
      </w:r>
    </w:p>
    <w:p>
      <w:pPr>
        <w:pStyle w:val="TESupportingInformation"/>
        <w:rPr/>
      </w:pPr>
      <w:r>
        <w:rPr>
          <w:lang w:val="en-US"/>
        </w:rPr>
        <w:t xml:space="preserve">Figure 2s.8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TESupportingInformation"/>
        <w:rPr/>
      </w:pPr>
      <w:r>
        <w:rPr/>
      </w:r>
    </w:p>
    <w:p>
      <w:pPr>
        <w:pStyle w:val="TESupportingInformation"/>
        <w:rPr/>
      </w:pPr>
      <w:r>
        <w:rPr/>
        <w:drawing>
          <wp:inline distT="0" distB="0" distL="0" distR="0">
            <wp:extent cx="5400040" cy="2520315"/>
            <wp:effectExtent l="0" t="0" r="0" b="0"/>
            <wp:docPr id="16"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3" descr=""/>
                    <pic:cNvPicPr>
                      <a:picLocks noChangeAspect="1" noChangeArrowheads="1"/>
                    </pic:cNvPicPr>
                  </pic:nvPicPr>
                  <pic:blipFill>
                    <a:blip r:embed="rId17"/>
                    <a:stretch>
                      <a:fillRect/>
                    </a:stretch>
                  </pic:blipFill>
                  <pic:spPr bwMode="auto">
                    <a:xfrm>
                      <a:off x="0" y="0"/>
                      <a:ext cx="5400040" cy="2520315"/>
                    </a:xfrm>
                    <a:prstGeom prst="rect">
                      <a:avLst/>
                    </a:prstGeom>
                  </pic:spPr>
                </pic:pic>
              </a:graphicData>
            </a:graphic>
          </wp:inline>
        </w:drawing>
      </w:r>
    </w:p>
    <w:p>
      <w:pPr>
        <w:pStyle w:val="TESupportingInformation"/>
        <w:rPr/>
      </w:pPr>
      <w:r>
        <w:rPr>
          <w:lang w:val="en-US"/>
        </w:rPr>
        <w:t xml:space="preserve">Figure 2s.9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pPr>
        <w:pStyle w:val="TESupportingInformation"/>
        <w:rPr/>
      </w:pPr>
      <w:r>
        <w:rPr/>
      </w:r>
    </w:p>
    <w:p>
      <w:pPr>
        <w:pStyle w:val="TESupportingInformation"/>
        <w:rPr/>
      </w:pPr>
      <w:r>
        <w:rPr/>
        <w:drawing>
          <wp:inline distT="0" distB="0" distL="0" distR="0">
            <wp:extent cx="5400040" cy="2520315"/>
            <wp:effectExtent l="0" t="0" r="0" b="0"/>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18"/>
                    <a:stretch>
                      <a:fillRect/>
                    </a:stretch>
                  </pic:blipFill>
                  <pic:spPr bwMode="auto">
                    <a:xfrm>
                      <a:off x="0" y="0"/>
                      <a:ext cx="5400040" cy="2520315"/>
                    </a:xfrm>
                    <a:prstGeom prst="rect">
                      <a:avLst/>
                    </a:prstGeom>
                  </pic:spPr>
                </pic:pic>
              </a:graphicData>
            </a:graphic>
          </wp:inline>
        </w:drawing>
      </w:r>
    </w:p>
    <w:p>
      <w:pPr>
        <w:pStyle w:val="TESupportingInformation"/>
        <w:rPr/>
      </w:pPr>
      <w:r>
        <w:rPr/>
        <w:drawing>
          <wp:inline distT="0" distB="0" distL="0" distR="0">
            <wp:extent cx="5400040" cy="2520315"/>
            <wp:effectExtent l="0" t="0" r="0" b="0"/>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19"/>
                    <a:stretch>
                      <a:fillRect/>
                    </a:stretch>
                  </pic:blipFill>
                  <pic:spPr bwMode="auto">
                    <a:xfrm>
                      <a:off x="0" y="0"/>
                      <a:ext cx="5400040" cy="2520315"/>
                    </a:xfrm>
                    <a:prstGeom prst="rect">
                      <a:avLst/>
                    </a:prstGeom>
                  </pic:spPr>
                </pic:pic>
              </a:graphicData>
            </a:graphic>
          </wp:inline>
        </w:drawing>
      </w:r>
    </w:p>
    <w:p>
      <w:pPr>
        <w:pStyle w:val="TESupportingInformation"/>
        <w:rPr/>
      </w:pPr>
      <w:r>
        <w:rPr>
          <w:lang w:val="en-US"/>
        </w:rPr>
        <w:t xml:space="preserve">Figure 2s.10 The major products of decomposition of DS </w:t>
      </w:r>
      <w:r>
        <w:rPr>
          <w:b/>
          <w:lang w:val="en-US"/>
        </w:rPr>
        <w:t>2</w:t>
      </w:r>
      <w:r>
        <w:rPr>
          <w:lang w:val="en-US"/>
        </w:rPr>
        <w:t xml:space="preserve"> according to GC-MS data. Fragmentation patterns correspond to nitrobenzene M/Z: 123, 77, 51 and 1-iodo-4-nitrobenzene M/Z: 249, 203, 76, 50.</w:t>
      </w:r>
    </w:p>
    <w:p>
      <w:pPr>
        <w:pStyle w:val="TESupportingInformation"/>
        <w:rPr/>
      </w:pPr>
      <w:r>
        <w:rPr/>
      </w:r>
    </w:p>
    <w:p>
      <w:pPr>
        <w:pStyle w:val="TESupportingInformation"/>
        <w:rPr/>
      </w:pPr>
      <w:r>
        <w:rPr/>
        <w:drawing>
          <wp:inline distT="0" distB="0" distL="0" distR="0">
            <wp:extent cx="5400040" cy="2520315"/>
            <wp:effectExtent l="0" t="0" r="0" b="0"/>
            <wp:docPr id="1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descr=""/>
                    <pic:cNvPicPr>
                      <a:picLocks noChangeAspect="1" noChangeArrowheads="1"/>
                    </pic:cNvPicPr>
                  </pic:nvPicPr>
                  <pic:blipFill>
                    <a:blip r:embed="rId20"/>
                    <a:stretch>
                      <a:fillRect/>
                    </a:stretch>
                  </pic:blipFill>
                  <pic:spPr bwMode="auto">
                    <a:xfrm>
                      <a:off x="0" y="0"/>
                      <a:ext cx="5400040" cy="2520315"/>
                    </a:xfrm>
                    <a:prstGeom prst="rect">
                      <a:avLst/>
                    </a:prstGeom>
                  </pic:spPr>
                </pic:pic>
              </a:graphicData>
            </a:graphic>
          </wp:inline>
        </w:drawing>
      </w:r>
    </w:p>
    <w:p>
      <w:pPr>
        <w:pStyle w:val="TESupportingInformation"/>
        <w:rPr/>
      </w:pPr>
      <w:r>
        <w:rPr/>
        <w:drawing>
          <wp:inline distT="0" distB="0" distL="0" distR="0">
            <wp:extent cx="5400040" cy="2520315"/>
            <wp:effectExtent l="0" t="0" r="0" b="0"/>
            <wp:docPr id="20"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3" descr=""/>
                    <pic:cNvPicPr>
                      <a:picLocks noChangeAspect="1" noChangeArrowheads="1"/>
                    </pic:cNvPicPr>
                  </pic:nvPicPr>
                  <pic:blipFill>
                    <a:blip r:embed="rId21"/>
                    <a:stretch>
                      <a:fillRect/>
                    </a:stretch>
                  </pic:blipFill>
                  <pic:spPr bwMode="auto">
                    <a:xfrm>
                      <a:off x="0" y="0"/>
                      <a:ext cx="5400040" cy="2520315"/>
                    </a:xfrm>
                    <a:prstGeom prst="rect">
                      <a:avLst/>
                    </a:prstGeom>
                  </pic:spPr>
                </pic:pic>
              </a:graphicData>
            </a:graphic>
          </wp:inline>
        </w:drawing>
      </w:r>
    </w:p>
    <w:p>
      <w:pPr>
        <w:pStyle w:val="TESupportingInformation"/>
        <w:rPr/>
      </w:pPr>
      <w:r>
        <w:rPr>
          <w:lang w:val="en-US"/>
        </w:rPr>
        <w:t xml:space="preserve">Figure 2s.11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TESupportingInformation"/>
        <w:rPr/>
      </w:pPr>
      <w:r>
        <w:rPr/>
      </w:r>
    </w:p>
    <w:p>
      <w:pPr>
        <w:pStyle w:val="TESupportingInformation"/>
        <w:rPr>
          <w:b/>
          <w:b/>
          <w:bCs/>
        </w:rPr>
      </w:pPr>
      <w:r>
        <w:rPr>
          <w:b/>
          <w:bCs/>
        </w:rPr>
        <w:t>Supporting 3s. LS-MS spectra of the decomposition products of diazonium salts studied</w:t>
      </w:r>
    </w:p>
    <w:p>
      <w:pPr>
        <w:pStyle w:val="TESupportingInformation"/>
        <w:rPr/>
      </w:pPr>
      <w:r>
        <w:rPr/>
      </w:r>
    </w:p>
    <w:p>
      <w:pPr>
        <w:pStyle w:val="TESupportingInformation"/>
        <w:rPr/>
      </w:pPr>
      <w:r>
        <w:rPr>
          <w:lang w:val="en-US"/>
        </w:rPr>
        <w:t xml:space="preserve">The acquired LS-MS spectra can be found in </w:t>
      </w:r>
      <w:r>
        <w:rPr>
          <w:i/>
          <w:iCs/>
          <w:u w:val="single"/>
          <w:lang w:val="en-US"/>
        </w:rPr>
        <w:t>Supporting/LC-MS</w:t>
      </w:r>
      <w:r>
        <w:rPr>
          <w:lang w:val="en-US"/>
        </w:rPr>
        <w:t>. To view and analyze the data the free OpenMS software can be used (</w:t>
      </w:r>
      <w:hyperlink r:id="rId22">
        <w:r>
          <w:rPr>
            <w:rStyle w:val="Style11"/>
            <w:lang w:val="en-US"/>
          </w:rPr>
          <w:t>https://www.openms.de/</w:t>
        </w:r>
      </w:hyperlink>
      <w:r>
        <w:rPr>
          <w:lang w:val="en-US"/>
        </w:rPr>
        <w:t>).</w:t>
      </w:r>
    </w:p>
    <w:p>
      <w:pPr>
        <w:pStyle w:val="TESupportingInformation"/>
        <w:rPr/>
      </w:pPr>
      <w:r>
        <w:rPr/>
      </w:r>
    </w:p>
    <w:p>
      <w:pPr>
        <w:pStyle w:val="TESupportingInformation"/>
        <w:rPr>
          <w:b/>
          <w:b/>
          <w:bCs/>
        </w:rPr>
      </w:pPr>
      <w:r>
        <w:rPr>
          <w:b/>
          <w:bCs/>
        </w:rPr>
        <w:t>Supporting 4s. Results of quantum-chemical calculations</w:t>
      </w:r>
    </w:p>
    <w:p>
      <w:pPr>
        <w:pStyle w:val="TESupportingInformation"/>
        <w:rPr/>
      </w:pPr>
      <w:r>
        <w:rPr/>
      </w:r>
    </w:p>
    <w:p>
      <w:pPr>
        <w:pStyle w:val="TESupportingInformation"/>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pPr>
        <w:pStyle w:val="TESupportingInformation"/>
        <w:spacing w:lineRule="auto" w:line="480" w:before="0" w:after="200"/>
        <w:ind w:left="0" w:right="0" w:firstLine="187"/>
        <w:rPr/>
      </w:pPr>
      <w:r>
        <w:rPr/>
      </w:r>
    </w:p>
    <w:sectPr>
      <w:footerReference w:type="default" r:id="rId23"/>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left="0" w:right="360" w:hanging="0"/>
      <w:rPr/>
    </w:pPr>
    <w:r>
      <w:rPr/>
      <mc:AlternateContent>
        <mc:Choice Requires="wps">
          <w:drawing>
            <wp:anchor behindDoc="1" distT="0" distB="0" distL="0" distR="0" simplePos="0" locked="0" layoutInCell="1" allowOverlap="1" relativeHeight="20">
              <wp:simplePos x="0" y="0"/>
              <wp:positionH relativeFrom="margin">
                <wp:align>right</wp:align>
              </wp:positionH>
              <wp:positionV relativeFrom="paragraph">
                <wp:posOffset>635</wp:posOffset>
              </wp:positionV>
              <wp:extent cx="153670" cy="203200"/>
              <wp:effectExtent l="0" t="0" r="0" b="0"/>
              <wp:wrapSquare wrapText="largest"/>
              <wp:docPr id="21" name="Врезка1"/>
              <a:graphic xmlns:a="http://schemas.openxmlformats.org/drawingml/2006/main">
                <a:graphicData uri="http://schemas.microsoft.com/office/word/2010/wordprocessingShape">
                  <wps:wsp>
                    <wps:cNvSpPr/>
                    <wps:spPr>
                      <a:xfrm>
                        <a:off x="0" y="0"/>
                        <a:ext cx="153000" cy="202680"/>
                      </a:xfrm>
                      <a:prstGeom prst="rect">
                        <a:avLst/>
                      </a:prstGeom>
                      <a:noFill/>
                      <a:ln>
                        <a:noFill/>
                      </a:ln>
                    </wps:spPr>
                    <wps:style>
                      <a:lnRef idx="0"/>
                      <a:fillRef idx="0"/>
                      <a:effectRef idx="0"/>
                      <a:fontRef idx="minor"/>
                    </wps:style>
                    <wps:txbx>
                      <w:txbxContent>
                        <w:p>
                          <w:pPr>
                            <w:pStyle w:val="Style28"/>
                            <w:spacing w:before="0" w:after="200"/>
                            <w:rPr/>
                          </w:pPr>
                          <w:r>
                            <w:rPr>
                              <w:color w:val="auto"/>
                            </w:rPr>
                            <w:fldChar w:fldCharType="begin"/>
                          </w:r>
                          <w:r>
                            <w:instrText> PAGE </w:instrText>
                          </w:r>
                          <w:r>
                            <w:fldChar w:fldCharType="separate"/>
                          </w:r>
                          <w:r>
                            <w:t>1</w:t>
                          </w:r>
                          <w:r>
                            <w:fldChar w:fldCharType="end"/>
                          </w:r>
                        </w:p>
                      </w:txbxContent>
                    </wps:txbx>
                    <wps:bodyPr lIns="0" rIns="0" tIns="0" bIns="0">
                      <a:spAutoFit/>
                    </wps:bodyPr>
                  </wps:wsp>
                </a:graphicData>
              </a:graphic>
            </wp:anchor>
          </w:drawing>
        </mc:Choice>
        <mc:Fallback>
          <w:pict>
            <v:rect id="shape_0" ID="Врезка1" fillcolor="white" stroked="f" style="position:absolute;margin-left:455.9pt;margin-top:0.05pt;width:12pt;height:15.9pt;mso-position-horizontal:right;mso-position-horizontal-relative:margin">
              <w10:wrap type="square"/>
              <v:fill o:detectmouseclick="t" type="solid" color2="black" opacity="0"/>
              <v:stroke color="#3465a4" joinstyle="round" endcap="flat"/>
              <v:textbox>
                <w:txbxContent>
                  <w:p>
                    <w:pPr>
                      <w:pStyle w:val="Style28"/>
                      <w:spacing w:before="0" w:after="200"/>
                      <w:rPr/>
                    </w:pPr>
                    <w:r>
                      <w:rPr>
                        <w:color w:val="auto"/>
                      </w:rPr>
                      <w:fldChar w:fldCharType="begin"/>
                    </w:r>
                    <w:r>
                      <w:instrText> PAGE </w:instrText>
                    </w:r>
                    <w:r>
                      <w:fldChar w:fldCharType="separate"/>
                    </w:r>
                    <w:r>
                      <w:t>1</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style w:type="paragraph" w:styleId="Normal">
    <w:name w:val="Normal"/>
    <w:qFormat/>
    <w:pPr>
      <w:widowControl/>
      <w:kinsoku w:val="true"/>
      <w:overflowPunct w:val="true"/>
      <w:autoSpaceDE w:val="true"/>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qFormat/>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qFormat/>
    <w:pPr>
      <w:widowControl w:val="false"/>
      <w:numPr>
        <w:ilvl w:val="1"/>
        <w:numId w:val="1"/>
      </w:numPr>
      <w:spacing w:before="113" w:after="57"/>
      <w:ind w:left="0" w:right="0"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qFormat/>
    <w:pPr>
      <w:widowControl w:val="false"/>
      <w:numPr>
        <w:ilvl w:val="2"/>
        <w:numId w:val="1"/>
      </w:numPr>
      <w:spacing w:before="142" w:after="0"/>
      <w:ind w:left="0" w:right="0"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name w:val="Default Paragraph Font"/>
    <w:qFormat/>
    <w:rPr/>
  </w:style>
  <w:style w:type="character" w:styleId="FollowedHyperlink">
    <w:name w:val="FollowedHyperlink"/>
    <w:qFormat/>
    <w:rPr>
      <w:color w:val="800080"/>
      <w:u w:val="single"/>
    </w:rPr>
  </w:style>
  <w:style w:type="character" w:styleId="Style11">
    <w:name w:val="Интернет-ссылка"/>
    <w:rPr>
      <w:color w:val="000080"/>
      <w:u w:val="single"/>
    </w:rPr>
  </w:style>
  <w:style w:type="character" w:styleId="Pagenumber">
    <w:name w:val="page number"/>
    <w:basedOn w:val="DefaultParagraphFont"/>
    <w:qFormat/>
    <w:rPr/>
  </w:style>
  <w:style w:type="character" w:styleId="StyleFACorrespondingAuthorFootnote7ptChar">
    <w:name w:val="Style FA_Corresponding_Author_Footnote + 7 pt Char"/>
    <w:qFormat/>
    <w:rPr>
      <w:rFonts w:ascii="Arno Pro" w:hAnsi="Arno Pro"/>
      <w:sz w:val="18"/>
    </w:rPr>
  </w:style>
  <w:style w:type="character" w:styleId="FAAuthorInfoSubtitleChar">
    <w:name w:val="FA_Author_Info_Subtitle Char"/>
    <w:qFormat/>
    <w:rPr>
      <w:rFonts w:ascii="Times" w:hAnsi="Times"/>
      <w:b/>
      <w:sz w:val="24"/>
    </w:rPr>
  </w:style>
  <w:style w:type="character" w:styleId="WW8Num1z7">
    <w:name w:val="WW8Num1z7"/>
    <w:qFormat/>
    <w:rPr/>
  </w:style>
  <w:style w:type="character" w:styleId="11">
    <w:name w:val="Заголовок 1 Знак"/>
    <w:basedOn w:val="DefaultParagraphFont"/>
    <w:qFormat/>
    <w:rPr>
      <w:rFonts w:ascii="Times New Roman" w:hAnsi="Times New Roman"/>
      <w:b/>
      <w:caps/>
      <w:color w:val="669900"/>
      <w:sz w:val="24"/>
      <w:szCs w:val="36"/>
      <w:lang w:val="ru-RU" w:eastAsia="ru-RU"/>
    </w:rPr>
  </w:style>
  <w:style w:type="character" w:styleId="21">
    <w:name w:val="Заголовок 2 Знак"/>
    <w:basedOn w:val="DefaultParagraphFont"/>
    <w:qFormat/>
    <w:rPr>
      <w:rFonts w:ascii="Times New Roman" w:hAnsi="Times New Roman"/>
      <w:b/>
      <w:color w:val="00000A"/>
      <w:sz w:val="24"/>
      <w:szCs w:val="32"/>
      <w:lang w:val="ru-RU" w:eastAsia="ru-RU"/>
    </w:rPr>
  </w:style>
  <w:style w:type="character" w:styleId="31">
    <w:name w:val="Заголовок 3 Знак"/>
    <w:basedOn w:val="DefaultParagraphFont"/>
    <w:qFormat/>
    <w:rPr>
      <w:rFonts w:ascii="Times New Roman" w:hAnsi="Times New Roman"/>
      <w:b/>
      <w:bCs/>
      <w:color w:val="00000A"/>
      <w:sz w:val="24"/>
      <w:lang w:val="ru-RU" w:eastAsia="ru-RU"/>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2">
    <w:name w:val="Основной шрифт абзаца1"/>
    <w:qFormat/>
    <w:rPr/>
  </w:style>
  <w:style w:type="character" w:styleId="Style12">
    <w:name w:val="Символ нумерации"/>
    <w:qFormat/>
    <w:rPr/>
  </w:style>
  <w:style w:type="character" w:styleId="Style13">
    <w:name w:val="Текст выноски Знак"/>
    <w:qFormat/>
    <w:rPr>
      <w:rFonts w:ascii="Tahoma" w:hAnsi="Tahoma" w:eastAsia="Tahoma"/>
      <w:sz w:val="16"/>
    </w:rPr>
  </w:style>
  <w:style w:type="character" w:styleId="22">
    <w:name w:val="Основной шрифт абзаца2"/>
    <w:qFormat/>
    <w:rPr/>
  </w:style>
  <w:style w:type="character" w:styleId="13">
    <w:name w:val="Текст выноски Знак1"/>
    <w:basedOn w:val="DefaultParagraphFont"/>
    <w:qFormat/>
    <w:rPr>
      <w:rFonts w:ascii="Tahoma" w:hAnsi="Tahoma" w:eastAsia="Noto Sans CJK SC Regular" w:cs="Mangal"/>
      <w:sz w:val="16"/>
      <w:szCs w:val="14"/>
      <w:lang w:eastAsia="zh-CN" w:bidi="hi-IN"/>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14">
    <w:name w:val="Цитата1"/>
    <w:qFormat/>
    <w:rPr>
      <w:i/>
      <w:iC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Wingdings"/>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Style18">
    <w:name w:val="Верхний колонтитул Знак"/>
    <w:basedOn w:val="DefaultParagraphFont"/>
    <w:qFormat/>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Style19">
    <w:name w:val="Название Знак"/>
    <w:basedOn w:val="DefaultParagraphFont"/>
    <w:qFormat/>
    <w:rPr>
      <w:rFonts w:ascii="Liberation Sans" w:hAnsi="Liberation Sans" w:eastAsia="Noto Sans CJK SC Regular" w:cs="FreeSans"/>
      <w:color w:val="00000A"/>
      <w:sz w:val="28"/>
      <w:szCs w:val="28"/>
      <w:lang w:val="ru-RU" w:eastAsia="zh-CN" w:bidi="hi-IN"/>
    </w:rPr>
  </w:style>
  <w:style w:type="character" w:styleId="Style20">
    <w:name w:val="Подзаголовок Знак"/>
    <w:basedOn w:val="DefaultParagraphFont"/>
    <w:qFormat/>
    <w:rPr>
      <w:rFonts w:ascii="Liberation Sans" w:hAnsi="Liberation Sans" w:eastAsia="Noto Sans CJK SC Regular" w:cs="FreeSans"/>
      <w:color w:val="00000A"/>
      <w:sz w:val="28"/>
      <w:szCs w:val="28"/>
      <w:lang w:val="ru-RU" w:eastAsia="zh-CN" w:bidi="hi-IN"/>
    </w:rPr>
  </w:style>
  <w:style w:type="character" w:styleId="15">
    <w:name w:val="Текст примечания Знак1"/>
    <w:basedOn w:val="DefaultParagraphFont"/>
    <w:qFormat/>
    <w:rPr>
      <w:rFonts w:ascii="Liberation Serif" w:hAnsi="Liberation Serif" w:eastAsia="FreeSans" w:cs="FreeSans"/>
      <w:color w:val="00000A"/>
      <w:szCs w:val="24"/>
      <w:lang w:val="ru-RU" w:eastAsia="hi-IN" w:bidi="hi-IN"/>
    </w:rPr>
  </w:style>
  <w:style w:type="character" w:styleId="16">
    <w:name w:val="Тема примечания Знак1"/>
    <w:basedOn w:val="15"/>
    <w:qFormat/>
    <w:rPr>
      <w:rFonts w:eastAsia="0" w:cs="Liberation Serif"/>
      <w:b/>
      <w:color w:val="000000"/>
      <w:sz w:val="24"/>
      <w:lang w:eastAsia="ar-SA"/>
    </w:rPr>
  </w:style>
  <w:style w:type="character" w:styleId="17">
    <w:name w:val="Верхний колонтитул Знак1"/>
    <w:basedOn w:val="DefaultParagraphFont"/>
    <w:qFormat/>
    <w:rPr>
      <w:rFonts w:ascii="Liberation Serif" w:hAnsi="Liberation Serif" w:eastAsia="Noto Sans CJK SC Regular" w:cs="Mangal"/>
      <w:color w:val="00000A"/>
      <w:sz w:val="24"/>
      <w:szCs w:val="21"/>
      <w:lang w:val="ru-RU" w:eastAsia="zh-CN" w:bidi="hi-IN"/>
    </w:rPr>
  </w:style>
  <w:style w:type="character" w:styleId="Style21">
    <w:name w:val="Основной текст Знак"/>
    <w:basedOn w:val="DefaultParagraphFont"/>
    <w:qFormat/>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pPr>
      <w:jc w:val="center"/>
    </w:pPr>
    <w:rPr>
      <w:b/>
      <w:sz w:val="40"/>
    </w:rPr>
  </w:style>
  <w:style w:type="paragraph" w:styleId="Style24">
    <w:name w:val="List"/>
    <w:basedOn w:val="Style23"/>
    <w:pPr>
      <w:suppressAutoHyphens w:val="true"/>
      <w:spacing w:lineRule="auto" w:line="288" w:before="0" w:after="140"/>
      <w:ind w:left="0" w:right="0"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qFormat/>
    <w:pPr/>
    <w:rPr/>
  </w:style>
  <w:style w:type="paragraph" w:styleId="TFReferencesSection">
    <w:name w:val="TF_References_Section"/>
    <w:basedOn w:val="Normal"/>
    <w:qFormat/>
    <w:pPr>
      <w:spacing w:lineRule="auto" w:line="480"/>
      <w:ind w:left="0" w:right="0" w:firstLine="187"/>
    </w:pPr>
    <w:rPr/>
  </w:style>
  <w:style w:type="paragraph" w:styleId="TAMainText">
    <w:name w:val="TA_Main_Text"/>
    <w:basedOn w:val="Normal"/>
    <w:qFormat/>
    <w:pPr>
      <w:spacing w:lineRule="auto" w:line="480" w:before="0" w:after="0"/>
      <w:ind w:left="0" w:right="0" w:firstLine="202"/>
    </w:pPr>
    <w:rPr/>
  </w:style>
  <w:style w:type="paragraph" w:styleId="BATitle">
    <w:name w:val="BA_Title"/>
    <w:basedOn w:val="Normal"/>
    <w:qFormat/>
    <w:pPr>
      <w:spacing w:lineRule="auto" w:line="480" w:before="720" w:after="360"/>
      <w:jc w:val="center"/>
    </w:pPr>
    <w:rPr>
      <w:rFonts w:ascii="Times New Roman" w:hAnsi="Times New Roman"/>
      <w:sz w:val="44"/>
    </w:rPr>
  </w:style>
  <w:style w:type="paragraph" w:styleId="BBAuthorName">
    <w:name w:val="BB_Author_Name"/>
    <w:basedOn w:val="Normal"/>
    <w:qFormat/>
    <w:pPr>
      <w:spacing w:lineRule="auto" w:line="480" w:before="0" w:after="240"/>
      <w:jc w:val="center"/>
    </w:pPr>
    <w:rPr>
      <w:i/>
    </w:rPr>
  </w:style>
  <w:style w:type="paragraph" w:styleId="BCAuthorAddress">
    <w:name w:val="BC_Author_Address"/>
    <w:basedOn w:val="Normal"/>
    <w:qFormat/>
    <w:pPr>
      <w:spacing w:lineRule="auto" w:line="480" w:before="0" w:after="240"/>
      <w:jc w:val="center"/>
    </w:pPr>
    <w:rPr/>
  </w:style>
  <w:style w:type="paragraph" w:styleId="BIEmailAddress">
    <w:name w:val="BI_Email_Address"/>
    <w:basedOn w:val="Normal"/>
    <w:qFormat/>
    <w:pPr>
      <w:spacing w:lineRule="auto" w:line="480"/>
    </w:pPr>
    <w:rPr/>
  </w:style>
  <w:style w:type="paragraph" w:styleId="AIReceivedDate">
    <w:name w:val="AI_Received_Date"/>
    <w:basedOn w:val="Normal"/>
    <w:qFormat/>
    <w:pPr>
      <w:spacing w:lineRule="auto" w:line="480" w:before="0" w:after="240"/>
    </w:pPr>
    <w:rPr>
      <w:b/>
    </w:rPr>
  </w:style>
  <w:style w:type="paragraph" w:styleId="BDAbstract">
    <w:name w:val="BD_Abstract"/>
    <w:basedOn w:val="Normal"/>
    <w:qFormat/>
    <w:pPr>
      <w:spacing w:lineRule="auto" w:line="480" w:before="360" w:after="360"/>
    </w:pPr>
    <w:rPr/>
  </w:style>
  <w:style w:type="paragraph" w:styleId="TDAcknowledgments">
    <w:name w:val="TD_Acknowledgments"/>
    <w:basedOn w:val="Normal"/>
    <w:qFormat/>
    <w:pPr>
      <w:spacing w:lineRule="auto" w:line="480" w:before="200" w:after="200"/>
      <w:ind w:left="0" w:right="0" w:firstLine="202"/>
    </w:pPr>
    <w:rPr/>
  </w:style>
  <w:style w:type="paragraph" w:styleId="TESupportingInformation">
    <w:name w:val="TE_Supporting_Information"/>
    <w:basedOn w:val="Normal"/>
    <w:qFormat/>
    <w:pPr>
      <w:spacing w:lineRule="auto" w:line="480"/>
      <w:ind w:left="0" w:right="0" w:firstLine="187"/>
    </w:pPr>
    <w:rPr/>
  </w:style>
  <w:style w:type="paragraph" w:styleId="VCSchemeTitle">
    <w:name w:val="VC_Scheme_Title"/>
    <w:basedOn w:val="Normal"/>
    <w:qFormat/>
    <w:pPr>
      <w:spacing w:lineRule="auto" w:line="480"/>
    </w:pPr>
    <w:rPr/>
  </w:style>
  <w:style w:type="paragraph" w:styleId="VDTableTitle">
    <w:name w:val="VD_Table_Title"/>
    <w:basedOn w:val="Normal"/>
    <w:qFormat/>
    <w:pPr>
      <w:spacing w:lineRule="auto" w:line="480"/>
    </w:pPr>
    <w:rPr/>
  </w:style>
  <w:style w:type="paragraph" w:styleId="VAFigureCaption">
    <w:name w:val="VA_Figure_Caption"/>
    <w:basedOn w:val="Normal"/>
    <w:qFormat/>
    <w:pPr>
      <w:spacing w:lineRule="auto" w:line="480"/>
    </w:pPr>
    <w:rPr/>
  </w:style>
  <w:style w:type="paragraph" w:styleId="VBChartTitle">
    <w:name w:val="VB_Chart_Title"/>
    <w:basedOn w:val="Normal"/>
    <w:qFormat/>
    <w:pPr>
      <w:spacing w:lineRule="auto" w:line="480"/>
    </w:pPr>
    <w:rPr/>
  </w:style>
  <w:style w:type="paragraph" w:styleId="FETableFootnote">
    <w:name w:val="FE_Table_Footnote"/>
    <w:basedOn w:val="Normal"/>
    <w:qFormat/>
    <w:pPr>
      <w:ind w:left="0" w:right="0" w:firstLine="187"/>
    </w:pPr>
    <w:rPr/>
  </w:style>
  <w:style w:type="paragraph" w:styleId="FCChartFootnote">
    <w:name w:val="FC_Chart_Footnote"/>
    <w:basedOn w:val="Normal"/>
    <w:qFormat/>
    <w:pPr>
      <w:ind w:left="0" w:right="0" w:firstLine="187"/>
    </w:pPr>
    <w:rPr/>
  </w:style>
  <w:style w:type="paragraph" w:styleId="FDSchemeFootnote">
    <w:name w:val="FD_Scheme_Footnote"/>
    <w:basedOn w:val="Normal"/>
    <w:qFormat/>
    <w:pPr>
      <w:ind w:left="0" w:right="0" w:firstLine="187"/>
    </w:pPr>
    <w:rPr/>
  </w:style>
  <w:style w:type="paragraph" w:styleId="TCTableBody">
    <w:name w:val="TC_Table_Body"/>
    <w:basedOn w:val="Normal"/>
    <w:qFormat/>
    <w:pPr/>
    <w:rPr/>
  </w:style>
  <w:style w:type="paragraph" w:styleId="AFTitleRunningHead">
    <w:name w:val="AF_Title_Running_Head"/>
    <w:basedOn w:val="Normal"/>
    <w:qFormat/>
    <w:pPr>
      <w:spacing w:lineRule="auto" w:line="480"/>
    </w:pPr>
    <w:rPr/>
  </w:style>
  <w:style w:type="paragraph" w:styleId="BEAuthorBiography">
    <w:name w:val="BE_Author_Biography"/>
    <w:basedOn w:val="Normal"/>
    <w:qFormat/>
    <w:pPr>
      <w:spacing w:lineRule="auto" w:line="480"/>
    </w:pPr>
    <w:rPr/>
  </w:style>
  <w:style w:type="paragraph" w:styleId="FACorrespondingAuthorFootnote">
    <w:name w:val="FA_Corresponding_Author_Footnote"/>
    <w:basedOn w:val="Normal"/>
    <w:qFormat/>
    <w:pPr>
      <w:spacing w:lineRule="auto" w:line="480"/>
    </w:pPr>
    <w:rPr/>
  </w:style>
  <w:style w:type="paragraph" w:styleId="SNSynopsisTOC">
    <w:name w:val="SN_Synopsis_TOC"/>
    <w:basedOn w:val="Normal"/>
    <w:qFormat/>
    <w:pPr>
      <w:spacing w:lineRule="auto" w:line="480"/>
    </w:pPr>
    <w:rPr/>
  </w:style>
  <w:style w:type="paragraph" w:styleId="Style28">
    <w:name w:val="Footer"/>
    <w:basedOn w:val="Normal"/>
    <w:pPr>
      <w:tabs>
        <w:tab w:val="center" w:pos="4320" w:leader="none"/>
        <w:tab w:val="right" w:pos="8640" w:leader="none"/>
      </w:tabs>
    </w:pPr>
    <w:rPr/>
  </w:style>
  <w:style w:type="paragraph" w:styleId="BGKeywords">
    <w:name w:val="BG_Keywords"/>
    <w:basedOn w:val="Normal"/>
    <w:qFormat/>
    <w:pPr>
      <w:spacing w:lineRule="auto" w:line="480"/>
    </w:pPr>
    <w:rPr/>
  </w:style>
  <w:style w:type="paragraph" w:styleId="BHBriefs">
    <w:name w:val="BH_Briefs"/>
    <w:basedOn w:val="Normal"/>
    <w:qFormat/>
    <w:pPr>
      <w:spacing w:lineRule="auto" w:line="480"/>
    </w:pPr>
    <w:rPr/>
  </w:style>
  <w:style w:type="paragraph" w:styleId="BalloonText">
    <w:name w:val="Balloon Text"/>
    <w:basedOn w:val="Normal"/>
    <w:qFormat/>
    <w:pPr/>
    <w:rPr>
      <w:rFonts w:ascii="Tahoma" w:hAnsi="Tahoma" w:cs="Tahoma"/>
      <w:sz w:val="16"/>
      <w:szCs w:val="16"/>
    </w:rPr>
  </w:style>
  <w:style w:type="paragraph" w:styleId="StyleFACorrespondingAuthorFootnote7pt">
    <w:name w:val="Style FA_Corresponding_Author_Footnote + 7 pt"/>
    <w:basedOn w:val="Normal"/>
    <w:autoRedefine/>
    <w:qFormat/>
    <w:pPr>
      <w:spacing w:before="0" w:after="0"/>
      <w:jc w:val="left"/>
    </w:pPr>
    <w:rPr>
      <w:rFonts w:ascii="Arno Pro" w:hAnsi="Arno Pro"/>
      <w:sz w:val="18"/>
    </w:rPr>
  </w:style>
  <w:style w:type="paragraph" w:styleId="FAAuthorInfoSubtitle">
    <w:name w:val="FA_Author_Info_Subtitle"/>
    <w:basedOn w:val="Normal"/>
    <w:autoRedefine/>
    <w:qFormat/>
    <w:pPr>
      <w:spacing w:lineRule="auto" w:line="480" w:before="120" w:after="60"/>
      <w:jc w:val="left"/>
    </w:pPr>
    <w:rPr>
      <w:b/>
    </w:rPr>
  </w:style>
  <w:style w:type="paragraph" w:styleId="Default">
    <w:name w:val="Default"/>
    <w:qFormat/>
    <w:pPr>
      <w:widowControl/>
      <w:kinsoku w:val="true"/>
      <w:overflowPunct w:val="true"/>
      <w:autoSpaceDE w:val="true"/>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pPr>
      <w:spacing w:before="0" w:after="0"/>
      <w:ind w:left="240" w:right="0" w:hanging="240"/>
    </w:pPr>
    <w:rPr/>
  </w:style>
  <w:style w:type="paragraph" w:styleId="Indexheading">
    <w:name w:val="index heading"/>
    <w:basedOn w:val="Normal"/>
    <w:qFormat/>
    <w:pPr>
      <w:suppressAutoHyphens w:val="true"/>
      <w:spacing w:lineRule="auto" w:line="312" w:before="0" w:after="0"/>
      <w:ind w:left="0" w:right="0" w:firstLine="567"/>
    </w:pPr>
    <w:rPr>
      <w:rFonts w:ascii="Liberation Serif" w:hAnsi="Liberation Serif" w:eastAsia="FreeSans" w:cs="FreeSans"/>
      <w:color w:val="00000A"/>
      <w:szCs w:val="24"/>
      <w:lang w:val="ru-RU" w:eastAsia="hi-IN" w:bidi="hi-IN"/>
    </w:rPr>
  </w:style>
  <w:style w:type="paragraph" w:styleId="18">
    <w:name w:val="Заголовок1"/>
    <w:basedOn w:val="Normal"/>
    <w:qFormat/>
    <w:pPr>
      <w:keepNext/>
      <w:suppressAutoHyphens w:val="true"/>
      <w:spacing w:lineRule="auto" w:line="312" w:before="240" w:after="120"/>
      <w:ind w:left="0" w:right="0" w:firstLine="397"/>
    </w:pPr>
    <w:rPr>
      <w:rFonts w:ascii="Liberation Sans" w:hAnsi="Liberation Sans" w:eastAsia="Noto Sans CJK SC Regular" w:cs="FreeSans"/>
      <w:color w:val="00000A"/>
      <w:sz w:val="28"/>
      <w:szCs w:val="28"/>
      <w:lang w:val="ru-RU" w:eastAsia="zh-CN" w:bidi="hi-IN"/>
    </w:rPr>
  </w:style>
  <w:style w:type="paragraph" w:styleId="19">
    <w:name w:val="Указатель1"/>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23">
    <w:name w:val="Указатель2"/>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110">
    <w:name w:val="Название объекта1"/>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Style29">
    <w:name w:val="Содержимое таблицы"/>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0">
    <w:name w:val="Заголовок таблицы"/>
    <w:basedOn w:val="Style29"/>
    <w:qFormat/>
    <w:pPr>
      <w:jc w:val="center"/>
    </w:pPr>
    <w:rPr>
      <w:b/>
      <w:bCs/>
    </w:rPr>
  </w:style>
  <w:style w:type="paragraph" w:styleId="111">
    <w:name w:val="Текст выноски1"/>
    <w:basedOn w:val="Normal"/>
    <w:qFormat/>
    <w:pPr>
      <w:suppressAutoHyphens w:val="true"/>
      <w:spacing w:before="0" w:after="0"/>
      <w:ind w:left="0" w:right="0" w:firstLine="397"/>
      <w:jc w:val="left"/>
    </w:pPr>
    <w:rPr>
      <w:rFonts w:ascii="Tahoma" w:hAnsi="Tahoma" w:eastAsia="Tahoma" w:cs="FreeSans"/>
      <w:color w:val="00000A"/>
      <w:sz w:val="16"/>
      <w:szCs w:val="24"/>
      <w:lang w:val="ru-RU" w:eastAsia="zh-CN" w:bidi="hi-IN"/>
    </w:rPr>
  </w:style>
  <w:style w:type="paragraph" w:styleId="Style31">
    <w:name w:val="Блочная цитата"/>
    <w:basedOn w:val="Normal"/>
    <w:qFormat/>
    <w:pPr>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qFormat/>
    <w:pPr/>
    <w:rPr/>
  </w:style>
  <w:style w:type="paragraph" w:styleId="ListParagraph">
    <w:name w:val="List Paragraph"/>
    <w:basedOn w:val="Normal"/>
    <w:qFormat/>
    <w:pPr>
      <w:suppressAutoHyphens w:val="true"/>
      <w:spacing w:lineRule="auto" w:line="312" w:before="0" w:after="0"/>
      <w:ind w:left="720" w:right="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qFormat/>
    <w:pPr>
      <w:suppressAutoHyphens w:val="true"/>
      <w:spacing w:before="0" w:after="0"/>
      <w:ind w:left="0" w:right="0"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pPr>
      <w:tabs>
        <w:tab w:val="center" w:pos="4677" w:leader="none"/>
        <w:tab w:val="right" w:pos="9355" w:leader="none"/>
      </w:tabs>
      <w:suppressAutoHyphens w:val="true"/>
      <w:spacing w:before="0" w:after="0"/>
      <w:ind w:left="0" w:right="0"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qFormat/>
    <w:pPr>
      <w:spacing w:before="280" w:after="280"/>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png"/><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hyperlink" Target="https://www.openms.de/" TargetMode="Externa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acstemplate_msw2010</Template>
  <TotalTime>212</TotalTime>
  <Application>LibreOffice/5.2.7.2$Linux_X86_64 LibreOffice_project/20m0$Build-2</Application>
  <Pages>19</Pages>
  <Words>948</Words>
  <Characters>5776</Characters>
  <CharactersWithSpaces>6625</CharactersWithSpaces>
  <Paragraphs>116</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Александр Александрович Бондарев</cp:lastModifiedBy>
  <cp:lastPrinted>2008-06-11T21:33:00Z</cp:lastPrinted>
  <dcterms:modified xsi:type="dcterms:W3CDTF">2019-06-13T17:40:01Z</dcterms:modified>
  <cp:revision>51</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