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2.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jc w:val="center"/>
        <w:rPr/>
      </w:pPr>
      <w:r>
        <w:rPr/>
        <w:t>Alexander A. Bondarev</w:t>
      </w:r>
      <w:r>
        <w:rPr>
          <w:vertAlign w:val="superscript"/>
        </w:rPr>
        <w:t>1</w:t>
      </w:r>
      <w:r>
        <w:rPr>
          <w:position w:val="0"/>
          <w:sz w:val="24"/>
          <w:sz w:val="24"/>
          <w:vertAlign w:val="baseline"/>
        </w:rPr>
        <w:t>*</w:t>
      </w:r>
      <w:r>
        <w:rPr/>
        <w:t>, Evgeny V. Naumov</w:t>
      </w:r>
      <w:r>
        <w:rPr>
          <w:vertAlign w:val="superscript"/>
        </w:rPr>
        <w:t>1</w:t>
      </w:r>
      <w:r>
        <w:rPr/>
        <w:t>, AssiyaZh.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position w:val="0"/>
          <w:sz w:val="24"/>
          <w:sz w:val="24"/>
          <w:vertAlign w:val="baseline"/>
        </w:rPr>
        <w:t>*</w:t>
      </w:r>
    </w:p>
    <w:p>
      <w:pPr>
        <w:pStyle w:val="BCAuthorAddress"/>
        <w:rPr/>
      </w:pPr>
      <w:r>
        <w:rPr>
          <w:vertAlign w:val="superscript"/>
        </w:rPr>
        <w:t>1 </w:t>
      </w:r>
      <w:r>
        <w:rPr/>
        <w:t>Department of Biomedicine, Altai State University, Barnaul, Russia</w:t>
      </w:r>
      <w:r>
        <w:rPr/>
        <w:t>n</w:t>
      </w:r>
      <w:r>
        <w:rPr/>
        <w:t xml:space="preserve"> </w:t>
      </w:r>
      <w:r>
        <w:rPr>
          <w:rFonts w:eastAsia="Liberation Serif" w:cs="Liberation Serif"/>
        </w:rPr>
        <w:t>Federation</w:t>
      </w:r>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INTRODUCTION</w:t>
      </w:r>
    </w:p>
    <w:p>
      <w:pPr>
        <w:pStyle w:val="TAMainText"/>
        <w:rPr/>
      </w:pPr>
      <w:r>
        <w:rPr/>
        <w:t xml:space="preserve">Aromatic diazonium salts (DSs) are versatile synthetic blocks widely used in fine organic synthesis and industry [1]. Beyond that, DSs have been increasingly applied in development of macro- and nanoscale composite materials due to their reactivity towards metal and non-metal surfaces [2]. </w:t>
      </w:r>
    </w:p>
    <w:p>
      <w:pPr>
        <w:pStyle w:val="TAMainText"/>
        <w:rPr>
          <w:color w:val="00000A"/>
        </w:rPr>
      </w:pPr>
      <w:r>
        <w:rPr>
          <w:color w:val="00000A"/>
        </w:rPr>
        <w:t>Nevertheless, such disadvantages as a poor storage stability in solid state and a propensity to explosive decomposition upon heating, photo-irradiation or mechanical stress [1a, 2b, 2c, 2d] limit the preparation and usage of DSs, especially, on an industrial scale. Several approaches to the stabilization of hazardous DSs allowing for the minimization of risks associated with the processes of their production and utilization are available. These include, for instance, preparation of polymer-supported DSs [2e], freezing of benzenediazonium chlorides up to -84 ° C [2f], and application of flow-chemistry techniques for DS chemistry [2g]. Besides, to diminish the hazard level of DSs, twelve rules of handling these compounds were formulated [2b].</w:t>
      </w:r>
    </w:p>
    <w:p>
      <w:pPr>
        <w:pStyle w:val="TAMainText"/>
        <w:rPr/>
      </w:pPr>
      <w:r>
        <w:rPr/>
        <w:t>Recently, we have synthesized arenediazoniumtosylates ArN</w:t>
      </w:r>
      <w:r>
        <w:rPr>
          <w:vertAlign w:val="subscript"/>
        </w:rPr>
        <w:t>2</w:t>
      </w:r>
      <w:r>
        <w:rPr>
          <w:vertAlign w:val="superscript"/>
        </w:rPr>
        <w:t>+</w:t>
      </w:r>
      <w:r>
        <w:rPr/>
        <w:t>TsO</w:t>
      </w:r>
      <w:r>
        <w:rPr>
          <w:vertAlign w:val="superscript"/>
        </w:rPr>
        <w:t>-</w:t>
      </w:r>
      <w:r>
        <w:rPr/>
        <w:t xml:space="preserve"> (ADTs) [3a] and trifluoromethane sulfonates ArN</w:t>
      </w:r>
      <w:r>
        <w:rPr>
          <w:vertAlign w:val="subscript"/>
        </w:rPr>
        <w:t>2</w:t>
      </w:r>
      <w:r>
        <w:rPr>
          <w:vertAlign w:val="superscript"/>
        </w:rPr>
        <w:t>+</w:t>
      </w:r>
      <w:r>
        <w:rPr/>
        <w:t>TfO</w:t>
      </w:r>
      <w:r>
        <w:rPr>
          <w:vertAlign w:val="superscript"/>
        </w:rPr>
        <w:t>-</w:t>
      </w:r>
      <w:r>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TAMainText"/>
        <w:rPr/>
      </w:pPr>
      <w:r>
        <w:rPr/>
        <w:t>The thermal decomposition energies of some ADTs and ADTfs, determined by DSC/TGA, in most cases were found to be below 800 J/g. Therefore, according to the safety criteria of the United Nations Economic Commission for Europe (UNECE) they can be referred as compounds that can be transported safely[6].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 xml:space="preserve">Noteworthy, the DS decomposition in solution has been extensively investigated for a long time (see, for example, [1a,g]),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[7a,c],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 xml:space="preserve">N-substituted arenediazonium chlorides and tetrafluoroborates has shown that isotope effect is insensitive to the nature and position of substituents in the aromatic ring and the nature of the counterion [7b].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1a-d</w:t>
      </w:r>
      <w:r>
        <w:rPr/>
        <w:t>comparing to 4-nitrobenzenediazonium tosylate</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w:t>
      </w:r>
      <w:r>
        <w:rPr>
          <w:b/>
          <w:bCs/>
        </w:rPr>
        <w:t xml:space="preserve">1a-d </w:t>
      </w:r>
      <w:r>
        <w:rPr/>
        <w:t>for the following reasons. First, according to [7a],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 [3a, b],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TAMainText"/>
        <w:rPr/>
      </w:pPr>
      <w:r>
        <w:rPr>
          <w:b/>
          <w:bCs/>
        </w:rPr>
        <w:t>EXPERIMENTAL SECTION</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w:t>
      </w:r>
      <w:r>
        <w:rPr>
          <w:rFonts w:ascii="Times New Roman" w:hAnsi="Times New Roman"/>
          <w:b/>
          <w:bCs/>
        </w:rPr>
        <w:t>2</w:t>
      </w:r>
      <w:r>
        <w:rPr>
          <w:rFonts w:ascii="Times New Roman" w:hAnsi="Times New Roman"/>
        </w:rPr>
        <w:t xml:space="preserve"> were synthesized according to the procedure described previously [3a,b].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rFonts w:ascii="Times New Roman" w:hAnsi="Times New Roman"/>
          <w:sz w:val="12"/>
          <w:szCs w:val="12"/>
        </w:rPr>
      </w:pPr>
      <w:r>
        <w:rPr>
          <w:rFonts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tblPr>
      <w:tblGrid>
        <w:gridCol w:w="3401"/>
        <w:gridCol w:w="739"/>
        <w:gridCol w:w="4202"/>
        <w:gridCol w:w="785"/>
      </w:tblGrid>
      <w:tr>
        <w:trPr/>
        <w:tc>
          <w:tcPr>
            <w:tcW w:w="3401" w:type="dxa"/>
            <w:tcBorders/>
            <w:shd w:color="auto" w:fill="FFFFFF" w:val="clear"/>
          </w:tcPr>
          <w:p>
            <w:pPr>
              <w:pStyle w:val="TAMainText"/>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2"/>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TAMainText"/>
              <w:rPr>
                <w:b/>
                <w:b/>
                <w:bCs/>
              </w:rPr>
            </w:pPr>
            <w:r>
              <w:rPr>
                <w:b/>
                <w:bCs/>
              </w:rPr>
              <w:t>1a</w:t>
            </w:r>
          </w:p>
        </w:tc>
        <w:tc>
          <w:tcPr>
            <w:tcW w:w="4202" w:type="dxa"/>
            <w:tcBorders/>
            <w:shd w:color="auto" w:fill="FFFFFF" w:val="clear"/>
          </w:tcPr>
          <w:p>
            <w:pPr>
              <w:pStyle w:val="TAMainText"/>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3"/>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TAMainText"/>
              <w:rPr>
                <w:b/>
                <w:b/>
                <w:bCs/>
              </w:rPr>
            </w:pPr>
            <w:r>
              <w:rPr>
                <w:b/>
                <w:bCs/>
              </w:rPr>
              <w:t>1d</w:t>
            </w:r>
          </w:p>
        </w:tc>
      </w:tr>
      <w:tr>
        <w:trPr/>
        <w:tc>
          <w:tcPr>
            <w:tcW w:w="3401" w:type="dxa"/>
            <w:tcBorders/>
            <w:shd w:color="auto" w:fill="FFFFFF" w:val="clear"/>
          </w:tcPr>
          <w:p>
            <w:pPr>
              <w:pStyle w:val="TAMainText"/>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4"/>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TAMainText"/>
              <w:rPr>
                <w:b/>
                <w:b/>
                <w:bCs/>
              </w:rPr>
            </w:pPr>
            <w:r>
              <w:rPr>
                <w:b/>
                <w:bCs/>
              </w:rPr>
              <w:t>1b</w:t>
            </w:r>
          </w:p>
        </w:tc>
        <w:tc>
          <w:tcPr>
            <w:tcW w:w="4202" w:type="dxa"/>
            <w:tcBorders/>
            <w:shd w:color="auto" w:fill="FFFFFF" w:val="clear"/>
          </w:tcPr>
          <w:p>
            <w:pPr>
              <w:pStyle w:val="TAMainText"/>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5"/>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TAMainText"/>
              <w:rPr>
                <w:b/>
                <w:b/>
                <w:bCs/>
              </w:rPr>
            </w:pPr>
            <w:r>
              <w:rPr>
                <w:b/>
                <w:bCs/>
              </w:rPr>
              <w:t>2</w:t>
            </w:r>
          </w:p>
        </w:tc>
      </w:tr>
      <w:tr>
        <w:trPr/>
        <w:tc>
          <w:tcPr>
            <w:tcW w:w="3401" w:type="dxa"/>
            <w:tcBorders/>
            <w:shd w:color="auto" w:fill="FFFFFF" w:val="clear"/>
          </w:tcPr>
          <w:p>
            <w:pPr>
              <w:pStyle w:val="TAMainText"/>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6"/>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TAMainText"/>
              <w:rPr>
                <w:b/>
                <w:b/>
                <w:bCs/>
              </w:rPr>
            </w:pPr>
            <w:r>
              <w:rPr>
                <w:b/>
                <w:bCs/>
              </w:rPr>
              <w:t>1c</w:t>
            </w:r>
          </w:p>
        </w:tc>
        <w:tc>
          <w:tcPr>
            <w:tcW w:w="4202" w:type="dxa"/>
            <w:tcBorders/>
            <w:shd w:color="auto" w:fill="FFFFFF" w:val="clear"/>
          </w:tcPr>
          <w:p>
            <w:pPr>
              <w:pStyle w:val="TAMainText"/>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7"/>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TAMainText"/>
              <w:rPr>
                <w:b/>
                <w:b/>
                <w:bCs/>
              </w:rPr>
            </w:pPr>
            <w:r>
              <w:rPr>
                <w:b/>
                <w:bCs/>
              </w:rPr>
              <w:t>3</w:t>
            </w:r>
          </w:p>
        </w:tc>
      </w:tr>
    </w:tbl>
    <w:p>
      <w:pPr>
        <w:pStyle w:val="TAMainText"/>
        <w:rPr>
          <w:sz w:val="12"/>
          <w:szCs w:val="12"/>
        </w:rPr>
      </w:pPr>
      <w:r>
        <w:rPr>
          <w:sz w:val="12"/>
          <w:szCs w:val="12"/>
        </w:rPr>
      </w:r>
    </w:p>
    <w:p>
      <w:pPr>
        <w:pStyle w:val="VCSchemeTitle"/>
        <w:rPr/>
      </w:pPr>
      <w:r>
        <w:rPr/>
        <w:t xml:space="preserve">Scheme 1. The structures of arenediazonium triflates </w:t>
      </w:r>
      <w:r>
        <w:rPr>
          <w:b/>
          <w:bCs/>
        </w:rPr>
        <w:t xml:space="preserve">1a-d, </w:t>
      </w:r>
      <w:r>
        <w:rPr/>
        <w:t>4-nitrobenzenediazonium tosylate</w:t>
      </w:r>
      <w:r>
        <w:rPr>
          <w:b/>
          <w:bCs/>
        </w:rPr>
        <w:t xml:space="preserve">2 </w:t>
      </w:r>
      <w:r>
        <w:rPr>
          <w:bCs/>
        </w:rPr>
        <w:t xml:space="preserve">and </w:t>
      </w:r>
      <w:r>
        <w:rPr/>
        <w:t xml:space="preserve">4-nitrobenzenediazonium tetrafluoroborate </w:t>
      </w:r>
      <w:r>
        <w:rPr>
          <w:b/>
          <w:bCs/>
        </w:rPr>
        <w:t>3</w:t>
      </w:r>
    </w:p>
    <w:p>
      <w:pPr>
        <w:pStyle w:val="TAMainText"/>
        <w:rPr/>
      </w:pPr>
      <w:r>
        <w:rPr/>
        <w:t>The DSC/TGA runs were made in argon atmosphere using open sample pans on Q600 SDT instrument (TA Instruments), a heating rate of 5 °C 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The experimental design was similar as described in [8a-d] for calorimetric study of the safety of high energy materials.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[9a] and R Statistics v3.3.3 [9b]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xml:space="preserve">);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 [10a,b].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 xml:space="preserve">in Gaussian 09 software package [11].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pPr>
      <w:r>
        <w:rPr>
          <w:b/>
          <w:bCs/>
        </w:rPr>
        <w:t>RESULTS AND DISCUSSION</w:t>
      </w:r>
    </w:p>
    <w:p>
      <w:pPr>
        <w:pStyle w:val="TAMainText"/>
        <w:rPr>
          <w:b/>
          <w:b/>
        </w:rPr>
      </w:pPr>
      <w:r>
        <w:rPr>
          <w:b/>
          <w:bCs/>
        </w:rPr>
        <w:t>DSC/TGA results</w:t>
      </w:r>
    </w:p>
    <w:p>
      <w:pPr>
        <w:pStyle w:val="TAMainText"/>
        <w:rPr/>
      </w:pPr>
      <w:r>
        <w:rPr/>
        <w:t xml:space="preserve">Our study of the thermal and storage stability of arenediazonium triflates </w:t>
      </w:r>
      <w:r>
        <w:rPr>
          <w:b/>
          <w:bCs/>
        </w:rPr>
        <w:t>1a-d,</w:t>
      </w:r>
      <w:r>
        <w:rPr/>
        <w:t>4-nitrobenzenediazonium tosylate</w:t>
      </w:r>
      <w:r>
        <w:rPr>
          <w:b/>
          <w:bCs/>
        </w:rPr>
        <w:t>2</w:t>
      </w:r>
      <w:r>
        <w:rPr/>
        <w:t xml:space="preserve"> and tetrafluoroborate </w:t>
      </w:r>
      <w:r>
        <w:rPr>
          <w:b/>
          <w:bCs/>
        </w:rPr>
        <w:t xml:space="preserve">3 </w:t>
      </w:r>
      <w:r>
        <w:rPr>
          <w:bCs/>
        </w:rPr>
        <w:t>has begun</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1a,b,d, 3</w:t>
      </w:r>
      <w:r>
        <w:rPr/>
        <w:t xml:space="preserve"> additional low-temperature endothermic effects are observed in the temperature range close to their melting point, whereas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33.7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8"/>
                    <a:stretch>
                      <a:fillRect/>
                    </a:stretch>
                  </pic:blipFill>
                  <pic:spPr bwMode="auto">
                    <a:xfrm>
                      <a:off x="0" y="0"/>
                      <a:ext cx="4091940" cy="353060"/>
                    </a:xfrm>
                    <a:prstGeom prst="rect">
                      <a:avLst/>
                    </a:prstGeom>
                  </pic:spPr>
                </pic:pic>
              </a:graphicData>
            </a:graphic>
          </wp:inline>
        </w:drawing>
      </w:r>
    </w:p>
    <w:p>
      <w:pPr>
        <w:pStyle w:val="TAMainText"/>
        <w:rPr>
          <w:rFonts w:ascii="Times New Roman" w:hAnsi="Times New Roman"/>
        </w:rPr>
      </w:pPr>
      <w:r>
        <w:rPr>
          <w:rFonts w:ascii="Times New Roman" w:hAnsi="Times New Roman"/>
        </w:rPr>
        <w:t xml:space="preserve">This indicates that 4-nitrobenzene diazonium fluoride </w:t>
      </w:r>
      <w:r>
        <w:rPr>
          <w:rFonts w:ascii="Times New Roman" w:hAnsi="Times New Roman"/>
          <w:b/>
        </w:rPr>
        <w:t>3a</w:t>
      </w:r>
      <w:r>
        <w:rPr>
          <w:rFonts w:ascii="Times New Roman" w:hAnsi="Times New Roman"/>
        </w:rPr>
        <w:t xml:space="preserve"> should undergo further decomposition at 146.5 ° C.</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Table 1.</w:t>
      </w:r>
      <w:r>
        <w:rPr/>
        <w:t xml:space="preserve"> Temperatures and decomposition energies of diazonium salts </w:t>
      </w:r>
      <w:r>
        <w:rPr>
          <w:b/>
        </w:rPr>
        <w:t>1-3</w:t>
      </w:r>
      <w:r>
        <w:rPr/>
        <w:t xml:space="preserve"> according to DSC\TGA experiments data. </w:t>
      </w:r>
    </w:p>
    <w:tbl>
      <w:tblPr>
        <w:tblW w:w="5000" w:type="pct"/>
        <w:jc w:val="left"/>
        <w:tblInd w:w="4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38" w:type="dxa"/>
          <w:bottom w:w="0" w:type="dxa"/>
          <w:right w:w="108" w:type="dxa"/>
        </w:tblCellMar>
        <w:tblLook w:val="0000"/>
      </w:tblPr>
      <w:tblGrid>
        <w:gridCol w:w="2693"/>
        <w:gridCol w:w="1002"/>
        <w:gridCol w:w="2403"/>
        <w:gridCol w:w="890"/>
        <w:gridCol w:w="2372"/>
      </w:tblGrid>
      <w:tr>
        <w:trPr/>
        <w:tc>
          <w:tcPr>
            <w:tcW w:w="2693"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t>Diazonium salts</w:t>
            </w:r>
          </w:p>
        </w:tc>
        <w:tc>
          <w:tcPr>
            <w:tcW w:w="340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pPr>
            <w:r>
              <w:rPr/>
              <w:t>Endothermic process</w:t>
            </w:r>
          </w:p>
        </w:tc>
        <w:tc>
          <w:tcPr>
            <w:tcW w:w="326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t>Exothermic process</w:t>
            </w:r>
          </w:p>
        </w:tc>
      </w:tr>
      <w:tr>
        <w:trPr/>
        <w:tc>
          <w:tcPr>
            <w:tcW w:w="269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pPr>
            <w:r>
              <w:rPr/>
              <w:t>Т, ° C</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pPr>
            <w:r>
              <w:rPr>
                <w:rFonts w:ascii="Symbol" w:hAnsi="Symbol"/>
                <w:sz w:val="16"/>
                <w:szCs w:val="16"/>
              </w:rPr>
              <w:t></w:t>
            </w:r>
            <w:r>
              <w:rPr/>
              <w:t>Н,</w:t>
            </w:r>
            <w:r>
              <w:rPr>
                <w:sz w:val="22"/>
                <w:szCs w:val="22"/>
              </w:rPr>
              <w:t xml:space="preserve"> J/g (kJ/mol)</w:t>
            </w:r>
          </w:p>
        </w:tc>
        <w:tc>
          <w:tcPr>
            <w:tcW w:w="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t>Т, ° C</w:t>
            </w:r>
          </w:p>
        </w:tc>
        <w:tc>
          <w:tcPr>
            <w:tcW w:w="23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rFonts w:ascii="Symbol" w:hAnsi="Symbol"/>
                <w:sz w:val="16"/>
                <w:szCs w:val="16"/>
              </w:rPr>
              <w:t></w:t>
            </w:r>
            <w:r>
              <w:rPr/>
              <w:t>Н</w:t>
            </w:r>
            <w:r>
              <w:rPr>
                <w:sz w:val="22"/>
                <w:szCs w:val="22"/>
              </w:rPr>
              <w:t>, J/g (kJ/mol)</w:t>
            </w:r>
          </w:p>
        </w:tc>
      </w:tr>
      <w:tr>
        <w:trPr/>
        <w:tc>
          <w:tcPr>
            <w:tcW w:w="2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104.1</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73.49 (21.98)</w:t>
            </w:r>
          </w:p>
        </w:tc>
        <w:tc>
          <w:tcPr>
            <w:tcW w:w="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szCs w:val="28"/>
              </w:rPr>
            </w:pPr>
            <w:r>
              <w:rPr>
                <w:szCs w:val="28"/>
              </w:rPr>
              <w:t>143.3</w:t>
            </w:r>
          </w:p>
        </w:tc>
        <w:tc>
          <w:tcPr>
            <w:tcW w:w="23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szCs w:val="28"/>
              </w:rPr>
              <w:t>-753.4 (-225.3)</w:t>
            </w:r>
          </w:p>
        </w:tc>
      </w:tr>
      <w:tr>
        <w:trPr/>
        <w:tc>
          <w:tcPr>
            <w:tcW w:w="2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102.5</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43.6 (10.04)</w:t>
            </w:r>
          </w:p>
        </w:tc>
        <w:tc>
          <w:tcPr>
            <w:tcW w:w="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szCs w:val="28"/>
              </w:rPr>
            </w:pPr>
            <w:r>
              <w:rPr>
                <w:szCs w:val="28"/>
              </w:rPr>
              <w:t>111.2</w:t>
            </w:r>
          </w:p>
        </w:tc>
        <w:tc>
          <w:tcPr>
            <w:tcW w:w="23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szCs w:val="28"/>
              </w:rPr>
              <w:t>-840.4 (-251.3)</w:t>
            </w:r>
          </w:p>
        </w:tc>
      </w:tr>
      <w:tr>
        <w:trPr/>
        <w:tc>
          <w:tcPr>
            <w:tcW w:w="2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w:t>
            </w:r>
          </w:p>
        </w:tc>
        <w:tc>
          <w:tcPr>
            <w:tcW w:w="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szCs w:val="28"/>
              </w:rPr>
            </w:pPr>
            <w:r>
              <w:rPr>
                <w:szCs w:val="28"/>
              </w:rPr>
              <w:t>116.4</w:t>
            </w:r>
          </w:p>
        </w:tc>
        <w:tc>
          <w:tcPr>
            <w:tcW w:w="23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szCs w:val="28"/>
              </w:rPr>
              <w:t>-219.9 (-65.7)</w:t>
            </w:r>
          </w:p>
        </w:tc>
      </w:tr>
      <w:tr>
        <w:trPr/>
        <w:tc>
          <w:tcPr>
            <w:tcW w:w="2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88.4</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102.2 (29.05)</w:t>
            </w:r>
          </w:p>
        </w:tc>
        <w:tc>
          <w:tcPr>
            <w:tcW w:w="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szCs w:val="28"/>
              </w:rPr>
            </w:pPr>
            <w:r>
              <w:rPr>
                <w:szCs w:val="28"/>
              </w:rPr>
              <w:t>136.6</w:t>
            </w:r>
          </w:p>
        </w:tc>
        <w:tc>
          <w:tcPr>
            <w:tcW w:w="23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szCs w:val="28"/>
              </w:rPr>
              <w:t>-328.9 (-93.5)</w:t>
            </w:r>
          </w:p>
        </w:tc>
      </w:tr>
      <w:tr>
        <w:trPr/>
        <w:tc>
          <w:tcPr>
            <w:tcW w:w="2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w:t>
            </w:r>
          </w:p>
        </w:tc>
        <w:tc>
          <w:tcPr>
            <w:tcW w:w="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rPr>
                <w:szCs w:val="28"/>
              </w:rPr>
            </w:pPr>
            <w:r>
              <w:rPr>
                <w:szCs w:val="28"/>
              </w:rPr>
              <w:t>69.37</w:t>
            </w:r>
          </w:p>
          <w:p>
            <w:pPr>
              <w:pStyle w:val="TCTableBody"/>
              <w:spacing w:before="0" w:after="200"/>
              <w:rPr>
                <w:szCs w:val="28"/>
              </w:rPr>
            </w:pPr>
            <w:r>
              <w:rPr>
                <w:szCs w:val="28"/>
              </w:rPr>
              <w:t>146.6</w:t>
            </w:r>
          </w:p>
        </w:tc>
        <w:tc>
          <w:tcPr>
            <w:tcW w:w="23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rPr>
                <w:szCs w:val="28"/>
              </w:rPr>
            </w:pPr>
            <w:r>
              <w:rPr>
                <w:szCs w:val="28"/>
              </w:rPr>
              <w:t>-24.47 (-7.8)</w:t>
            </w:r>
          </w:p>
          <w:p>
            <w:pPr>
              <w:pStyle w:val="TCTableBody"/>
              <w:spacing w:before="0" w:after="200"/>
              <w:rPr>
                <w:szCs w:val="28"/>
              </w:rPr>
            </w:pPr>
            <w:r>
              <w:rPr>
                <w:szCs w:val="28"/>
              </w:rPr>
              <w:t>-323.0 (-103.7)</w:t>
            </w:r>
          </w:p>
        </w:tc>
      </w:tr>
      <w:tr>
        <w:trPr/>
        <w:tc>
          <w:tcPr>
            <w:tcW w:w="2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33.7</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tcPr>
          <w:p>
            <w:pPr>
              <w:pStyle w:val="TCTableBody"/>
              <w:spacing w:before="0" w:after="200"/>
              <w:rPr>
                <w:szCs w:val="28"/>
              </w:rPr>
            </w:pPr>
            <w:r>
              <w:rPr>
                <w:szCs w:val="28"/>
              </w:rPr>
              <w:t>617.3 (146.3)</w:t>
            </w:r>
          </w:p>
        </w:tc>
        <w:tc>
          <w:tcPr>
            <w:tcW w:w="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szCs w:val="28"/>
              </w:rPr>
            </w:pPr>
            <w:r>
              <w:rPr>
                <w:szCs w:val="28"/>
              </w:rPr>
              <w:t>146.5</w:t>
            </w:r>
          </w:p>
        </w:tc>
        <w:tc>
          <w:tcPr>
            <w:tcW w:w="23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8" w:type="dxa"/>
            </w:tcMar>
            <w:vAlign w:val="center"/>
          </w:tcPr>
          <w:p>
            <w:pPr>
              <w:pStyle w:val="TCTableBody"/>
              <w:spacing w:before="0" w:after="200"/>
              <w:rPr>
                <w:szCs w:val="28"/>
              </w:rPr>
            </w:pPr>
            <w:r>
              <w:rPr>
                <w:szCs w:val="28"/>
              </w:rPr>
              <w:t>-229.2 (-54.3)</w:t>
            </w:r>
          </w:p>
        </w:tc>
      </w:tr>
    </w:tbl>
    <w:p>
      <w:pPr>
        <w:pStyle w:val="TAMainText"/>
        <w:rPr/>
      </w:pPr>
      <w:r>
        <w:rPr/>
      </w:r>
    </w:p>
    <w:p>
      <w:pPr>
        <w:pStyle w:val="TAMainText"/>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9"/>
                    <a:stretch>
                      <a:fillRect/>
                    </a:stretch>
                  </pic:blipFill>
                  <pic:spPr bwMode="auto">
                    <a:xfrm>
                      <a:off x="0" y="0"/>
                      <a:ext cx="5542280" cy="3364865"/>
                    </a:xfrm>
                    <a:prstGeom prst="rect">
                      <a:avLst/>
                    </a:prstGeom>
                  </pic:spPr>
                </pic:pic>
              </a:graphicData>
            </a:graphic>
          </wp:inline>
        </w:drawing>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1a</w:t>
      </w:r>
    </w:p>
    <w:p>
      <w:pPr>
        <w:pStyle w:val="TAMainText"/>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0"/>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1b</w:t>
      </w:r>
    </w:p>
    <w:p>
      <w:pPr>
        <w:pStyle w:val="TAMainText"/>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1"/>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1c</w:t>
      </w:r>
    </w:p>
    <w:p>
      <w:pPr>
        <w:pStyle w:val="TAMainText"/>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2"/>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1d</w:t>
      </w:r>
    </w:p>
    <w:p>
      <w:pPr>
        <w:pStyle w:val="TAMainText"/>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3"/>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TsO</w:t>
      </w:r>
      <w:r>
        <w:rPr>
          <w:color w:val="000000"/>
          <w:szCs w:val="28"/>
          <w:vertAlign w:val="superscript"/>
        </w:rPr>
        <w:t>-</w:t>
      </w:r>
      <w:r>
        <w:rPr>
          <w:b/>
          <w:bCs/>
          <w:color w:val="000000"/>
          <w:szCs w:val="28"/>
        </w:rPr>
        <w:t>2 c</w:t>
      </w:r>
    </w:p>
    <w:p>
      <w:pPr>
        <w:pStyle w:val="TAMainText"/>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4"/>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b/>
          <w:b/>
        </w:rPr>
      </w:pPr>
      <w:r>
        <w:rPr>
          <w:b/>
        </w:rPr>
        <w:t>Isothermal flow calorimetry results</w:t>
      </w:r>
    </w:p>
    <w:p>
      <w:pPr>
        <w:pStyle w:val="TAMainText"/>
        <w:rPr/>
      </w:pPr>
      <w:r>
        <w:rPr/>
        <w:t xml:space="preserve">With DSC/TGA data in our hands we moved on to isothermal flow calorimetry analysis of DSs studied.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ascii="Times New Roman" w:hAnsi="Times New Roman"/>
        </w:rPr>
        <w:t>ADTS</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ADTS</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Table 2.</w:t>
      </w:r>
      <w:r>
        <w:rPr/>
        <w:t xml:space="preserve"> The reproducibility of the DS </w:t>
      </w:r>
      <w:r>
        <w:rPr>
          <w:b/>
        </w:rPr>
        <w:t>2</w:t>
      </w:r>
      <w:r>
        <w:rPr/>
        <w:t xml:space="preserve"> thermal decomposition parameters measured at 85 ° </w:t>
      </w:r>
      <w:r>
        <w:rPr>
          <w:bCs/>
        </w:rPr>
        <w:t>C</w:t>
      </w:r>
      <w:r>
        <w:rPr/>
        <w:t xml:space="preserve"> depending on synthetic batch and a number of repricipitations.</w:t>
      </w:r>
    </w:p>
    <w:tbl>
      <w:tblPr>
        <w:tblW w:w="4750" w:type="pct"/>
        <w:jc w:val="center"/>
        <w:tblInd w:w="0" w:type="dxa"/>
        <w:tblBorders>
          <w:top w:val="outset" w:sz="2" w:space="0" w:color="000001"/>
          <w:left w:val="outset" w:sz="2" w:space="0" w:color="000001"/>
          <w:bottom w:val="outset" w:sz="2" w:space="0" w:color="000001"/>
          <w:insideH w:val="outset" w:sz="2" w:space="0" w:color="000001"/>
        </w:tblBorders>
        <w:tblCellMar>
          <w:top w:w="55" w:type="dxa"/>
          <w:left w:w="19" w:type="dxa"/>
          <w:bottom w:w="55" w:type="dxa"/>
          <w:right w:w="55" w:type="dxa"/>
        </w:tblCellMar>
        <w:tblLook w:val="0000"/>
      </w:tblPr>
      <w:tblGrid>
        <w:gridCol w:w="4219"/>
        <w:gridCol w:w="1871"/>
        <w:gridCol w:w="1437"/>
        <w:gridCol w:w="1364"/>
      </w:tblGrid>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Sample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k, g·mol</w:t>
            </w:r>
            <w:r>
              <w:rPr>
                <w:vertAlign w:val="superscript"/>
              </w:rPr>
              <w:t>-1</w:t>
            </w:r>
            <w:r>
              <w:rPr/>
              <w:t>·с</w:t>
            </w:r>
            <w:r>
              <w:rPr>
                <w:vertAlign w:val="superscript"/>
              </w:rPr>
              <w:t>-1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rFonts w:ascii="Symbol" w:hAnsi="Symbol"/>
                <w:sz w:val="16"/>
                <w:szCs w:val="16"/>
              </w:rPr>
              <w:t></w:t>
            </w:r>
            <w:r>
              <w:rPr/>
              <w:t>H, kJ·mol</w:t>
            </w:r>
            <w:r>
              <w:rPr>
                <w:vertAlign w:val="superscript"/>
              </w:rPr>
              <w:t>-1</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pPr>
            <w:r>
              <w:rPr/>
              <w:t>P</w:t>
            </w:r>
            <w:r>
              <w:rPr>
                <w:vertAlign w:val="subscript"/>
              </w:rPr>
              <w:t>0</w:t>
            </w:r>
            <w:r>
              <w:rPr/>
              <w:t>, mW/g</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jc w:val="left"/>
              <w:rPr/>
            </w:pPr>
            <w:r>
              <w:rPr/>
              <w:t>Sample 1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0.0875 ± 0.0117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234.2 ± 3.0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pPr>
            <w:r>
              <w:rPr/>
              <w:t xml:space="preserve">  </w:t>
            </w:r>
            <w:r>
              <w:rPr/>
              <w:t>31.2 ± 8.1</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jc w:val="left"/>
              <w:rPr/>
            </w:pPr>
            <w:r>
              <w:rPr/>
              <w:t>Sample 2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0.0825 ± 0.0119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243.6 ± 20.7</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pPr>
            <w:r>
              <w:rPr/>
              <w:t>12.7 ± 3.5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jc w:val="left"/>
              <w:rPr/>
            </w:pPr>
            <w:r>
              <w:rPr/>
              <w:t>Sample 3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0.0848 ± 0.0091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235.5 ± 7.0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pPr>
            <w:r>
              <w:rPr/>
              <w:t>10.1 ± 3.5</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jc w:val="left"/>
              <w:rPr>
                <w:sz w:val="4"/>
                <w:szCs w:val="4"/>
                <w:highlight w:val="green"/>
              </w:rPr>
            </w:pPr>
            <w:r>
              <w:rPr>
                <w:sz w:val="4"/>
                <w:szCs w:val="4"/>
                <w:highlight w:val="green"/>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jc w:val="left"/>
              <w:rPr/>
            </w:pPr>
            <w:r>
              <w:rPr/>
              <w:t>Sample 3 Air,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0.0862 ± 0.0107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229.0 ± 28.9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pPr>
            <w:r>
              <w:rPr/>
              <w:t>8.7 ± 8.5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jc w:val="left"/>
              <w:rPr/>
            </w:pPr>
            <w:r>
              <w:rPr/>
              <w:t>Sample 3 Argon,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0.1002 ± 0.0113</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242.3 ± 8.0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pPr>
            <w:r>
              <w:rPr/>
              <w:t xml:space="preserve">12.8 ± 2.4 </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jc w:val="left"/>
              <w:rPr/>
            </w:pPr>
            <w:r>
              <w:rPr/>
              <w:t xml:space="preserve">Sample 2, 3 Nitrogen, </w:t>
            </w:r>
          </w:p>
          <w:p>
            <w:pPr>
              <w:pStyle w:val="TCTableBody"/>
              <w:spacing w:before="0" w:after="200"/>
              <w:jc w:val="left"/>
              <w:rPr/>
            </w:pPr>
            <w:r>
              <w:rPr/>
              <w:t>(source, repricipitation 1,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0.0838 ± 0.0059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238.9 ± 7.8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pPr>
            <w:r>
              <w:rPr/>
              <w:t>11.2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jc w:val="left"/>
              <w:rPr/>
            </w:pPr>
            <w:r>
              <w:rPr/>
              <w:t>Sample 4 Nitrogen, source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0.0832 ± 0.0109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241.7 ± 16.2</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pPr>
            <w:r>
              <w:rPr/>
              <w:t>12.0 ± 2.0</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jc w:val="left"/>
              <w:rPr/>
            </w:pPr>
            <w:r>
              <w:rPr/>
              <w:t>Sample 4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0.0838 ± 0.0158</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235.1 ± 17.9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pPr>
            <w:r>
              <w:rPr/>
              <w:t>10.2 ± 6.3</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jc w:val="left"/>
              <w:rPr/>
            </w:pPr>
            <w:r>
              <w:rPr/>
              <w:t>Sample 4 Nitrogen,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0.0931 ± 0.0071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238.1 ± 6.8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pPr>
            <w:r>
              <w:rPr/>
              <w:t>11.3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jc w:val="left"/>
              <w:rPr/>
            </w:pPr>
            <w:r>
              <w:rPr/>
              <w:t>General statistics</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0.0882 ± 0.0045</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9" w:type="dxa"/>
            </w:tcMar>
            <w:vAlign w:val="center"/>
          </w:tcPr>
          <w:p>
            <w:pPr>
              <w:pStyle w:val="TCTableBody"/>
              <w:spacing w:before="0" w:after="200"/>
              <w:rPr/>
            </w:pPr>
            <w:r>
              <w:rPr/>
              <w:t>237.7 ± 4.6</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9" w:type="dxa"/>
            </w:tcMar>
            <w:vAlign w:val="center"/>
          </w:tcPr>
          <w:p>
            <w:pPr>
              <w:pStyle w:val="TCTableBody"/>
              <w:spacing w:before="0" w:after="200"/>
              <w:rPr/>
            </w:pPr>
            <w:r>
              <w:rPr/>
              <w:t>13.8 ± 3.3</w:t>
            </w:r>
          </w:p>
        </w:tc>
      </w:tr>
    </w:tbl>
    <w:p>
      <w:pPr>
        <w:pStyle w:val="FETableFootnote"/>
        <w:jc w:val="center"/>
        <w:rPr>
          <w:highlight w:val="yellow"/>
        </w:rPr>
      </w:pPr>
      <w:r>
        <w:rPr/>
        <w:t>k – rate constant, С</w:t>
      </w:r>
      <w:r>
        <w:rPr>
          <w:vertAlign w:val="subscript"/>
        </w:rPr>
        <w:t>0</w:t>
      </w:r>
      <w:r>
        <w:rPr/>
        <w:t xml:space="preserve"> – initial product concentration according to equation 2, </w:t>
      </w:r>
      <w:r>
        <w:rPr>
          <w:rFonts w:ascii="Symbol" w:hAnsi="Symbol"/>
          <w:sz w:val="16"/>
          <w:szCs w:val="16"/>
        </w:rPr>
        <w:t></w:t>
      </w:r>
      <w:r>
        <w:rPr/>
        <w:t>H - integral enthalpy, P</w:t>
      </w:r>
      <w:r>
        <w:rPr>
          <w:vertAlign w:val="subscript"/>
        </w:rPr>
        <w:t>0</w:t>
      </w:r>
      <w:r>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640"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1" w:type="dxa"/>
          <w:bottom w:w="55" w:type="dxa"/>
          <w:right w:w="55" w:type="dxa"/>
        </w:tblCellMar>
        <w:tblLook w:val="0000"/>
      </w:tblPr>
      <w:tblGrid>
        <w:gridCol w:w="2811"/>
        <w:gridCol w:w="1082"/>
        <w:gridCol w:w="1083"/>
        <w:gridCol w:w="1107"/>
        <w:gridCol w:w="1167"/>
        <w:gridCol w:w="1152"/>
        <w:gridCol w:w="1237"/>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b/>
                <w:b/>
                <w:bCs/>
              </w:rPr>
            </w:pPr>
            <w:r>
              <w:rPr/>
              <w:t>Diazonium salt</w:t>
            </w:r>
          </w:p>
        </w:tc>
        <w:tc>
          <w:tcPr>
            <w:tcW w:w="3272" w:type="dxa"/>
            <w:gridSpan w:val="3"/>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rFonts w:eastAsia="Symbol" w:cs="Times"/>
                <w:sz w:val="18"/>
                <w:szCs w:val="16"/>
              </w:rPr>
              <w:t>∆</w:t>
            </w:r>
            <w:r>
              <w:rPr/>
              <w:t>H, kJ/mol</w:t>
            </w:r>
          </w:p>
        </w:tc>
        <w:tc>
          <w:tcPr>
            <w:tcW w:w="355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P</w:t>
            </w:r>
            <w:r>
              <w:rPr>
                <w:vertAlign w:val="subscript"/>
              </w:rPr>
              <w:t>max</w:t>
            </w:r>
            <w:r>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75o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80o</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85o</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75o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80o</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85o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396.0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1.49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225.4</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14.15</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235.1</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250.0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47.89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183.2</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106.0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2.97</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232.4</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231.0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34.82</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156.0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147.0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31.63</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66.87</w:t>
            </w:r>
          </w:p>
        </w:tc>
      </w:tr>
    </w:tbl>
    <w:p>
      <w:pPr>
        <w:pStyle w:val="FETableFootnote"/>
        <w:jc w:val="center"/>
        <w:rPr>
          <w:color w:val="000000"/>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The following kinetic equation for </w:t>
      </w:r>
      <w:r>
        <w:rPr/>
        <w:t>autocatalytic reactions that was applied:</w:t>
      </w:r>
      <w:r>
        <w:rPr>
          <w:b/>
          <w:bCs/>
          <w:i/>
          <w:iCs/>
          <w:sz w:val="28"/>
          <w:szCs w:val="28"/>
        </w:rPr>
        <w:t>a A </w:t>
      </w:r>
      <w:r>
        <w:rPr>
          <w:rFonts w:eastAsia="Liberation Serif" w:cs="Liberation Serif"/>
          <w:b/>
          <w:bCs/>
          <w:i/>
          <w:iCs/>
          <w:sz w:val="28"/>
          <w:szCs w:val="28"/>
        </w:rPr>
        <w:t>→ </w:t>
      </w:r>
      <w:r>
        <w:rPr>
          <w:b/>
          <w:bCs/>
          <w:i/>
          <w:iCs/>
          <w:sz w:val="28"/>
          <w:szCs w:val="28"/>
        </w:rPr>
        <w:t>c C</w:t>
      </w:r>
    </w:p>
    <w:p>
      <w:pPr>
        <w:pStyle w:val="TAMainText"/>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5"/>
                    <a:stretch>
                      <a:fillRect/>
                    </a:stretch>
                  </pic:blipFill>
                  <pic:spPr bwMode="auto">
                    <a:xfrm>
                      <a:off x="0" y="0"/>
                      <a:ext cx="2131695" cy="760095"/>
                    </a:xfrm>
                    <a:prstGeom prst="rect">
                      <a:avLst/>
                    </a:prstGeom>
                  </pic:spPr>
                </pic:pic>
              </a:graphicData>
            </a:graphic>
          </wp:inline>
        </w:drawing>
      </w:r>
      <w:r>
        <w:rPr/>
        <w:t xml:space="preserve">   </w:t>
      </w:r>
      <w:r>
        <w:rPr>
          <w:rFonts w:eastAsia="Liberation Serif" w:cs="Liberation Serif"/>
        </w:rPr>
        <w:t xml:space="preserve">    </w:t>
      </w:r>
      <w:r>
        <w:rPr>
          <w:rFonts w:eastAsia="Liberation Serif" w:cs="Liberation Serif"/>
        </w:rPr>
        <w:t>(2)</w:t>
      </w:r>
    </w:p>
    <w:p>
      <w:pPr>
        <w:pStyle w:val="FDSchemeFootnote"/>
        <w:rPr/>
      </w:pPr>
      <w:r>
        <w:rPr>
          <w:highlight w:val="white"/>
        </w:rPr>
        <w:t xml:space="preserve">(where </w:t>
      </w:r>
      <w:r>
        <w:rPr>
          <w:i/>
          <w:iCs/>
        </w:rPr>
        <w:t>A</w:t>
      </w:r>
      <w:r>
        <w:rPr>
          <w:vertAlign w:val="subscript"/>
        </w:rPr>
        <w:t>0</w:t>
      </w:r>
      <w:r>
        <w:rPr/>
        <w:t xml:space="preserve"> – initial DS concentration, which for solid-phase reactions is measured in в mol/g units; </w:t>
      </w:r>
      <w:r>
        <w:rPr>
          <w:i/>
          <w:iCs/>
        </w:rPr>
        <w:t>С</w:t>
      </w:r>
      <w:r>
        <w:rPr>
          <w:vertAlign w:val="subscript"/>
        </w:rPr>
        <w:t>0</w:t>
      </w:r>
      <w:r>
        <w:rPr/>
        <w:t xml:space="preserve">, </w:t>
      </w:r>
      <w:r>
        <w:rPr>
          <w:i/>
          <w:iCs/>
        </w:rPr>
        <w:t>С</w:t>
      </w:r>
      <w:r>
        <w:rPr/>
        <w:t xml:space="preserve"> – initial and current concentrations of products, [mol/g]; </w:t>
      </w:r>
      <w:r>
        <w:rPr>
          <w:i/>
          <w:iCs/>
        </w:rPr>
        <w:t>k</w:t>
      </w:r>
      <w:r>
        <w:rPr>
          <w:highlight w:val="white"/>
        </w:rPr>
        <w:t xml:space="preserve">– rate constant; </w:t>
      </w:r>
      <w:r>
        <w:rPr>
          <w:i/>
          <w:iCs/>
          <w:highlight w:val="white"/>
        </w:rPr>
        <w:t>a</w:t>
      </w:r>
      <w:r>
        <w:rPr>
          <w:highlight w:val="white"/>
        </w:rPr>
        <w:t xml:space="preserve">, </w:t>
      </w:r>
      <w:r>
        <w:rPr>
          <w:i/>
          <w:iCs/>
          <w:highlight w:val="white"/>
        </w:rPr>
        <w:t>c</w:t>
      </w:r>
      <w:r>
        <w:rPr>
          <w:highlight w:val="white"/>
        </w:rPr>
        <w:t xml:space="preserve"> - </w:t>
      </w:r>
      <w:r>
        <w:rPr/>
        <w:t>stoichiometric coefficients</w:t>
      </w:r>
      <w:r>
        <w:rPr>
          <w:highlight w:val="white"/>
        </w:rPr>
        <w:t>, for the processes studied</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current and initial heat flow)</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w:t>
      </w:r>
      <w:r>
        <w:rPr>
          <w:b/>
        </w:rPr>
        <w:t>2</w:t>
      </w:r>
      <w:r>
        <w:rPr/>
        <w:t xml:space="preserve"> – 6h. </w:t>
      </w:r>
    </w:p>
    <w:p>
      <w:pPr>
        <w:pStyle w:val="TAMainText"/>
        <w:jc w:val="left"/>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6"/>
                    <a:stretch>
                      <a:fillRect/>
                    </a:stretch>
                  </pic:blipFill>
                  <pic:spPr bwMode="auto">
                    <a:xfrm>
                      <a:off x="0" y="0"/>
                      <a:ext cx="4673600" cy="3550285"/>
                    </a:xfrm>
                    <a:prstGeom prst="rect">
                      <a:avLst/>
                    </a:prstGeom>
                  </pic:spPr>
                </pic:pic>
              </a:graphicData>
            </a:graphic>
          </wp:inline>
        </w:drawing>
      </w:r>
    </w:p>
    <w:p>
      <w:pPr>
        <w:pStyle w:val="VAFigureCaption"/>
        <w:jc w:val="left"/>
        <w:rPr/>
      </w:pPr>
      <w:r>
        <w:rPr>
          <w:b/>
        </w:rPr>
        <w:t>Figure 7.</w:t>
      </w:r>
      <w:r>
        <w:rPr/>
        <w:t xml:space="preserve"> The heat flow (P) during isothermal decomposition of nitrobenzenediazonium salts: tetrafluoroborate </w:t>
      </w:r>
      <w:r>
        <w:rPr>
          <w:b/>
        </w:rPr>
        <w:t xml:space="preserve">3, </w:t>
      </w:r>
      <w:r>
        <w:rPr/>
        <w:t>tosylate</w:t>
      </w:r>
      <w:r>
        <w:rPr>
          <w:b/>
        </w:rPr>
        <w:t>2</w:t>
      </w:r>
      <w:r>
        <w:rPr/>
        <w:t xml:space="preserve">, and triflate </w:t>
      </w:r>
      <w:r>
        <w:rPr>
          <w:b/>
        </w:rPr>
        <w:t xml:space="preserve">1c </w:t>
      </w:r>
      <w:r>
        <w:rPr/>
        <w:t>at85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8850"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1" w:type="dxa"/>
          <w:bottom w:w="55" w:type="dxa"/>
          <w:right w:w="55" w:type="dxa"/>
        </w:tblCellMar>
        <w:tblLook w:val="0000"/>
      </w:tblPr>
      <w:tblGrid>
        <w:gridCol w:w="2578"/>
        <w:gridCol w:w="885"/>
        <w:gridCol w:w="962"/>
        <w:gridCol w:w="1075"/>
        <w:gridCol w:w="1138"/>
        <w:gridCol w:w="1125"/>
        <w:gridCol w:w="1086"/>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b/>
                <w:b/>
                <w:bCs/>
              </w:rPr>
            </w:pPr>
            <w:r>
              <w:rPr/>
              <w:t>Diazonium salt</w:t>
            </w:r>
          </w:p>
        </w:tc>
        <w:tc>
          <w:tcPr>
            <w:tcW w:w="2922" w:type="dxa"/>
            <w:gridSpan w:val="3"/>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P</w:t>
            </w:r>
            <w:r>
              <w:rPr>
                <w:vertAlign w:val="subscript"/>
              </w:rPr>
              <w:t>0</w:t>
            </w:r>
            <w:r>
              <w:rPr/>
              <w:t>, mW</w:t>
            </w:r>
          </w:p>
        </w:tc>
        <w:tc>
          <w:tcPr>
            <w:tcW w:w="3349"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k, g mol</w:t>
            </w:r>
            <w:r>
              <w:rPr>
                <w:vertAlign w:val="superscript"/>
              </w:rPr>
              <w:t>-1</w:t>
            </w:r>
            <w:r>
              <w:rPr/>
              <w:t xml:space="preserve">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75</w:t>
            </w:r>
            <w:r>
              <w:rPr>
                <w:vertAlign w:val="superscript"/>
              </w:rPr>
              <w:t>o</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80</w:t>
            </w:r>
            <w:r>
              <w:rPr>
                <w:vertAlign w:val="superscript"/>
              </w:rPr>
              <w:t>o</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85</w:t>
            </w:r>
            <w:r>
              <w:rPr>
                <w:vertAlign w:val="superscript"/>
              </w:rPr>
              <w:t>o</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75</w:t>
            </w:r>
            <w:r>
              <w:rPr>
                <w:vertAlign w:val="superscript"/>
              </w:rPr>
              <w:t>o</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80</w:t>
            </w:r>
            <w:r>
              <w:rPr>
                <w:vertAlign w:val="superscript"/>
              </w:rPr>
              <w:t>o</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4.06</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8.82</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14.7</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0.00026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0.00055</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0.0097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1.10</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4.46</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0.00912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0.01958</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0.900</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1.311</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4.84</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0.0316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0.0630</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1.477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3.200</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11.38</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0.0021</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0.0044</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1.957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2.745</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4.152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0.0289</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0.0539</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39.241</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89.598</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180.42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rFonts w:cs="Liberation Serif"/>
              </w:rPr>
            </w:pPr>
            <w:r>
              <w:rPr>
                <w:rFonts w:cs="Liberation Serif"/>
              </w:rPr>
              <w:t>0.0186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0.0344</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0.0721</w:t>
            </w:r>
          </w:p>
        </w:tc>
      </w:tr>
    </w:tbl>
    <w:p>
      <w:pPr>
        <w:pStyle w:val="TAMainText"/>
        <w:rPr>
          <w:color w:val="000000"/>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102225" cy="385000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7"/>
                    <a:stretch>
                      <a:fillRect/>
                    </a:stretch>
                  </pic:blipFill>
                  <pic:spPr bwMode="auto">
                    <a:xfrm>
                      <a:off x="0" y="0"/>
                      <a:ext cx="5102225" cy="3850005"/>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1b</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8"/>
                    <a:stretch>
                      <a:fillRect/>
                    </a:stretch>
                  </pic:blipFill>
                  <pic:spPr bwMode="auto">
                    <a:xfrm>
                      <a:off x="0" y="0"/>
                      <a:ext cx="5242560" cy="392620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1b-d</w:t>
      </w:r>
      <w:r>
        <w:rPr/>
        <w:t>have higher activation energies comparing to tosylate</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w:t>
      </w:r>
    </w:p>
    <w:tbl>
      <w:tblPr>
        <w:tblW w:w="7313" w:type="dxa"/>
        <w:jc w:val="left"/>
        <w:tblInd w:w="16" w:type="dxa"/>
        <w:tblBorders>
          <w:top w:val="single" w:sz="2" w:space="0" w:color="000001"/>
          <w:left w:val="single" w:sz="2" w:space="0" w:color="000001"/>
          <w:bottom w:val="single" w:sz="2" w:space="0" w:color="000001"/>
          <w:insideH w:val="single" w:sz="2" w:space="0" w:color="000001"/>
        </w:tblBorders>
        <w:tblCellMar>
          <w:top w:w="55" w:type="dxa"/>
          <w:left w:w="11" w:type="dxa"/>
          <w:bottom w:w="55" w:type="dxa"/>
          <w:right w:w="55" w:type="dxa"/>
        </w:tblCellMar>
        <w:tblLook w:val="000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b/>
                <w:b/>
                <w:bCs/>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k</w:t>
            </w:r>
            <w:r>
              <w:rPr>
                <w:vertAlign w:val="subscript"/>
              </w:rPr>
              <w:t>298</w:t>
            </w:r>
            <w:r>
              <w:rPr/>
              <w:t>, g·mol</w:t>
            </w:r>
            <w:r>
              <w:rPr>
                <w:vertAlign w:val="superscript"/>
              </w:rPr>
              <w:t>-1</w:t>
            </w:r>
            <w:r>
              <w:rPr/>
              <w:t>·с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vAlign w:val="center"/>
          </w:tcPr>
          <w:p>
            <w:pPr>
              <w:pStyle w:val="TCTableBody"/>
              <w:spacing w:before="0" w:after="200"/>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vAlign w:val="center"/>
          </w:tcPr>
          <w:p>
            <w:pPr>
              <w:pStyle w:val="TCTableBody"/>
              <w:spacing w:before="0" w:after="200"/>
              <w:rPr>
                <w:rFonts w:cs="Liberation Serif"/>
              </w:rPr>
            </w:pPr>
            <w:r>
              <w:rPr>
                <w:rFonts w:cs="Liberation Serif"/>
              </w:rPr>
              <w:t>140.3</w:t>
            </w:r>
          </w:p>
        </w:tc>
      </w:tr>
    </w:tbl>
    <w:p>
      <w:pPr>
        <w:pStyle w:val="FETableFootnote"/>
        <w:rPr/>
      </w:pPr>
      <w:r>
        <w:rPr/>
        <w:t>k</w:t>
      </w:r>
      <w:r>
        <w:rPr>
          <w:vertAlign w:val="subscript"/>
        </w:rPr>
        <w:t>298</w:t>
      </w:r>
      <w:r>
        <w:rPr/>
        <w:t xml:space="preserve"> – rate constant at 298 </w:t>
      </w:r>
      <w:r>
        <w:rPr>
          <w:vertAlign w:val="superscript"/>
        </w:rPr>
        <w:t>о</w:t>
      </w:r>
      <w:r>
        <w:rPr/>
        <w:t>K;  Ea — activation energy</w:t>
      </w:r>
    </w:p>
    <w:p>
      <w:pPr>
        <w:pStyle w:val="TAMainText"/>
        <w:rPr/>
      </w:pPr>
      <w:r>
        <w:rPr/>
        <w:drawing>
          <wp:inline distT="0" distB="0" distL="0" distR="0">
            <wp:extent cx="5159375" cy="5088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19"/>
                    <a:stretch>
                      <a:fillRect/>
                    </a:stretch>
                  </pic:blipFill>
                  <pic:spPr bwMode="auto">
                    <a:xfrm>
                      <a:off x="0" y="0"/>
                      <a:ext cx="5159375" cy="5088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4-nitrobenzenediazonium tosylate</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0"/>
                    <a:stretch>
                      <a:fillRect/>
                    </a:stretch>
                  </pic:blipFill>
                  <pic:spPr bwMode="auto">
                    <a:xfrm>
                      <a:off x="0" y="0"/>
                      <a:ext cx="5011420" cy="381952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1"/>
                    <a:stretch>
                      <a:fillRect/>
                    </a:stretch>
                  </pic:blipFill>
                  <pic:spPr bwMode="auto">
                    <a:xfrm>
                      <a:off x="0" y="0"/>
                      <a:ext cx="5076190" cy="3851275"/>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2 and 3.</w:t>
      </w:r>
    </w:p>
    <w:p>
      <w:pPr>
        <w:pStyle w:val="TAMainText"/>
        <w:rPr/>
      </w:pPr>
      <w:r>
        <w:rPr/>
        <w:t>Finally, given the results of isothermal flow calorimetry, the DSs studied decompose with thermal effects close to the threshold value of 800 J/g for safe transportation, according to UNESCO [6]. Only in the case of 2-nitrobenzenediazonium triflate, the released energy of 1330 J/g exceeds the permissible value.</w:t>
      </w:r>
    </w:p>
    <w:p>
      <w:pPr>
        <w:pStyle w:val="TAMainText"/>
        <w:rPr>
          <w:b/>
          <w:b/>
          <w:bCs/>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trifluoromethanesulfonatesArOTf. The decomposition of arenediazoniumtosylate</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(Scheme 2).</w:t>
      </w:r>
    </w:p>
    <w:p>
      <w:pPr>
        <w:pStyle w:val="TAMainText"/>
        <w:jc w:val="center"/>
        <w:rPr>
          <w:rFonts w:ascii="FreeSans" w:hAnsi="FreeSans"/>
          <w:sz w:val="22"/>
          <w:szCs w:val="22"/>
          <w:lang w:eastAsia="ru-RU"/>
        </w:rPr>
      </w:pPr>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2"/>
                    <a:stretch>
                      <a:fillRect/>
                    </a:stretch>
                  </pic:blipFill>
                  <pic:spPr bwMode="auto">
                    <a:xfrm>
                      <a:off x="0" y="0"/>
                      <a:ext cx="4448175" cy="749935"/>
                    </a:xfrm>
                    <a:prstGeom prst="rect">
                      <a:avLst/>
                    </a:prstGeom>
                  </pic:spPr>
                </pic:pic>
              </a:graphicData>
            </a:graphic>
          </wp:inline>
        </w:drawing>
      </w:r>
    </w:p>
    <w:p>
      <w:pPr>
        <w:pStyle w:val="VCSchemeTitle"/>
        <w:rPr/>
      </w:pPr>
      <w:r>
        <w:rPr>
          <w:b/>
        </w:rPr>
        <w:t>Scheme 2.</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color w:val="000000"/>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1" w:type="dxa"/>
          <w:bottom w:w="55" w:type="dxa"/>
          <w:right w:w="55" w:type="dxa"/>
        </w:tblCellMar>
        <w:tblLook w:val="000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spacing w:before="0" w:after="200"/>
              <w:rPr>
                <w:color w:val="0000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11" w:type="dxa"/>
            </w:tcM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1" w:type="dxa"/>
            </w:tcMar>
          </w:tcPr>
          <w:p>
            <w:pPr>
              <w:pStyle w:val="TCTableBody"/>
              <w:spacing w:before="0" w:after="200"/>
              <w:rPr/>
            </w:pPr>
            <w:r>
              <w:rPr/>
            </w:r>
          </w:p>
        </w:tc>
      </w:tr>
    </w:tbl>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w:t>
      </w:r>
      <w:r>
        <w:rPr>
          <w:b/>
          <w:bCs/>
        </w:rPr>
        <w:t>i</w:t>
      </w:r>
      <w:r>
        <w:rPr/>
        <w:t xml:space="preserve">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3.</w:t>
      </w:r>
    </w:p>
    <w:p>
      <w:pPr>
        <w:pStyle w:val="TAMainText"/>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3"/>
                    <a:stretch>
                      <a:fillRect/>
                    </a:stretch>
                  </pic:blipFill>
                  <pic:spPr bwMode="auto">
                    <a:xfrm>
                      <a:off x="0" y="0"/>
                      <a:ext cx="4014470" cy="1861820"/>
                    </a:xfrm>
                    <a:prstGeom prst="rect">
                      <a:avLst/>
                    </a:prstGeom>
                  </pic:spPr>
                </pic:pic>
              </a:graphicData>
            </a:graphic>
          </wp:inline>
        </w:drawing>
      </w:r>
    </w:p>
    <w:p>
      <w:pPr>
        <w:pStyle w:val="VCSchemeTitle"/>
        <w:rPr/>
      </w:pPr>
      <w:r>
        <w:rPr>
          <w:b/>
        </w:rPr>
        <w:t>Scheme 3.</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3. </w:t>
      </w:r>
      <w:r>
        <w:rPr>
          <w:color w:val="00000A"/>
        </w:rPr>
        <w:t xml:space="preserve">Previously, the appearance of polymer products during the thermal decomposition of </w:t>
      </w:r>
      <w:r>
        <w:rPr>
          <w:i/>
          <w:color w:val="00000A"/>
        </w:rPr>
        <w:t>ortho-</w:t>
      </w:r>
      <w:r>
        <w:rPr>
          <w:color w:val="00000A"/>
        </w:rPr>
        <w:t>carboxybenzenediazonium chloride was also explained by the intermediate formation of didehydrobenzene and naphthalene [2h, 2i].</w:t>
      </w:r>
    </w:p>
    <w:p>
      <w:pPr>
        <w:pStyle w:val="TAMainText"/>
        <w:rPr>
          <w:color w:val="000000"/>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b/>
          <w:b/>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23" w:type="dxa"/>
        <w:tblBorders>
          <w:top w:val="single" w:sz="2" w:space="0" w:color="000001"/>
          <w:left w:val="single" w:sz="2" w:space="0" w:color="000001"/>
          <w:bottom w:val="single" w:sz="2" w:space="0" w:color="000001"/>
          <w:insideH w:val="single" w:sz="2" w:space="0" w:color="000001"/>
        </w:tblBorders>
        <w:tblCellMar>
          <w:top w:w="55" w:type="dxa"/>
          <w:left w:w="8" w:type="dxa"/>
          <w:bottom w:w="55" w:type="dxa"/>
          <w:right w:w="55" w:type="dxa"/>
        </w:tblCellMar>
        <w:tblLook w:val="000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pPr>
            <w:r>
              <w:rPr>
                <w:rFonts w:cs="Standard Symbols L" w:ascii="Symbol" w:hAnsi="Symbol"/>
              </w:rPr>
              <w:t></w:t>
            </w:r>
            <w:r>
              <w:rPr/>
              <w:t>S*298.15,  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pPr>
            <w:r>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pPr>
            <w:r>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pPr>
            <w:r>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pPr>
            <w:r>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pPr>
            <w:r>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pPr>
            <w:r>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color w:val="0000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color w:val="000000"/>
              </w:rPr>
            </w:pPr>
            <w:r>
              <w:rPr>
                <w:color w:val="000000"/>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color w:val="0000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color w:val="0000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300" w:type="dxa"/>
        <w:jc w:val="left"/>
        <w:tblInd w:w="24" w:type="dxa"/>
        <w:tblBorders>
          <w:top w:val="single" w:sz="2" w:space="0" w:color="000001"/>
          <w:left w:val="single" w:sz="2" w:space="0" w:color="000001"/>
          <w:bottom w:val="single" w:sz="2" w:space="0" w:color="000001"/>
          <w:insideH w:val="single" w:sz="2" w:space="0" w:color="000001"/>
        </w:tblBorders>
        <w:tblCellMar>
          <w:top w:w="55" w:type="dxa"/>
          <w:left w:w="8" w:type="dxa"/>
          <w:bottom w:w="55" w:type="dxa"/>
          <w:right w:w="55" w:type="dxa"/>
        </w:tblCellMar>
        <w:tblLook w:val="0000"/>
      </w:tblPr>
      <w:tblGrid>
        <w:gridCol w:w="3250"/>
        <w:gridCol w:w="1701"/>
        <w:gridCol w:w="1173"/>
        <w:gridCol w:w="1013"/>
        <w:gridCol w:w="1025"/>
        <w:gridCol w:w="1"/>
        <w:gridCol w:w="1136"/>
      </w:tblGrid>
      <w:tr>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t>Predicted enthalpy</w:t>
            </w:r>
          </w:p>
        </w:tc>
        <w:tc>
          <w:tcPr>
            <w:tcW w:w="3212" w:type="dxa"/>
            <w:gridSpan w:val="4"/>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jc w:val="left"/>
              <w:rPr/>
            </w:pPr>
            <w:r>
              <w:rPr/>
              <w:t>Experimental enthalpy (flow calorimetry)</w:t>
            </w:r>
          </w:p>
        </w:tc>
        <w:tc>
          <w:tcPr>
            <w:tcW w:w="11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pPr>
            <w:r>
              <w:rPr/>
              <w:t>DSC/TGA</w:t>
            </w:r>
          </w:p>
        </w:tc>
      </w:tr>
      <w:tr>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01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jc w:val="left"/>
              <w:rPr/>
            </w:pPr>
            <w:r>
              <w:rPr>
                <w:rFonts w:cs="Standard Symbols L" w:ascii="Symbol" w:hAnsi="Symbol"/>
              </w:rPr>
              <w:t></w:t>
            </w:r>
            <w:r>
              <w:rPr>
                <w:rFonts w:ascii="Free Times" w:hAnsi="Free Times"/>
              </w:rPr>
              <w:t>H, kJ/mol</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-230 (-230.4)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-414</w:t>
            </w:r>
          </w:p>
        </w:tc>
        <w:tc>
          <w:tcPr>
            <w:tcW w:w="101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-386</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-396</w:t>
            </w:r>
          </w:p>
        </w:tc>
        <w:tc>
          <w:tcPr>
            <w:tcW w:w="11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-203.4</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-243 (-243.2)</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-228</w:t>
            </w:r>
          </w:p>
        </w:tc>
        <w:tc>
          <w:tcPr>
            <w:tcW w:w="101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-230</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-225</w:t>
            </w:r>
          </w:p>
        </w:tc>
        <w:tc>
          <w:tcPr>
            <w:tcW w:w="11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-238.5</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-248 (-248.4)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-200</w:t>
            </w:r>
          </w:p>
        </w:tc>
        <w:tc>
          <w:tcPr>
            <w:tcW w:w="101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-235</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-250</w:t>
            </w:r>
          </w:p>
        </w:tc>
        <w:tc>
          <w:tcPr>
            <w:tcW w:w="11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-65.8</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-201 (-200.8)</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-183</w:t>
            </w:r>
          </w:p>
        </w:tc>
        <w:tc>
          <w:tcPr>
            <w:tcW w:w="101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-183</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-106</w:t>
            </w:r>
          </w:p>
        </w:tc>
        <w:tc>
          <w:tcPr>
            <w:tcW w:w="11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-64.5</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-284 (-284.0)</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-253</w:t>
            </w:r>
          </w:p>
        </w:tc>
        <w:tc>
          <w:tcPr>
            <w:tcW w:w="101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-232</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-231</w:t>
            </w:r>
          </w:p>
        </w:tc>
        <w:tc>
          <w:tcPr>
            <w:tcW w:w="11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-117.3</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-188 (-189.5)</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-173</w:t>
            </w:r>
          </w:p>
        </w:tc>
        <w:tc>
          <w:tcPr>
            <w:tcW w:w="1013"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-156</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-147</w:t>
            </w:r>
          </w:p>
        </w:tc>
        <w:tc>
          <w:tcPr>
            <w:tcW w:w="11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8" w:type="dxa"/>
            </w:tcMar>
          </w:tcPr>
          <w:p>
            <w:pPr>
              <w:pStyle w:val="TCTableBody"/>
              <w:spacing w:before="0" w:after="200"/>
              <w:rPr>
                <w:rFonts w:ascii="Free Times" w:hAnsi="Free Times"/>
              </w:rPr>
            </w:pPr>
            <w:r>
              <w:rPr>
                <w:rFonts w:ascii="Free Times" w:hAnsi="Free Times"/>
              </w:rPr>
              <w:t>-54.3</w:t>
            </w:r>
          </w:p>
        </w:tc>
      </w:tr>
    </w:tbl>
    <w:p>
      <w:pPr>
        <w:pStyle w:val="TAMainText"/>
        <w:rPr>
          <w:color w:val="000000"/>
          <w:highlight w:val="red"/>
        </w:rPr>
      </w:pPr>
      <w:r>
        <w:rPr>
          <w:color w:val="000000"/>
          <w:highlight w:val="red"/>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3)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b/>
          <w:b/>
          <w:bCs/>
        </w:rPr>
      </w:pPr>
      <w:r>
        <w:rPr>
          <w:b/>
          <w:bCs/>
        </w:rPr>
        <w:t>ASSOCIATED CONTENT</w:t>
      </w:r>
    </w:p>
    <w:p>
      <w:pPr>
        <w:pStyle w:val="TESupportingInformation"/>
        <w:rPr/>
      </w:pPr>
      <w:r>
        <w:rPr/>
        <w:t xml:space="preserve">Results of modeling and deconvolution of heat flow experimental kinetic curves acquired in isothermal conditions </w:t>
      </w:r>
      <w:r>
        <w:rPr>
          <w:bCs/>
        </w:rPr>
        <w:t>are can be found in (Deconvolution.pdf)</w:t>
      </w:r>
    </w:p>
    <w:p>
      <w:pPr>
        <w:pStyle w:val="TESupportingInformation"/>
        <w:spacing w:before="0" w:after="240"/>
        <w:ind w:hanging="0"/>
        <w:jc w:val="left"/>
        <w:rPr/>
      </w:pPr>
      <w:r>
        <w:rPr/>
        <w:t xml:space="preserve">(Word Style “TE_Supporting_Information”). </w:t>
      </w:r>
      <w:r>
        <w:rPr>
          <w:b/>
        </w:rPr>
        <w:t>Supporting Information</w:t>
      </w:r>
      <w:r>
        <w:rPr/>
        <w:t>. A listing of the contents of each file supplied as Supporting Information should be included. For instructions on what should be included in the Supporting Information as well as how to prepare this material for publications, refer to the journal’s Instructions for Authors.</w:t>
        <w:br/>
        <w:t>The following files are available free of charge.</w:t>
        <w:br/>
        <w:t>brief description (file type, i.e., PDF)</w:t>
        <w:br/>
        <w:t>brief description (file type, i.e., PDF)</w:t>
      </w:r>
    </w:p>
    <w:p>
      <w:pPr>
        <w:pStyle w:val="FACorrespondingAuthorFootnote"/>
        <w:spacing w:before="0" w:after="0"/>
        <w:jc w:val="left"/>
        <w:rPr>
          <w:b/>
          <w:b/>
          <w:bCs/>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cs="Times New Roman" w:ascii="Times New Roman" w:hAnsi="Times New Roman"/>
          <w:sz w:val="24"/>
          <w:szCs w:val="24"/>
          <w:lang w:val="en-US"/>
        </w:rPr>
        <w:t>filimonov@tpu.ru</w:t>
      </w:r>
    </w:p>
    <w:p>
      <w:pPr>
        <w:pStyle w:val="FACorrespondingAuthorFootnote"/>
        <w:spacing w:before="0" w:after="240"/>
        <w:jc w:val="left"/>
        <w:rPr/>
      </w:pPr>
      <w:r>
        <w:rPr/>
        <w:t xml:space="preserve">* Alexander.A.Bondarev, </w:t>
      </w:r>
      <w:bookmarkStart w:id="0" w:name="__DdeLink__14103_2062433773"/>
      <w:r>
        <w:rPr/>
        <w:t>Alexander.A.Bondarev</w:t>
      </w:r>
      <w:bookmarkEnd w:id="0"/>
      <w:r>
        <w:rPr/>
        <w:t>@gmail.com</w:t>
      </w:r>
    </w:p>
    <w:p>
      <w:pPr>
        <w:pStyle w:val="FAAuthorInfoSubtitle"/>
        <w:rPr/>
      </w:pPr>
      <w:r>
        <w:rPr/>
        <w:t>ORCID</w:t>
      </w:r>
    </w:p>
    <w:p>
      <w:pPr>
        <w:pStyle w:val="FAAuthorInfoSubtitle"/>
        <w:rPr>
          <w:b w:val="false"/>
          <w:b w:val="false"/>
          <w:bCs w:val="false"/>
        </w:rPr>
      </w:pPr>
      <w:r>
        <w:rPr>
          <w:b w:val="false"/>
          <w:bCs w:val="false"/>
        </w:rPr>
        <w:t>Prof. Victor D. Filimonov: 0000-0003-4729-8871</w:t>
      </w:r>
    </w:p>
    <w:p>
      <w:pPr>
        <w:pStyle w:val="FAAuthorInfoSubtitle"/>
        <w:rPr>
          <w:b w:val="false"/>
          <w:b w:val="false"/>
          <w:bCs w:val="false"/>
        </w:rPr>
      </w:pPr>
      <w:r>
        <w:rPr>
          <w:b w:val="false"/>
          <w:bCs w:val="false"/>
        </w:rPr>
        <w:t>Ksenia S. Stankevich: 0000-0002-6701-7582</w:t>
      </w:r>
    </w:p>
    <w:p>
      <w:pPr>
        <w:pStyle w:val="FAAuthorInfoSubtitle"/>
        <w:rPr>
          <w:b w:val="false"/>
          <w:b w:val="false"/>
          <w:bCs w:val="false"/>
        </w:rPr>
      </w:pPr>
      <w:r>
        <w:rPr>
          <w:b w:val="false"/>
          <w:bCs w:val="false"/>
        </w:rPr>
        <w:t>Assia Zh. Kassanova: 0000-0002-9563-5521</w:t>
      </w:r>
    </w:p>
    <w:p>
      <w:pPr>
        <w:pStyle w:val="FAAuthorInfoSubtitle"/>
        <w:rPr>
          <w:b w:val="false"/>
          <w:b w:val="false"/>
          <w:bCs w:val="false"/>
        </w:rPr>
      </w:pPr>
      <w:r>
        <w:rPr>
          <w:b w:val="false"/>
          <w:bCs w:val="false"/>
        </w:rPr>
        <w:t>Alexander A. Bondarev: 0000-0002-8707-2394</w:t>
      </w:r>
    </w:p>
    <w:p>
      <w:pPr>
        <w:pStyle w:val="FAAuthorInfoSubtitle"/>
        <w:rPr>
          <w:b w:val="false"/>
          <w:b w:val="false"/>
          <w:bCs w:val="false"/>
        </w:rPr>
      </w:pPr>
      <w:r>
        <w:rPr>
          <w:b w:val="false"/>
          <w:bCs w:val="false"/>
        </w:rPr>
        <w:t>Evgeny V. Naumov: 0000-0002-9109-1109</w:t>
      </w:r>
    </w:p>
    <w:p>
      <w:pPr>
        <w:pStyle w:val="FAAuthorInfoSubtitle"/>
        <w:rPr/>
      </w:pPr>
      <w:r>
        <w:rPr/>
        <w:t>Present Addresses</w:t>
      </w:r>
    </w:p>
    <w:p>
      <w:pPr>
        <w:pStyle w:val="StyleFACorrespondingAuthorFootnote7pt"/>
        <w:spacing w:lineRule="auto" w:line="480" w:before="0" w:after="240"/>
        <w:rPr>
          <w:rFonts w:ascii="Times" w:hAnsi="Times"/>
          <w:sz w:val="24"/>
        </w:rPr>
      </w:pPr>
      <w:r>
        <w:rPr>
          <w:rFonts w:ascii="Times" w:hAnsi="Times"/>
          <w:sz w:val="24"/>
        </w:rPr>
        <w:t>†</w:t>
      </w:r>
      <w:r>
        <w:rPr>
          <w:rFonts w:ascii="Times" w:hAnsi="Times"/>
          <w:sz w:val="24"/>
        </w:rPr>
        <w:t>If an author’s address is different than the one given in the affiliation line, this information may be included here.</w:t>
      </w:r>
    </w:p>
    <w:p>
      <w:pPr>
        <w:pStyle w:val="FAAuthorInfoSubtitle"/>
        <w:rPr/>
      </w:pPr>
      <w:r>
        <w:rPr/>
        <w:t>Author Contributions</w:t>
      </w:r>
    </w:p>
    <w:p>
      <w:pPr>
        <w:pStyle w:val="StyleFACorrespondingAuthorFootnote7pt"/>
        <w:spacing w:lineRule="auto" w:line="480" w:before="0" w:after="240"/>
        <w:rPr>
          <w:rFonts w:ascii="Times" w:hAnsi="Times"/>
          <w:sz w:val="24"/>
        </w:rPr>
      </w:pPr>
      <w:r>
        <w:rPr>
          <w:rFonts w:ascii="Times" w:hAnsi="Times"/>
          <w:sz w:val="24"/>
        </w:rPr>
        <w:t>The manuscript was written through contributions of all authors. All authors have given approval to the final version of the manuscript.‡These authors contributed equally. (match statement to author names with a symbol)</w:t>
      </w:r>
    </w:p>
    <w:p>
      <w:pPr>
        <w:pStyle w:val="FAAuthorInfoSubtitle"/>
        <w:rPr/>
      </w:pPr>
      <w:r>
        <w:rPr/>
        <w:t>Funding Sources</w:t>
      </w:r>
    </w:p>
    <w:p>
      <w:pPr>
        <w:pStyle w:val="StyleFACorrespondingAuthorFootnote7pt"/>
        <w:spacing w:lineRule="auto" w:line="480" w:before="0" w:after="240"/>
        <w:rPr>
          <w:rFonts w:ascii="Times" w:hAnsi="Times"/>
          <w:sz w:val="24"/>
        </w:rPr>
      </w:pPr>
      <w:r>
        <w:rPr>
          <w:rFonts w:ascii="Times" w:hAnsi="Times"/>
          <w:sz w:val="24"/>
        </w:rPr>
        <w:t>Any funds used to support the research of the manuscript should be placed here (per journal style).</w:t>
      </w:r>
    </w:p>
    <w:p>
      <w:pPr>
        <w:pStyle w:val="FAAuthorInfoSubtitle"/>
        <w:rPr/>
      </w:pPr>
      <w:r>
        <w:rPr/>
        <w:t>Notes</w:t>
      </w:r>
    </w:p>
    <w:p>
      <w:pPr>
        <w:pStyle w:val="StyleFACorrespondingAuthorFootnote7pt"/>
        <w:spacing w:lineRule="auto" w:line="480" w:before="0" w:after="240"/>
        <w:rPr/>
      </w:pPr>
      <w:r>
        <w:rPr>
          <w:rFonts w:ascii="Times" w:hAnsi="Times"/>
          <w:sz w:val="24"/>
        </w:rPr>
        <w:t>Any additional relevant notes should be placed here.</w:t>
      </w:r>
    </w:p>
    <w:p>
      <w:pPr>
        <w:pStyle w:val="TDAcknowledgments"/>
        <w:spacing w:before="0" w:after="0"/>
        <w:ind w:hanging="0"/>
        <w:jc w:val="left"/>
        <w:rPr/>
      </w:pPr>
      <w:bookmarkStart w:id="1" w:name="__DdeLink__3470_24425287"/>
      <w:bookmarkEnd w:id="1"/>
      <w:r>
        <w:rPr>
          <w:b/>
          <w:bCs/>
        </w:rPr>
        <w:t>ACKNOWLEDGMENT</w:t>
      </w:r>
    </w:p>
    <w:p>
      <w:pPr>
        <w:pStyle w:val="TDAcknowledgments"/>
        <w:spacing w:before="0" w:after="240"/>
        <w:ind w:hanging="0"/>
        <w:jc w:val="left"/>
        <w:rPr/>
      </w:pPr>
      <w:r>
        <w:rPr/>
        <w:t>(Word Style “TD_Acknowledgments”). Generally the last paragraph of the paper is the place to acknowledge people, organizations, and financing (you may state grant numbers and sponsors here). Follow the journal’s guidelines on what to include in the Acknowledgments section.</w:t>
      </w:r>
    </w:p>
    <w:p>
      <w:pPr>
        <w:pStyle w:val="Normal"/>
        <w:rPr>
          <w:b/>
          <w:b/>
          <w:bCs/>
        </w:rPr>
      </w:pPr>
      <w:r>
        <w:rPr>
          <w:b/>
          <w:bCs/>
        </w:rPr>
        <w:t>ABBREVIATIONS</w:t>
      </w:r>
    </w:p>
    <w:p>
      <w:pPr>
        <w:pStyle w:val="Normal"/>
        <w:spacing w:lineRule="auto" w:line="480"/>
        <w:jc w:val="left"/>
        <w:rPr/>
      </w:pPr>
      <w:r>
        <w:rPr/>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pPr>
        <w:pStyle w:val="TFReferencesSection"/>
        <w:spacing w:before="0" w:after="0"/>
        <w:ind w:hanging="0"/>
        <w:rPr>
          <w:b/>
          <w:b/>
          <w:bCs/>
        </w:rPr>
      </w:pPr>
      <w:r>
        <w:rPr>
          <w:b/>
          <w:bCs/>
        </w:rPr>
        <w:t>REFERENCES</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Zollinger, H. </w:t>
      </w:r>
      <w:r>
        <w:rPr>
          <w:rFonts w:cs="Times New Roman" w:ascii="FreeSerif" w:hAnsi="FreeSerif"/>
          <w:i w:val="false"/>
          <w:iCs w:val="false"/>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w:t>
      </w:r>
      <w:r>
        <w:rPr>
          <w:rFonts w:cs="Times New Roman" w:ascii="FreeSerif" w:hAnsi="FreeSerif"/>
          <w:b w:val="false"/>
          <w:bCs w:val="false"/>
          <w:lang w:val="en-US"/>
        </w:rPr>
        <w:t xml:space="preserve">Roglans, A.; Pla-Quintana, A.; Moreno-Mañas, M. Diazonium Salts as Substrates in Palladium-Catalyzed Cross-Coupling Reactions. Chemical Reviews </w:t>
      </w:r>
      <w:r>
        <w:rPr>
          <w:rFonts w:cs="Times New Roman" w:ascii="FreeSerif" w:hAnsi="FreeSerif"/>
          <w:b/>
          <w:bCs/>
          <w:lang w:val="en-US"/>
        </w:rPr>
        <w:t>2006</w:t>
      </w:r>
      <w:r>
        <w:rPr>
          <w:rFonts w:cs="Times New Roman" w:ascii="FreeSerif" w:hAnsi="FreeSerif"/>
          <w:b w:val="false"/>
          <w:bCs w:val="false"/>
          <w:lang w:val="en-US"/>
        </w:rPr>
        <w:t xml:space="preserve">, 106 (11), 4622–4643. </w:t>
      </w:r>
      <w:hyperlink r:id="rId24">
        <w:r>
          <w:rPr>
            <w:rStyle w:val="Style11"/>
            <w:rFonts w:cs="Times New Roman" w:ascii="FreeSerif" w:hAnsi="FreeSerif"/>
            <w:b w:val="false"/>
            <w:bCs w:val="false"/>
            <w:lang w:val="en-US"/>
          </w:rPr>
          <w:t>https://doi.org/10.1021/cr0509861</w:t>
        </w:r>
      </w:hyperlink>
      <w:r>
        <w:rPr>
          <w:rFonts w:cs="Times New Roman" w:ascii="FreeSerif" w:hAnsi="FreeSerif"/>
          <w:b w:val="false"/>
          <w:bCs w:val="false"/>
          <w:lang w:val="en-US"/>
        </w:rPr>
        <w:t>.</w:t>
      </w:r>
      <w:r>
        <w:rPr>
          <w:rFonts w:cs="Times New Roman" w:ascii="FreeSerif" w:hAnsi="FreeSerif"/>
          <w:lang w:val="en-US"/>
        </w:rPr>
        <w:t xml:space="preserve"> (c) Bonin, H.; Fouquet, E.; Felpin, F.-X. Aryl Diazonium versus Iodonium Salts: Preparation, Applications and Mechanisms for the Suzuki-Miyaura Cross-Coupling Reaction. Advanced Synthesis &amp; Catalysis 2011, 353 (17), 3063–3084. https://doi.org/10.1002/adsc.201100531. (d) Mo, F.; Dong, G.; Zhang, Y.; Wang, J. Recent Applications of Arene Diazonium Salts in Organic Synthesis. Organic &amp; Biomolecular Chemistry 2013, 11 (10), 1582. </w:t>
      </w:r>
      <w:hyperlink r:id="rId25">
        <w:r>
          <w:rPr>
            <w:rStyle w:val="Style11"/>
            <w:rFonts w:cs="Times New Roman" w:ascii="FreeSerif" w:hAnsi="FreeSerif"/>
            <w:lang w:val="en-US"/>
          </w:rPr>
          <w:t>https://doi.org/10.1039/c3ob27366k</w:t>
        </w:r>
      </w:hyperlink>
      <w:r>
        <w:rPr>
          <w:rFonts w:cs="Times New Roman" w:ascii="FreeSerif" w:hAnsi="FreeSerif"/>
          <w:lang w:val="en-US"/>
        </w:rPr>
        <w:t xml:space="preserve">. (e) Kölmel, D. K.; Jung, N.; Bräse, S. Azides – Diazonium Ions – Triazenes: Versatile Nitrogen-Rich Functional Groups. Australian Journal of Chemistry 2014, 67 (3), 328. </w:t>
      </w:r>
      <w:hyperlink r:id="rId26">
        <w:r>
          <w:rPr>
            <w:rStyle w:val="Style11"/>
            <w:rFonts w:cs="Times New Roman" w:ascii="FreeSerif" w:hAnsi="FreeSerif"/>
            <w:lang w:val="en-US"/>
          </w:rPr>
          <w:t>https://doi.org/10.1071/ch13533</w:t>
        </w:r>
      </w:hyperlink>
      <w:r>
        <w:rPr>
          <w:rFonts w:cs="Times New Roman" w:ascii="FreeSerif" w:hAnsi="FreeSerif"/>
          <w:lang w:val="en-US"/>
        </w:rPr>
        <w:t xml:space="preserve">. (f) Deadman, B. J.; Collins, S. G.; Maguire, A. R. Taming Hazardous Chemistry in Flow: The Continuous Processing of Diazo and Diazonium Compounds. Chemistry - A European Journal 2014, 21 (6), 2298–2308. </w:t>
      </w:r>
      <w:hyperlink r:id="rId27">
        <w:r>
          <w:rPr>
            <w:rStyle w:val="Style11"/>
            <w:rFonts w:cs="Times New Roman" w:ascii="FreeSerif" w:hAnsi="FreeSerif"/>
            <w:lang w:val="en-US"/>
          </w:rPr>
          <w:t>https://doi.org/10.1002/chem.201404348</w:t>
        </w:r>
      </w:hyperlink>
      <w:r>
        <w:rPr>
          <w:rFonts w:cs="Times New Roman" w:ascii="FreeSerif" w:hAnsi="FreeSerif"/>
          <w:lang w:val="en-US"/>
        </w:rPr>
        <w:t xml:space="preserve">. (g) </w:t>
      </w:r>
      <w:r>
        <w:rPr>
          <w:rFonts w:cs="Times New Roman" w:ascii="FreeSerif" w:hAnsi="FreeSerif"/>
          <w:highlight w:val="yellow"/>
          <w:lang w:val="en-US"/>
        </w:rPr>
        <w:t xml:space="preserve">Idowu, O.S.; Kolawole, A.O.; Abegoke, O.A.; Kolade, Y.T.; Fasanmade, A.A.; Olaniyi, A.A. </w:t>
      </w:r>
      <w:r>
        <w:rPr>
          <w:rFonts w:cs="Times New Roman" w:ascii="FreeSerif" w:hAnsi="FreeSerif"/>
          <w:i/>
          <w:highlight w:val="yellow"/>
          <w:lang w:val="en-US"/>
        </w:rPr>
        <w:t>J. AOAC International</w:t>
      </w:r>
      <w:r>
        <w:rPr>
          <w:rFonts w:cs="Times New Roman" w:ascii="FreeSerif" w:hAnsi="FreeSerif"/>
          <w:highlight w:val="yellow"/>
          <w:lang w:val="en-US"/>
        </w:rPr>
        <w:t xml:space="preserve"> </w:t>
      </w:r>
      <w:r>
        <w:rPr>
          <w:rFonts w:cs="Times New Roman" w:ascii="FreeSerif" w:hAnsi="FreeSerif"/>
          <w:b/>
          <w:highlight w:val="yellow"/>
          <w:lang w:val="en-US"/>
        </w:rPr>
        <w:t>2005</w:t>
      </w:r>
      <w:r>
        <w:rPr>
          <w:rFonts w:cs="Times New Roman" w:ascii="FreeSerif" w:hAnsi="FreeSerif"/>
          <w:highlight w:val="yellow"/>
          <w:lang w:val="en-US"/>
        </w:rPr>
        <w:t xml:space="preserve">, </w:t>
      </w:r>
      <w:r>
        <w:rPr>
          <w:rFonts w:cs="Times New Roman" w:ascii="FreeSerif" w:hAnsi="FreeSerif"/>
          <w:i/>
          <w:highlight w:val="yellow"/>
          <w:lang w:val="en-US"/>
        </w:rPr>
        <w:t>88</w:t>
      </w:r>
      <w:r>
        <w:rPr>
          <w:rFonts w:cs="Times New Roman" w:ascii="FreeSerif" w:hAnsi="FreeSerif"/>
          <w:highlight w:val="yellow"/>
          <w:lang w:val="en-US"/>
        </w:rPr>
        <w:t>, 1108-1113.</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(a)Mahouche-Chergui, S.; Gam-Derouich, S.; Mangeney, C.; Chehimi, M. M. Aryl Diazonium Salts: A New Class of Coupling Agents for Bonding Polymers, Biomacromolecules and Nanoparticles to Surfaces. Chemical Society Reviews 2011, 40 (7), 4143. </w:t>
      </w:r>
      <w:hyperlink r:id="rId28">
        <w:r>
          <w:rPr>
            <w:rStyle w:val="Style11"/>
            <w:rFonts w:cs="Times New Roman" w:ascii="FreeSerif" w:hAnsi="FreeSerif"/>
            <w:lang w:val="en-US"/>
          </w:rPr>
          <w:t>https://doi.org/10.1039/c0cs00179a</w:t>
        </w:r>
      </w:hyperlink>
      <w:r>
        <w:rPr>
          <w:rFonts w:cs="Times New Roman" w:ascii="FreeSerif" w:hAnsi="FreeSerif"/>
          <w:lang w:val="en-US"/>
        </w:rPr>
        <w:t xml:space="preserve">. (b) </w:t>
      </w:r>
      <w:r>
        <w:rPr/>
        <w:t xml:space="preserve">(1) Sheng, M.; Frurip, D.; Gorman, D. Reactive Chemical Hazards of Diazonium Salts. Journal of Loss Prevention in the Process Industries </w:t>
      </w:r>
      <w:r>
        <w:rPr>
          <w:b/>
          <w:bCs/>
        </w:rPr>
        <w:t>2015</w:t>
      </w:r>
      <w:r>
        <w:rPr/>
        <w:t xml:space="preserve">, 38, 114–118. </w:t>
      </w:r>
      <w:hyperlink r:id="rId29">
        <w:r>
          <w:rPr>
            <w:rStyle w:val="Style11"/>
          </w:rPr>
          <w:t>https://doi.org/10.1016/j.jlp.2015.09.004</w:t>
        </w:r>
      </w:hyperlink>
      <w:r>
        <w:rPr/>
        <w:t xml:space="preserve">. </w:t>
      </w:r>
      <w:r>
        <w:rPr>
          <w:rFonts w:cs="Times New Roman" w:ascii="FreeSerif" w:hAnsi="FreeSerif"/>
          <w:lang w:val="en-US"/>
        </w:rPr>
        <w:t xml:space="preserve">(c) Bondarchuk, S. V. Impact Sensitivity of Crystalline Phenyl Diazonium Salts: A First-Principles Study of Solid-State Properties Determining the Phenomenon. International Journal of Quantum Chemistry </w:t>
      </w:r>
      <w:r>
        <w:rPr>
          <w:rFonts w:cs="Times New Roman" w:ascii="FreeSerif" w:hAnsi="FreeSerif"/>
          <w:b/>
          <w:bCs/>
          <w:lang w:val="en-US"/>
        </w:rPr>
        <w:t>2017</w:t>
      </w:r>
      <w:r>
        <w:rPr>
          <w:rFonts w:cs="Times New Roman" w:ascii="FreeSerif" w:hAnsi="FreeSerif"/>
          <w:lang w:val="en-US"/>
        </w:rPr>
        <w:t xml:space="preserve">, 117 (21), e25430. </w:t>
      </w:r>
      <w:hyperlink r:id="rId30">
        <w:r>
          <w:rPr>
            <w:rStyle w:val="Style11"/>
            <w:rFonts w:cs="Times New Roman" w:ascii="FreeSerif" w:hAnsi="FreeSerif"/>
            <w:lang w:val="en-US"/>
          </w:rPr>
          <w:t>https://doi.org/10.1002/qua.25430</w:t>
        </w:r>
      </w:hyperlink>
      <w:r>
        <w:rPr>
          <w:rFonts w:cs="Times New Roman" w:ascii="FreeSerif" w:hAnsi="FreeSerif"/>
          <w:lang w:val="en-US"/>
        </w:rPr>
        <w:t xml:space="preserve">. (d) Bondarchuk, S. V. Impact Sensitivity of Aryl Diazonium Chlorides: Limitations of Molecular and Solid-State Approach. Journal of Molecular Graphics and Modelling </w:t>
      </w:r>
      <w:r>
        <w:rPr>
          <w:rFonts w:cs="Times New Roman" w:ascii="FreeSerif" w:hAnsi="FreeSerif"/>
          <w:b/>
          <w:bCs/>
          <w:lang w:val="en-US"/>
        </w:rPr>
        <w:t>2019</w:t>
      </w:r>
      <w:r>
        <w:rPr>
          <w:rFonts w:cs="Times New Roman" w:ascii="FreeSerif" w:hAnsi="FreeSerif"/>
          <w:lang w:val="en-US"/>
        </w:rPr>
        <w:t xml:space="preserve">, 89, 114–121. </w:t>
      </w:r>
      <w:hyperlink r:id="rId31">
        <w:r>
          <w:rPr>
            <w:rStyle w:val="Style11"/>
            <w:rFonts w:cs="Times New Roman" w:ascii="FreeSerif" w:hAnsi="FreeSerif"/>
            <w:lang w:val="en-US"/>
          </w:rPr>
          <w:t>https://doi.org/10.1016/j.jmgm.2019.03.008</w:t>
        </w:r>
      </w:hyperlink>
      <w:r>
        <w:rPr>
          <w:rFonts w:cs="Times New Roman" w:ascii="FreeSerif" w:hAnsi="FreeSerif"/>
          <w:lang w:val="en-US"/>
        </w:rPr>
        <w:t xml:space="preserve">. (e) Bräse, S.; Dahmen, S.; Popescu, C.; Schroen, M.; Wortmann, F.-J. The Structural Influence in the Stability of Polymer-Bound Diazonium Salts. Chemistry - A European Journal </w:t>
      </w:r>
      <w:r>
        <w:rPr>
          <w:rFonts w:cs="Times New Roman" w:ascii="FreeSerif" w:hAnsi="FreeSerif"/>
          <w:b/>
          <w:bCs/>
          <w:lang w:val="en-US"/>
        </w:rPr>
        <w:t>2004</w:t>
      </w:r>
      <w:r>
        <w:rPr>
          <w:rFonts w:cs="Times New Roman" w:ascii="FreeSerif" w:hAnsi="FreeSerif"/>
          <w:lang w:val="en-US"/>
        </w:rPr>
        <w:t xml:space="preserve">, 10 (21), 5285–5296. </w:t>
      </w:r>
      <w:hyperlink r:id="rId32">
        <w:r>
          <w:rPr>
            <w:rStyle w:val="Style11"/>
            <w:rFonts w:cs="Times New Roman" w:ascii="FreeSerif" w:hAnsi="FreeSerif"/>
            <w:lang w:val="en-US"/>
          </w:rPr>
          <w:t>https://doi.org/10.1002/chem.200400386</w:t>
        </w:r>
      </w:hyperlink>
      <w:r>
        <w:rPr>
          <w:rFonts w:cs="Times New Roman" w:ascii="FreeSerif" w:hAnsi="FreeSerif"/>
          <w:lang w:val="en-US"/>
        </w:rPr>
        <w:t xml:space="preserve">. (f) Thon, D.; Fürst, M. C. D.; Altmann, L.-M.; Heinrich, M. R. Frozen Aryldiazonium Chlorides in Radical Reactions with Alkenes and Arenes. Tetrahedron </w:t>
      </w:r>
      <w:r>
        <w:rPr>
          <w:rFonts w:cs="Times New Roman" w:ascii="FreeSerif" w:hAnsi="FreeSerif"/>
          <w:b/>
          <w:bCs/>
          <w:lang w:val="en-US"/>
        </w:rPr>
        <w:t>2018</w:t>
      </w:r>
      <w:r>
        <w:rPr>
          <w:rFonts w:cs="Times New Roman" w:ascii="FreeSerif" w:hAnsi="FreeSerif"/>
          <w:lang w:val="en-US"/>
        </w:rPr>
        <w:t xml:space="preserve">, 74 (38), 5289–5294. </w:t>
      </w:r>
      <w:hyperlink r:id="rId33">
        <w:r>
          <w:rPr>
            <w:rStyle w:val="Style11"/>
            <w:rFonts w:cs="Times New Roman" w:ascii="FreeSerif" w:hAnsi="FreeSerif"/>
            <w:lang w:val="en-US"/>
          </w:rPr>
          <w:t>https://doi.org/10.1016/j.tet.2018.05.089</w:t>
        </w:r>
      </w:hyperlink>
      <w:r>
        <w:rPr>
          <w:rFonts w:cs="Times New Roman" w:ascii="FreeSerif" w:hAnsi="FreeSerif"/>
          <w:lang w:val="en-US"/>
        </w:rPr>
        <w:t xml:space="preserve">. (g) Oger, N.; Le Grognec, E.; Felpin, F.-X. Handling Diazonium Salts in Flow for Organic and Material Chemistry. Organic Chemistry Frontiers </w:t>
      </w:r>
      <w:r>
        <w:rPr>
          <w:rFonts w:cs="Times New Roman" w:ascii="FreeSerif" w:hAnsi="FreeSerif"/>
          <w:b/>
          <w:bCs/>
          <w:lang w:val="en-US"/>
        </w:rPr>
        <w:t>2015</w:t>
      </w:r>
      <w:r>
        <w:rPr>
          <w:rFonts w:cs="Times New Roman" w:ascii="FreeSerif" w:hAnsi="FreeSerif"/>
          <w:lang w:val="en-US"/>
        </w:rPr>
        <w:t xml:space="preserve">, 2 (5), 590–614. </w:t>
      </w:r>
      <w:hyperlink r:id="rId34">
        <w:r>
          <w:rPr>
            <w:rStyle w:val="Style11"/>
            <w:rFonts w:cs="Times New Roman" w:ascii="FreeSerif" w:hAnsi="FreeSerif"/>
            <w:lang w:val="en-US"/>
          </w:rPr>
          <w:t>https://doi.org/10.1039/c5qo00037h</w:t>
        </w:r>
      </w:hyperlink>
      <w:r>
        <w:rPr>
          <w:rFonts w:cs="Times New Roman" w:ascii="FreeSerif" w:hAnsi="FreeSerif"/>
          <w:lang w:val="en-US"/>
        </w:rPr>
        <w:t xml:space="preserve">. (h) Hoyos de Rossi, R.; Bertorello, H. E.; Rossi, R. A. Thermal Decomposition Reactions of Carboxybenzenediazonium Salts. I. 1,4-Dehydroaromatic Compounds from O-Carboxybenzenediazonium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3328–3332. </w:t>
      </w:r>
      <w:hyperlink r:id="rId35">
        <w:r>
          <w:rPr>
            <w:rStyle w:val="Style11"/>
            <w:rFonts w:cs="Times New Roman" w:ascii="FreeSerif" w:hAnsi="FreeSerif"/>
            <w:lang w:val="en-US"/>
          </w:rPr>
          <w:t>https://doi.org/10.1021/jo00835a031</w:t>
        </w:r>
      </w:hyperlink>
      <w:r>
        <w:rPr>
          <w:rFonts w:cs="Times New Roman" w:ascii="FreeSerif" w:hAnsi="FreeSerif"/>
          <w:lang w:val="en-US"/>
        </w:rPr>
        <w:t xml:space="preserve">. (i) Bertorello, H. E.; Rossi, R. A.; Hoyos de Rossi, R. Thermal Decomposition of Carboxybenzenediazonium Salts. II. 1,3-Dehydroaromatic Compounds from 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3332–3338. </w:t>
      </w:r>
      <w:hyperlink r:id="rId36">
        <w:r>
          <w:rPr>
            <w:rStyle w:val="Style11"/>
            <w:rFonts w:cs="Times New Roman" w:ascii="FreeSerif" w:hAnsi="FreeSerif"/>
            <w:lang w:val="en-US"/>
          </w:rPr>
          <w:t>https://doi.org/10.1021/jo00835a032</w:t>
        </w:r>
      </w:hyperlink>
      <w:r>
        <w:rPr>
          <w:rFonts w:cs="Times New Roman" w:ascii="FreeSerif" w:hAnsi="FreeSerif"/>
          <w:lang w:val="en-US"/>
        </w:rPr>
        <w:t>.</w:t>
      </w:r>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lang w:val="en-US"/>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37">
        <w:r>
          <w:rPr>
            <w:rStyle w:val="Style11"/>
            <w:rFonts w:eastAsia="Times New Roman" w:cs="Times New Roman" w:ascii="FreeSerif" w:hAnsi="FreeSerif"/>
            <w:lang w:val="en-US"/>
          </w:rPr>
          <w:t>https://doi.org/10.1021/ol8013528</w:t>
        </w:r>
      </w:hyperlink>
      <w:r>
        <w:rPr>
          <w:rFonts w:eastAsia="Times New Roman" w:cs="Times New Roman" w:ascii="FreeSerif" w:hAnsi="FreeSerif"/>
          <w:lang w:val="en-US"/>
        </w:rPr>
        <w:t xml:space="preserve">. (b)   Filimonov, V. D.; Krasnokutskaya, E. A.; Kassanova, A. Z.; Fedorova, V. A.; Stankevich, K. S.; Naumov, N. G.; Bondarev, A. A.; Kataeva, V. A. Synthesis, Structure, and Synthetic Potential of Arenediazonium Trifluoromethanesulfonates as Stable and Safe Diazonium Salts. European Journal of Organic Chemistry 2018, 2019 (4), 665–674. </w:t>
      </w:r>
      <w:hyperlink r:id="rId38">
        <w:r>
          <w:rPr>
            <w:rStyle w:val="Style11"/>
            <w:rFonts w:eastAsia="Times New Roman" w:cs="Times New Roman" w:ascii="FreeSerif" w:hAnsi="FreeSerif"/>
            <w:lang w:val="en-US"/>
          </w:rPr>
          <w:t>https://doi.org/10.1002/ejoc.201800887</w:t>
        </w:r>
      </w:hyperlink>
      <w:r>
        <w:rPr>
          <w:rFonts w:eastAsia="Times New Roman" w:cs="Times New Roman" w:ascii="FreeSerif" w:hAnsi="FreeSerif"/>
          <w:lang w:val="en-US"/>
        </w:rPr>
        <w:t>.</w:t>
      </w:r>
    </w:p>
    <w:p>
      <w:pPr>
        <w:pStyle w:val="TFReferencesSection"/>
        <w:widowControl/>
        <w:numPr>
          <w:ilvl w:val="0"/>
          <w:numId w:val="2"/>
        </w:numPr>
        <w:bidi w:val="0"/>
        <w:spacing w:lineRule="auto" w:line="480" w:before="0" w:after="200"/>
        <w:jc w:val="both"/>
        <w:rPr/>
      </w:pP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Krasnokutskaya, E.; Semenischeva, N.; Filimonov, V.; Knochel, P. A New, One-Step, Effective Protocol for the Iodination of Aromatic and Heterocyclic Compounds via Aprotic Diazotization of Amines. Synthesis 2007, 2007 (1), 81–84. https://doi.org/10.1055/s-2006-958936. </w:t>
      </w:r>
      <w:r>
        <w:rPr>
          <w:rFonts w:eastAsia="Times New Roman" w:cs="Times New Roman" w:ascii="FreeSerif" w:hAnsi="FreeSerif"/>
          <w:lang w:val="en-US"/>
        </w:rPr>
        <w:t xml:space="preserve">(b) Filimonov, V.; Chi, K.-W.; Semenischeva, N.; Krasnokutskaya, E.; Tretyakov, A.; Hwang, H. Sulfonic Acid Based Cation-Exchange Resin: A Novel Proton Source for One-Pot Diazotization-Iodination of Aromatic Amines in Water. Synthesis 2008, 2008 (2), 185–187. </w:t>
      </w:r>
      <w:hyperlink r:id="rId39">
        <w:r>
          <w:rPr>
            <w:rStyle w:val="Style11"/>
            <w:rFonts w:eastAsia="Times New Roman" w:cs="Times New Roman" w:ascii="FreeSerif" w:hAnsi="FreeSerif"/>
            <w:lang w:val="en-US"/>
          </w:rPr>
          <w:t>https://doi.org/10.1055/s-2007-990950</w:t>
        </w:r>
      </w:hyperlink>
      <w:r>
        <w:rPr>
          <w:rFonts w:eastAsia="Times New Roman" w:cs="Times New Roman" w:ascii="FreeSerif" w:hAnsi="FreeSerif"/>
          <w:lang w:val="en-US"/>
        </w:rPr>
        <w:t xml:space="preserve">. (c) Gorlushko, D. A.; Filimonov, V. D.; Krasnokutskaya, E. A.; Semenischeva, N. I.; Go, B. S.; Hwang, H. Y.; Cha, E. H.; Chi, K.-W. Iodination of Aryl Amines in a Water-Paste Form via Stable Aryl Diazonium Tosylates. Tetrahedron Letters 2008, 49 (6), 1080–1082. </w:t>
      </w:r>
      <w:hyperlink r:id="rId40">
        <w:r>
          <w:rPr>
            <w:rStyle w:val="Style11"/>
            <w:rFonts w:eastAsia="Times New Roman" w:cs="Times New Roman" w:ascii="FreeSerif" w:hAnsi="FreeSerif"/>
            <w:lang w:val="en-US"/>
          </w:rPr>
          <w:t>https://doi.org/10.1016/j.tetlet.2007.11.192</w:t>
        </w:r>
      </w:hyperlink>
      <w:r>
        <w:rPr>
          <w:rFonts w:eastAsia="Times New Roman" w:cs="Times New Roman" w:ascii="FreeSerif" w:hAnsi="FreeSerif"/>
          <w:lang w:val="en-US"/>
        </w:rPr>
        <w:t xml:space="preserve">. (d) Lee, Y. M.; Moon, M. E.; Vajpayee, V.; Filimonov, V. D.; Chi, K.-W. Efficient and Economic Halogenation of Aryl Amines via Arenediazonium Tosylate Salts. Tetrahedron 2010, 66 (37), 7418–7422. </w:t>
      </w:r>
      <w:hyperlink r:id="rId41">
        <w:r>
          <w:rPr>
            <w:rStyle w:val="Style11"/>
            <w:rFonts w:eastAsia="Times New Roman" w:cs="Times New Roman" w:ascii="FreeSerif" w:hAnsi="FreeSerif"/>
            <w:lang w:val="en-US"/>
          </w:rPr>
          <w:t>https://doi.org/10.1016/j.tet.2010.07.005</w:t>
        </w:r>
      </w:hyperlink>
      <w:r>
        <w:rPr>
          <w:rFonts w:eastAsia="Times New Roman" w:cs="Times New Roman" w:ascii="FreeSerif" w:hAnsi="FreeSerif"/>
          <w:lang w:val="en-US"/>
        </w:rPr>
        <w:t xml:space="preserve">. (e) Moon, M. E.; Choi, Y.; Lee, Y. M.; Vajpayee, V.; Trusova, M.; Filimonov, V. D.; Chi, K.-W. An Expeditious and Environmentally Benign Preparation of Aryl Halides from Aryl Amines by Solvent-Free Grinding. Tetrahedron Letters 2010, 51 (51), 6769–6771. </w:t>
      </w:r>
      <w:hyperlink r:id="rId42">
        <w:r>
          <w:rPr>
            <w:rStyle w:val="Style11"/>
            <w:rFonts w:eastAsia="Times New Roman" w:cs="Times New Roman" w:ascii="FreeSerif" w:hAnsi="FreeSerif"/>
            <w:lang w:val="en-US"/>
          </w:rPr>
          <w:t>https://doi.org/10.1016/j.tetlet.2010.10.099</w:t>
        </w:r>
      </w:hyperlink>
      <w:r>
        <w:rPr>
          <w:rFonts w:eastAsia="Times New Roman" w:cs="Times New Roman" w:ascii="FreeSerif" w:hAnsi="FreeSerif"/>
          <w:lang w:val="en-US"/>
        </w:rPr>
        <w:t xml:space="preserve">. (f) Chi, K.-W.; Filimonov, V.; Trusova, M.; Krasnokutskaya, E.; Postnikov, P.; Choi, Y. A Green Procedure for the Diazotization-Iodination of Aromatic Amines under Aqueous, Strong-Acid-Free Conditions. Synthesis 2011, 2011 (13), 2154–2158. </w:t>
      </w:r>
      <w:hyperlink r:id="rId43">
        <w:r>
          <w:rPr>
            <w:rStyle w:val="Style11"/>
            <w:rFonts w:eastAsia="Times New Roman" w:cs="Times New Roman" w:ascii="FreeSerif" w:hAnsi="FreeSerif"/>
            <w:lang w:val="en-US"/>
          </w:rPr>
          <w:t>https://doi.org/10.1055/s-0030-1260046</w:t>
        </w:r>
      </w:hyperlink>
      <w:r>
        <w:rPr>
          <w:rFonts w:eastAsia="Times New Roman" w:cs="Times New Roman" w:ascii="FreeSerif" w:hAnsi="FreeSerif"/>
          <w:lang w:val="en-US"/>
        </w:rPr>
        <w:t xml:space="preserve">. (g) Filimonov, V.; Parello, J.; Kutonova, K.; Trusova, M.; Postnikov, P. A Simple and Effective Synthesis of Aryl Azides via Arenediazonium Tosylates. Synthesis 2013, 45 (19), 2706–2710. </w:t>
      </w:r>
      <w:hyperlink r:id="rId44">
        <w:r>
          <w:rPr>
            <w:rStyle w:val="Style11"/>
            <w:rFonts w:eastAsia="Times New Roman" w:cs="Times New Roman" w:ascii="FreeSerif" w:hAnsi="FreeSerif"/>
            <w:lang w:val="en-US"/>
          </w:rPr>
          <w:t>https://doi.org/10.1055/s-0033-1339648</w:t>
        </w:r>
      </w:hyperlink>
      <w:r>
        <w:rPr>
          <w:rFonts w:eastAsia="Times New Roman" w:cs="Times New Roman" w:ascii="FreeSerif" w:hAnsi="FreeSerif"/>
          <w:lang w:val="en-US"/>
        </w:rPr>
        <w:t xml:space="preserve">. (h) Kutonova, K. V.; Trusova, M. E.; Stankevich, A. V.; Postnikov, P. S.; Filimonov, V. D. Matsuda–Heck Reaction with Arenediazonium Tosylates in Water. Beilstein Journal of Organic Chemistry 2015, 11, 358–362. </w:t>
      </w:r>
      <w:hyperlink r:id="rId45">
        <w:r>
          <w:rPr>
            <w:rStyle w:val="Style11"/>
            <w:rFonts w:eastAsia="Times New Roman" w:cs="Times New Roman" w:ascii="FreeSerif" w:hAnsi="FreeSerif"/>
            <w:lang w:val="en-US"/>
          </w:rPr>
          <w:t>https://doi.org/10.3762/bjoc.11.41</w:t>
        </w:r>
      </w:hyperlink>
      <w:r>
        <w:rPr>
          <w:rFonts w:eastAsia="Times New Roman" w:cs="Times New Roman" w:ascii="FreeSerif" w:hAnsi="FreeSerif"/>
          <w:lang w:val="en-US"/>
        </w:rPr>
        <w:t xml:space="preserve">. (i) Postnikov, P.; Bräse, S.; Kutonova, K.; Jung, N.; Trusova, M.; Filimonov, V. Arenediazonium Tosylates (ADTs) as Efficient Reagents for Suzuki–Miyaura Cross-Coupling in Neat Water. Synthesis 2016, 49 (7), 1680–1688. </w:t>
      </w:r>
      <w:hyperlink r:id="rId46">
        <w:r>
          <w:rPr>
            <w:rStyle w:val="Style11"/>
            <w:rFonts w:eastAsia="Times New Roman" w:cs="Times New Roman" w:ascii="FreeSerif" w:hAnsi="FreeSerif"/>
            <w:lang w:val="en-US"/>
          </w:rPr>
          <w:t>https://doi.org/10.1055/s-0036-1588919</w:t>
        </w:r>
      </w:hyperlink>
      <w:r>
        <w:rPr>
          <w:rFonts w:eastAsia="Times New Roman" w:cs="Times New Roman" w:ascii="FreeSerif" w:hAnsi="FreeSerif"/>
          <w:lang w:val="en-US"/>
        </w:rPr>
        <w:t xml:space="preserve">. (j) Song, Young Ho; Ahn, Jeong-Soo; Chi, Ki-Whan. One-Pot Homo- and Cross-Coupling Reactions of Arenediazonium Tosylate Salts for the Synthesis of Biaryls and Polyaryls. Bulletin of the Korean Chemical Society 2011, 32 (spc8), 2970–2972. </w:t>
      </w:r>
      <w:hyperlink r:id="rId47">
        <w:r>
          <w:rPr>
            <w:rStyle w:val="Style11"/>
            <w:rFonts w:eastAsia="Times New Roman" w:cs="Times New Roman" w:ascii="FreeSerif" w:hAnsi="FreeSerif"/>
            <w:lang w:val="en-US"/>
          </w:rPr>
          <w:t>https://doi.org/10.5012/BKCS.2011.32.8.2970</w:t>
        </w:r>
      </w:hyperlink>
      <w:r>
        <w:rPr>
          <w:rFonts w:eastAsia="Times New Roman" w:cs="Times New Roman" w:ascii="FreeSerif" w:hAnsi="FreeSerif"/>
          <w:lang w:val="en-US"/>
        </w:rPr>
        <w:t>.</w:t>
      </w:r>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color w:val="00000A"/>
          <w:lang w:val="en-US"/>
        </w:rPr>
        <w:t xml:space="preserve">(a) Riss, P. J.; Kuschel, S.; Aigbirhio, F. I. No Carrier-Added Nucleophilic Aromatic Radiofluorination Using Solid Phase Supported Arenediazonium Sulfonates and 1-(Aryldiazenyl)piperazines. Tetrahedron Letters 2012, 53 (14), 1717–1719. </w:t>
      </w:r>
      <w:hyperlink r:id="rId48">
        <w:r>
          <w:rPr>
            <w:rStyle w:val="Style11"/>
            <w:rFonts w:eastAsia="Times New Roman" w:cs="Times New Roman" w:ascii="FreeSerif" w:hAnsi="FreeSerif"/>
            <w:color w:val="00000A"/>
            <w:lang w:val="en-US"/>
          </w:rPr>
          <w:t>https://doi.org/10.1016/j.tetlet.2012.01.082</w:t>
        </w:r>
      </w:hyperlink>
      <w:r>
        <w:rPr>
          <w:rFonts w:eastAsia="Times New Roman" w:cs="Times New Roman" w:ascii="FreeSerif" w:hAnsi="FreeSerif"/>
          <w:color w:val="00000A"/>
          <w:lang w:val="en-US"/>
        </w:rPr>
        <w:t xml:space="preserve">. (b)  Velikorodov, A. V.; Ionova, V. A.; Temirbulatova, S. I.; Suvorova, M. A. Some Chemical Transformations of Alkyl (4-Aminophenyl)carbamates. Russian Journal of Organic Chemistry 2013, 49 (7), 1004–1009. </w:t>
      </w:r>
      <w:hyperlink r:id="rId49">
        <w:r>
          <w:rPr>
            <w:rStyle w:val="Style11"/>
            <w:rFonts w:eastAsia="Times New Roman" w:cs="Times New Roman" w:ascii="FreeSerif" w:hAnsi="FreeSerif"/>
            <w:color w:val="00000A"/>
            <w:lang w:val="en-US"/>
          </w:rPr>
          <w:t>https://doi.org/10.1134/s1070428013070087</w:t>
        </w:r>
      </w:hyperlink>
      <w:r>
        <w:rPr>
          <w:rFonts w:eastAsia="Times New Roman" w:cs="Times New Roman" w:ascii="FreeSerif" w:hAnsi="FreeSerif"/>
          <w:color w:val="00000A"/>
          <w:lang w:val="en-US"/>
        </w:rPr>
        <w:t xml:space="preserve">. (c) Wang, W.; Tang, Z.; Zhang, Y.; Wang, T. Rhodium(I)-Catalyzed Synthesis of Aryltriethoxysilanes from Arenediazonium Tosylate Salts with Triethoxysilane. Synlett 2010, 2010 (5), 804–808. </w:t>
      </w:r>
      <w:hyperlink r:id="rId50">
        <w:r>
          <w:rPr>
            <w:rStyle w:val="Style11"/>
            <w:rFonts w:eastAsia="Times New Roman" w:cs="Times New Roman" w:ascii="FreeSerif" w:hAnsi="FreeSerif"/>
            <w:color w:val="00000A"/>
            <w:lang w:val="en-US"/>
          </w:rPr>
          <w:t>https://doi.org/10.1055/s-0029-1219090</w:t>
        </w:r>
      </w:hyperlink>
      <w:r>
        <w:rPr>
          <w:rFonts w:eastAsia="Times New Roman" w:cs="Times New Roman" w:ascii="FreeSerif" w:hAnsi="FreeSerif"/>
          <w:color w:val="00000A"/>
          <w:lang w:val="en-US"/>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51">
        <w:r>
          <w:rPr>
            <w:rStyle w:val="Style11"/>
            <w:rFonts w:eastAsia="Times New Roman" w:cs="Times New Roman" w:ascii="FreeSerif" w:hAnsi="FreeSerif"/>
            <w:color w:val="00000A"/>
            <w:lang w:val="en-US"/>
          </w:rPr>
          <w:t>https://doi.org/10.1134/s1995078010070037</w:t>
        </w:r>
      </w:hyperlink>
      <w:r>
        <w:rPr>
          <w:rFonts w:eastAsia="Times New Roman" w:cs="Times New Roman" w:ascii="FreeSerif" w:hAnsi="FreeSerif"/>
          <w:color w:val="00000A"/>
          <w:lang w:val="en-US"/>
        </w:rPr>
        <w:t xml:space="preserve">. (e) Min, M.; Seo, S.; Lee, J.; Lee, S. M.; Hwang, E.; Lee, H. Changes in Major Charge Transport by Molecular Spatial Orientation in Graphene Channel Field Effect Transistors. Chemical Communications 2013, 49 (56), 6289. </w:t>
      </w:r>
      <w:hyperlink r:id="rId52">
        <w:r>
          <w:rPr>
            <w:rStyle w:val="Style11"/>
            <w:rFonts w:eastAsia="Times New Roman" w:cs="Times New Roman" w:ascii="FreeSerif" w:hAnsi="FreeSerif"/>
            <w:color w:val="00000A"/>
            <w:lang w:val="en-US"/>
          </w:rPr>
          <w:t>https://doi.org/10.1039/c3cc42591f</w:t>
        </w:r>
      </w:hyperlink>
      <w:r>
        <w:rPr>
          <w:rFonts w:eastAsia="Times New Roman" w:cs="Times New Roman" w:ascii="FreeSerif" w:hAnsi="FreeSerif"/>
          <w:color w:val="00000A"/>
          <w:lang w:val="en-US"/>
        </w:rPr>
        <w:t>.</w:t>
      </w:r>
    </w:p>
    <w:p>
      <w:pPr>
        <w:pStyle w:val="TFReferencesSection"/>
        <w:widowControl/>
        <w:numPr>
          <w:ilvl w:val="0"/>
          <w:numId w:val="2"/>
        </w:numPr>
        <w:bidi w:val="0"/>
        <w:spacing w:lineRule="auto" w:line="480" w:before="0" w:after="200"/>
        <w:ind w:left="1020" w:right="0" w:hanging="454"/>
        <w:jc w:val="both"/>
        <w:rPr/>
      </w:pPr>
      <w:hyperlink r:id="rId53">
        <w:r>
          <w:rPr>
            <w:rStyle w:val="Style11"/>
            <w:rFonts w:eastAsia="Calibri" w:cs="Calibri" w:ascii="FreeSerif" w:hAnsi="FreeSerif"/>
            <w:color w:val="0000FF"/>
            <w:lang w:val="en-US"/>
          </w:rPr>
          <w:t>http</w:t>
        </w:r>
        <w:r>
          <w:rPr>
            <w:rStyle w:val="Style11"/>
            <w:rFonts w:eastAsia="Calibri" w:cs="Calibri" w:ascii="FreeSerif" w:hAnsi="FreeSerif"/>
            <w:color w:val="0000FF"/>
          </w:rPr>
          <w:t>://</w:t>
        </w:r>
        <w:r>
          <w:rPr>
            <w:rStyle w:val="Style11"/>
            <w:rFonts w:eastAsia="Calibri" w:cs="Calibri" w:ascii="FreeSerif" w:hAnsi="FreeSerif"/>
            <w:color w:val="0000FF"/>
            <w:lang w:val="en-US"/>
          </w:rPr>
          <w:t>www</w:t>
        </w:r>
        <w:r>
          <w:rPr>
            <w:rStyle w:val="Style11"/>
            <w:rFonts w:eastAsia="Calibri" w:cs="Calibri" w:ascii="FreeSerif" w:hAnsi="FreeSerif"/>
            <w:color w:val="0000FF"/>
          </w:rPr>
          <w:t>.</w:t>
        </w:r>
        <w:r>
          <w:rPr>
            <w:rStyle w:val="Style11"/>
            <w:rFonts w:eastAsia="Calibri" w:cs="Calibri" w:ascii="FreeSerif" w:hAnsi="FreeSerif"/>
            <w:color w:val="0000FF"/>
            <w:lang w:val="en-US"/>
          </w:rPr>
          <w:t>unece</w:t>
        </w:r>
        <w:r>
          <w:rPr>
            <w:rStyle w:val="Style11"/>
            <w:rFonts w:eastAsia="Calibri" w:cs="Calibri" w:ascii="FreeSerif" w:hAnsi="FreeSerif"/>
            <w:color w:val="0000FF"/>
          </w:rPr>
          <w:t>.</w:t>
        </w:r>
        <w:r>
          <w:rPr>
            <w:rStyle w:val="Style11"/>
            <w:rFonts w:eastAsia="Calibri" w:cs="Calibri" w:ascii="FreeSerif" w:hAnsi="FreeSerif"/>
            <w:color w:val="0000FF"/>
            <w:lang w:val="en-US"/>
          </w:rPr>
          <w:t>org</w:t>
        </w:r>
        <w:r>
          <w:rPr>
            <w:rStyle w:val="Style11"/>
            <w:rFonts w:eastAsia="Calibri" w:cs="Calibri" w:ascii="FreeSerif" w:hAnsi="FreeSerif"/>
            <w:color w:val="0000FF"/>
          </w:rPr>
          <w:t>/</w:t>
        </w:r>
        <w:r>
          <w:rPr>
            <w:rStyle w:val="Style11"/>
            <w:rFonts w:eastAsia="Calibri" w:cs="Calibri" w:ascii="FreeSerif" w:hAnsi="FreeSerif"/>
            <w:color w:val="0000FF"/>
            <w:lang w:val="en-US"/>
          </w:rPr>
          <w:t>trans</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html</w:t>
        </w:r>
      </w:hyperlink>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lang w:val="en-US"/>
        </w:rPr>
        <w:t xml:space="preserve">(a) Ullrich, R.; Grewer, T. Decomposition of Aromatic Diazonium Compounds. Thermochimica Acta 1993, 225 (2), 201–211. </w:t>
      </w:r>
      <w:hyperlink r:id="rId54">
        <w:r>
          <w:rPr>
            <w:rStyle w:val="Style11"/>
            <w:rFonts w:eastAsia="Times New Roman" w:cs="Times New Roman" w:ascii="FreeSerif" w:hAnsi="FreeSerif"/>
            <w:lang w:val="en-US"/>
          </w:rPr>
          <w:t>https://doi.org/10.1016/0040-6031(93)80188-g</w:t>
        </w:r>
      </w:hyperlink>
      <w:r>
        <w:rPr>
          <w:rFonts w:eastAsia="Times New Roman" w:cs="Times New Roman" w:ascii="FreeSerif" w:hAnsi="FreeSerif"/>
          <w:lang w:val="en-US"/>
        </w:rPr>
        <w:t xml:space="preserve">. (b) Brown, L. L.; Drury, J. S. Nitrogen Isotope Effects in the Decomposition of Diazonium Salts. The Journal of Chemical Physics 1965, 43 (5), 1688–1691. </w:t>
      </w:r>
      <w:hyperlink r:id="rId55">
        <w:r>
          <w:rPr>
            <w:rStyle w:val="Style11"/>
            <w:rFonts w:eastAsia="Times New Roman" w:cs="Times New Roman" w:ascii="FreeSerif" w:hAnsi="FreeSerif"/>
            <w:lang w:val="en-US"/>
          </w:rPr>
          <w:t>https://doi.org/10.1063/1.1696991</w:t>
        </w:r>
      </w:hyperlink>
      <w:r>
        <w:rPr>
          <w:rFonts w:eastAsia="Times New Roman" w:cs="Times New Roman" w:ascii="FreeSerif" w:hAnsi="FreeSerif"/>
          <w:lang w:val="en-US"/>
        </w:rPr>
        <w:t>. (c)</w:t>
      </w:r>
      <w:r>
        <w:rPr>
          <w:rFonts w:eastAsia="Times New Roman" w:cs="Times New Roman" w:ascii="FreeSerif" w:hAnsi="FreeSerif"/>
          <w:highlight w:val="yellow"/>
          <w:lang w:val="en-US"/>
        </w:rPr>
        <w:t xml:space="preserve"> P.D. Storey, Calorimetric Studies of the Thermal Explosion Properties of Aromatic Diazonium Salts, Institution. Chem. Eng. Symposium Series </w:t>
      </w:r>
      <w:r>
        <w:rPr>
          <w:rFonts w:eastAsia="Times New Roman" w:cs="Times New Roman" w:ascii="FreeSerif" w:hAnsi="FreeSerif"/>
          <w:b/>
          <w:bCs/>
          <w:highlight w:val="yellow"/>
          <w:lang w:val="en-US"/>
        </w:rPr>
        <w:t>1981</w:t>
      </w:r>
      <w:r>
        <w:rPr>
          <w:rFonts w:eastAsia="Times New Roman" w:cs="Times New Roman" w:ascii="FreeSerif" w:hAnsi="FreeSerif"/>
          <w:highlight w:val="yellow"/>
          <w:lang w:val="en-US"/>
        </w:rPr>
        <w:t xml:space="preserve">, </w:t>
      </w:r>
      <w:r>
        <w:rPr>
          <w:rFonts w:eastAsia="Times New Roman" w:cs="Times New Roman" w:ascii="FreeSerif" w:hAnsi="FreeSerif"/>
          <w:color w:val="FF0000"/>
          <w:highlight w:val="yellow"/>
          <w:lang w:val="en-US"/>
        </w:rPr>
        <w:t>No. 68. P. 1-3. P. 9</w:t>
      </w:r>
    </w:p>
    <w:p>
      <w:pPr>
        <w:pStyle w:val="TFReferencesSection"/>
        <w:widowControl/>
        <w:numPr>
          <w:ilvl w:val="0"/>
          <w:numId w:val="2"/>
        </w:numPr>
        <w:bidi w:val="0"/>
        <w:spacing w:lineRule="auto" w:line="480" w:before="0" w:after="200"/>
        <w:ind w:left="1020" w:right="0" w:hanging="454"/>
        <w:jc w:val="both"/>
        <w:rPr/>
      </w:pPr>
      <w:r>
        <w:rPr/>
        <w:t xml:space="preserve">(a) </w:t>
      </w:r>
      <w:r>
        <w:rPr>
          <w:highlight w:val="yellow"/>
        </w:rPr>
        <w:t>U. Ticmanis, S. Wilker, G. Pantel, P. Guillaume, C. Balès, N. van der Meer. Principles of a STANAG for the estimation of the chemical stability of propellants by Heat Flow Calorimetry, Proc. Int Annu. Conf. ICT 31, 2 (</w:t>
      </w:r>
      <w:r>
        <w:rPr>
          <w:b/>
          <w:bCs/>
          <w:highlight w:val="yellow"/>
        </w:rPr>
        <w:t>2000</w:t>
      </w:r>
      <w:r>
        <w:rPr>
          <w:highlight w:val="yellow"/>
        </w:rPr>
        <w:t>). (b) P. Guillaume, M. Rat, S. Wilker, G. Pantel, "Microcalorimetric and Chemical Studies of Propellants", Proc. Int Annu. Conf. ICT 29, 133 (</w:t>
      </w:r>
      <w:r>
        <w:rPr>
          <w:b/>
          <w:bCs/>
          <w:highlight w:val="yellow"/>
        </w:rPr>
        <w:t>1998</w:t>
      </w:r>
      <w:r>
        <w:rPr>
          <w:highlight w:val="yellow"/>
        </w:rPr>
        <w:t xml:space="preserve">).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w:t>
      </w:r>
      <w:r>
        <w:rPr>
          <w:b/>
          <w:bCs/>
          <w:highlight w:val="yellow"/>
        </w:rPr>
        <w:t>2014</w:t>
      </w:r>
      <w:r>
        <w:rPr>
          <w:highlight w:val="yellow"/>
        </w:rPr>
        <w:t>, Vol.64, No.1, pp.48-54</w:t>
      </w:r>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color w:val="00000A"/>
          <w:lang w:val="en-US"/>
        </w:rPr>
        <w:t>(a) Williams, T. and Kelley, C. (</w:t>
      </w:r>
      <w:r>
        <w:rPr>
          <w:rFonts w:eastAsia="Times New Roman" w:cs="Times New Roman" w:ascii="FreeSerif" w:hAnsi="FreeSerif"/>
          <w:b/>
          <w:bCs/>
          <w:color w:val="00000A"/>
          <w:lang w:val="en-US"/>
        </w:rPr>
        <w:t>2011</w:t>
      </w:r>
      <w:r>
        <w:rPr>
          <w:rFonts w:eastAsia="Times New Roman" w:cs="Times New Roman" w:ascii="FreeSerif" w:hAnsi="FreeSerif"/>
          <w:color w:val="00000A"/>
          <w:lang w:val="en-US"/>
        </w:rPr>
        <w:t xml:space="preserve">). Gnuplot 4.5: an interactive plotting program. URL http://gnuplot.info. (Last accessed: </w:t>
      </w:r>
      <w:r>
        <w:rPr>
          <w:rFonts w:eastAsia="Times New Roman" w:cs="Times New Roman" w:ascii="FreeSerif" w:hAnsi="FreeSerif"/>
          <w:b/>
          <w:bCs/>
          <w:color w:val="00000A"/>
          <w:lang w:val="en-US"/>
        </w:rPr>
        <w:t>2011</w:t>
      </w:r>
      <w:r>
        <w:rPr>
          <w:rFonts w:eastAsia="Times New Roman" w:cs="Times New Roman" w:ascii="FreeSerif" w:hAnsi="FreeSerif"/>
          <w:color w:val="00000A"/>
          <w:lang w:val="en-US"/>
        </w:rPr>
        <w:t xml:space="preserve"> June 7) (b) R Core Team (</w:t>
      </w:r>
      <w:r>
        <w:rPr>
          <w:rFonts w:eastAsia="Times New Roman" w:cs="Times New Roman" w:ascii="FreeSerif" w:hAnsi="FreeSerif"/>
          <w:b/>
          <w:bCs/>
          <w:color w:val="00000A"/>
          <w:lang w:val="en-US"/>
        </w:rPr>
        <w:t>2017</w:t>
      </w:r>
      <w:r>
        <w:rPr>
          <w:rFonts w:eastAsia="Times New Roman" w:cs="Times New Roman" w:ascii="FreeSerif" w:hAnsi="FreeSerif"/>
          <w:color w:val="00000A"/>
          <w:lang w:val="en-US"/>
        </w:rPr>
        <w:t xml:space="preserve">). R: A language and environment for statistical computing. R Foundation for Statistical / Computing, Vienna, Austria. URL </w:t>
      </w:r>
      <w:hyperlink r:id="rId56">
        <w:r>
          <w:rPr>
            <w:rStyle w:val="Style11"/>
            <w:rFonts w:eastAsia="Times New Roman" w:cs="Times New Roman" w:ascii="FreeSerif" w:hAnsi="FreeSerif"/>
            <w:color w:val="00000A"/>
            <w:lang w:val="en-US"/>
          </w:rPr>
          <w:t>https://www.R-project.org/</w:t>
        </w:r>
      </w:hyperlink>
    </w:p>
    <w:p>
      <w:pPr>
        <w:pStyle w:val="TFReferencesSection"/>
        <w:widowControl/>
        <w:numPr>
          <w:ilvl w:val="0"/>
          <w:numId w:val="2"/>
        </w:numPr>
        <w:bidi w:val="0"/>
        <w:spacing w:lineRule="auto" w:line="480" w:before="0" w:after="200"/>
        <w:ind w:left="1020" w:right="0" w:hanging="454"/>
        <w:jc w:val="both"/>
        <w:rPr/>
      </w:pPr>
      <w:r>
        <w:rPr/>
        <w:t xml:space="preserve">(a) Sturm, M.; Bertsch, A.; Gröpl, C.; Hildebrandt, A.; Hussong, R.; Lange, E.; Pfeifer, N.; Schulz-Trieglaff, O.; Zerck, A.; Reinert, K.; et al. OpenMS – An Open-Source Software Framework for Mass Spectrometry. BMC Bioinformatics 2008, 9 (1). https://doi.org/10.1186/1471-2105-9-163. (b) </w:t>
      </w:r>
      <w:r>
        <w:rPr>
          <w:highlight w:val="yellow"/>
        </w:rPr>
        <w:t>Kohlbacher et al., Bioinformatics (</w:t>
      </w:r>
      <w:r>
        <w:rPr>
          <w:b/>
          <w:bCs/>
          <w:highlight w:val="yellow"/>
        </w:rPr>
        <w:t>2008</w:t>
      </w:r>
      <w:r>
        <w:rPr>
          <w:highlight w:val="yellow"/>
        </w:rPr>
        <w:t>), 23:e191-e197</w:t>
      </w:r>
    </w:p>
    <w:p>
      <w:pPr>
        <w:pStyle w:val="TFReferencesSection"/>
        <w:widowControl/>
        <w:numPr>
          <w:ilvl w:val="0"/>
          <w:numId w:val="2"/>
        </w:numPr>
        <w:bidi w:val="0"/>
        <w:spacing w:lineRule="auto" w:line="480" w:before="0" w:after="200"/>
        <w:ind w:left="1020" w:right="0" w:hanging="454"/>
        <w:jc w:val="both"/>
        <w:rPr>
          <w:highlight w:val="yellow"/>
        </w:rPr>
      </w:pPr>
      <w:r>
        <w:rPr>
          <w:highlight w:val="yellow"/>
        </w:rPr>
        <w:t xml:space="preserve">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w:t>
      </w:r>
      <w:r>
        <w:rPr>
          <w:b/>
          <w:bCs/>
          <w:highlight w:val="yellow"/>
        </w:rPr>
        <w:t>2016</w:t>
      </w:r>
      <w:r>
        <w:rPr>
          <w:highlight w:val="yellow"/>
        </w:rPr>
        <w:t>.</w:t>
      </w:r>
    </w:p>
    <w:p>
      <w:pPr>
        <w:pStyle w:val="BHBriefs"/>
        <w:spacing w:before="0" w:after="240"/>
        <w:jc w:val="left"/>
        <w:rPr/>
      </w:pPr>
      <w:r>
        <w:rPr>
          <w:b/>
          <w:bCs/>
        </w:rPr>
        <w:t>BRIEFS</w:t>
      </w:r>
      <w:r>
        <w:rPr/>
        <w:t xml:space="preserve"> (Word Style “BH_Briefs”). If you are submitting your paper to a journal that requires a brief, provide a one-sentence synopsis for inclusion in the Table of Contents.</w:t>
      </w:r>
    </w:p>
    <w:p>
      <w:pPr>
        <w:pStyle w:val="SNSynopsisTOC"/>
        <w:spacing w:before="0" w:after="240"/>
        <w:jc w:val="left"/>
        <w:rPr/>
      </w:pPr>
      <w:r>
        <w:rPr>
          <w:b/>
          <w:bCs/>
        </w:rPr>
        <w:t>SYNOPSIS</w:t>
      </w:r>
      <w:r>
        <w:rPr/>
        <w:t xml:space="preserve"> (Word Style “SN_Synopsis_TOC”). If you are submitting your paper to a journal that requires a synopsis, see the journal’s Instructions for Authors for details.</w:t>
      </w:r>
    </w:p>
    <w:sectPr>
      <w:footerReference w:type="default" r:id="rId57"/>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 w:name="FreeSans">
    <w:charset w:val="01"/>
    <w:family w:val="roman"/>
    <w:pitch w:val="variable"/>
  </w:font>
  <w:font w:name="Free Time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right="360" w:hanging="0"/>
      <w:rPr/>
    </w:pPr>
    <w:r>
      <w:rPr/>
      <mc:AlternateContent>
        <mc:Choice Requires="wps">
          <w:drawing>
            <wp:anchor behindDoc="1" distT="0" distB="0" distL="0" distR="0" simplePos="0" locked="0" layoutInCell="1" allowOverlap="1" relativeHeight="68">
              <wp:simplePos x="0" y="0"/>
              <wp:positionH relativeFrom="margin">
                <wp:align>right</wp:align>
              </wp:positionH>
              <wp:positionV relativeFrom="paragraph">
                <wp:posOffset>635</wp:posOffset>
              </wp:positionV>
              <wp:extent cx="156210" cy="203200"/>
              <wp:effectExtent l="0" t="0" r="0" b="0"/>
              <wp:wrapSquare wrapText="largest"/>
              <wp:docPr id="23" name="Врезка1"/>
              <a:graphic xmlns:a="http://schemas.openxmlformats.org/drawingml/2006/main">
                <a:graphicData uri="http://schemas.microsoft.com/office/word/2010/wordprocessingShape">
                  <wps:wsp>
                    <wps:cNvSpPr/>
                    <wps:spPr>
                      <a:xfrm>
                        <a:off x="0" y="0"/>
                        <a:ext cx="155520" cy="202680"/>
                      </a:xfrm>
                      <a:prstGeom prst="rect">
                        <a:avLst/>
                      </a:prstGeom>
                      <a:noFill/>
                      <a:ln>
                        <a:noFill/>
                      </a:ln>
                    </wps:spPr>
                    <wps:style>
                      <a:lnRef idx="0"/>
                      <a:fillRef idx="0"/>
                      <a:effectRef idx="0"/>
                      <a:fontRef idx="minor"/>
                    </wps:style>
                    <wps:txbx>
                      <w:txbxContent>
                        <w:p>
                          <w:pPr>
                            <w:pStyle w:val="Style28"/>
                            <w:spacing w:before="0" w:after="200"/>
                            <w:rPr>
                              <w:color w:val="000000"/>
                            </w:rPr>
                          </w:pPr>
                          <w:r>
                            <w:rPr>
                              <w:color w:val="000000"/>
                            </w:rPr>
                            <w:fldChar w:fldCharType="begin"/>
                          </w:r>
                          <w:r>
                            <w:instrText> PAGE </w:instrText>
                          </w:r>
                          <w:r>
                            <w:fldChar w:fldCharType="separate"/>
                          </w:r>
                          <w:r>
                            <w:t>46</w:t>
                          </w:r>
                          <w:r>
                            <w:fldChar w:fldCharType="end"/>
                          </w:r>
                        </w:p>
                      </w:txbxContent>
                    </wps:txbx>
                    <wps:bodyPr lIns="0" rIns="0" tIns="0" bIns="0">
                      <a:spAutoFit/>
                    </wps:bodyPr>
                  </wps:wsp>
                </a:graphicData>
              </a:graphic>
            </wp:anchor>
          </w:drawing>
        </mc:Choice>
        <mc:Fallback>
          <w:pict>
            <v:rect id="shape_0" ID="Врезка1" stroked="f" style="position:absolute;margin-left:455.7pt;margin-top:0.05pt;width:12.2pt;height:15.9pt;mso-position-horizontal:right;mso-position-horizontal-relative:margin">
              <w10:wrap type="square"/>
              <v:fill o:detectmouseclick="t" on="false"/>
              <v:stroke color="#3465a4" joinstyle="round" endcap="flat"/>
              <v:textbox>
                <w:txbxContent>
                  <w:p>
                    <w:pPr>
                      <w:pStyle w:val="Style28"/>
                      <w:spacing w:before="0" w:after="200"/>
                      <w:rPr>
                        <w:color w:val="000000"/>
                      </w:rPr>
                    </w:pPr>
                    <w:r>
                      <w:rPr>
                        <w:color w:val="000000"/>
                      </w:rPr>
                      <w:fldChar w:fldCharType="begin"/>
                    </w:r>
                    <w:r>
                      <w:instrText> PAGE </w:instrText>
                    </w:r>
                    <w:r>
                      <w:fldChar w:fldCharType="separate"/>
                    </w:r>
                    <w:r>
                      <w:t>46</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link w:val="10"/>
    <w:qFormat/>
    <w:rsid w:val="00335422"/>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link w:val="20"/>
    <w:qFormat/>
    <w:rsid w:val="00335422"/>
    <w:pPr>
      <w:widowControl w:val="false"/>
      <w:numPr>
        <w:ilvl w:val="1"/>
        <w:numId w:val="1"/>
      </w:numPr>
      <w:spacing w:before="113" w:after="57"/>
      <w:ind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link w:val="30"/>
    <w:qFormat/>
    <w:rsid w:val="00335422"/>
    <w:pPr>
      <w:widowControl w:val="false"/>
      <w:numPr>
        <w:ilvl w:val="2"/>
        <w:numId w:val="1"/>
      </w:numPr>
      <w:spacing w:before="142" w:after="0"/>
      <w:ind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default="1">
    <w:name w:val="Default Paragraph Font"/>
    <w:uiPriority w:val="1"/>
    <w:unhideWhenUsed/>
    <w:qFormat/>
    <w:rPr/>
  </w:style>
  <w:style w:type="character" w:styleId="FollowedHyperlink">
    <w:name w:val="FollowedHyperlink"/>
    <w:qFormat/>
    <w:rsid w:val="00a65d8d"/>
    <w:rPr>
      <w:color w:val="800080"/>
      <w:u w:val="single"/>
    </w:rPr>
  </w:style>
  <w:style w:type="character" w:styleId="Style11" w:customStyle="1">
    <w:name w:val="Интернет-ссылка"/>
    <w:rsid w:val="00f4672b"/>
    <w:rPr>
      <w:color w:val="000080"/>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22" w:customStyle="1">
    <w:name w:val="Основной шрифт абзаца2"/>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link w:val="a0"/>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link w:val="afb"/>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link w:val="afe"/>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link w:val="aff"/>
    <w:qFormat/>
    <w:rsid w:val="00335422"/>
    <w:rPr>
      <w:rFonts w:eastAsia="0" w:cs="Liberation Serif"/>
      <w:b/>
      <w:color w:val="000000"/>
      <w:sz w:val="24"/>
      <w:lang w:eastAsia="ar-SA"/>
    </w:rPr>
  </w:style>
  <w:style w:type="character" w:styleId="17" w:customStyle="1">
    <w:name w:val="Верхний колонтитул Знак1"/>
    <w:basedOn w:val="DefaultParagraphFont"/>
    <w:link w:val="aff0"/>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link w:val="a5"/>
    <w:qFormat/>
    <w:rsid w:val="002b0771"/>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link w:val="a6"/>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link w:val="af4"/>
    <w:qFormat/>
    <w:rsid w:val="00335422"/>
    <w:pPr>
      <w:widowControl w:val="false"/>
      <w:bidi w:val="0"/>
      <w:jc w:val="left"/>
    </w:pPr>
    <w:rPr>
      <w:rFonts w:ascii="New York" w:hAnsi="New York" w:eastAsia="Times New Roman" w:cs="Times New Roman"/>
      <w:color w:val="00000A"/>
      <w:sz w:val="24"/>
      <w:szCs w:val="20"/>
      <w:lang w:val="en-US" w:eastAsia="en-US" w:bidi="ar-SA"/>
    </w:rPr>
  </w:style>
  <w:style w:type="paragraph" w:styleId="Footnotetext">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8">
    <w:name w:val="Footer"/>
    <w:basedOn w:val="Normal"/>
    <w:rsid w:val="00a65d8d"/>
    <w:pPr>
      <w:tabs>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eastAsia="Times New Roman" w:cs="Symbol"/>
      <w:color w:val="000000"/>
      <w:sz w:val="24"/>
      <w:szCs w:val="24"/>
      <w:lang w:val="en-US" w:eastAsia="en-US" w:bidi="ar-SA"/>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rsid w:val="00335422"/>
    <w:pPr>
      <w:spacing w:before="0" w:after="0"/>
      <w:ind w:left="240" w:hanging="240"/>
    </w:pPr>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color w:val="00000A"/>
      <w:szCs w:val="24"/>
      <w:lang w:val="ru-RU" w:eastAsia="hi-IN" w:bidi="hi-IN"/>
    </w:rPr>
  </w:style>
  <w:style w:type="paragraph" w:styleId="18" w:customStyle="1">
    <w:name w:val="Заголовок1"/>
    <w:basedOn w:val="Normal"/>
    <w:qFormat/>
    <w:rsid w:val="00335422"/>
    <w:pPr>
      <w:keepNext/>
      <w:suppressAutoHyphens w:val="true"/>
      <w:spacing w:lineRule="auto" w:line="312" w:before="240" w:after="120"/>
      <w:ind w:firstLine="397"/>
    </w:pPr>
    <w:rPr>
      <w:rFonts w:ascii="Liberation Sans" w:hAnsi="Liberation Sans" w:eastAsia="Noto Sans CJK SC Regular" w:cs="FreeSans"/>
      <w:color w:val="00000A"/>
      <w:sz w:val="28"/>
      <w:szCs w:val="28"/>
      <w:lang w:val="ru-RU" w:eastAsia="zh-CN" w:bidi="hi-IN"/>
    </w:rPr>
  </w:style>
  <w:style w:type="paragraph" w:styleId="19" w:customStyle="1">
    <w:name w:val="Указатель1"/>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23"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110"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Style29"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0" w:customStyle="1">
    <w:name w:val="Заголовок таблицы"/>
    <w:basedOn w:val="Style29"/>
    <w:qFormat/>
    <w:rsid w:val="00335422"/>
    <w:pPr>
      <w:jc w:val="center"/>
    </w:pPr>
    <w:rPr>
      <w:b/>
      <w:bCs/>
    </w:rPr>
  </w:style>
  <w:style w:type="paragraph" w:styleId="111" w:customStyle="1">
    <w:name w:val="Текст выноски1"/>
    <w:basedOn w:val="Normal"/>
    <w:qFormat/>
    <w:rsid w:val="00335422"/>
    <w:pPr>
      <w:suppressAutoHyphens w:val="true"/>
      <w:spacing w:before="0" w:after="0"/>
      <w:ind w:firstLine="397"/>
      <w:jc w:val="left"/>
    </w:pPr>
    <w:rPr>
      <w:rFonts w:ascii="Tahoma" w:hAnsi="Tahoma" w:eastAsia="Tahoma" w:cs="FreeSans"/>
      <w:color w:val="00000A"/>
      <w:sz w:val="16"/>
      <w:szCs w:val="24"/>
      <w:lang w:val="ru-RU" w:eastAsia="zh-CN" w:bidi="hi-IN"/>
    </w:rPr>
  </w:style>
  <w:style w:type="paragraph" w:styleId="Style31"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link w:val="afc"/>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link w:val="19"/>
    <w:qFormat/>
    <w:rsid w:val="00335422"/>
    <w:pPr>
      <w:suppressAutoHyphens w:val="true"/>
      <w:spacing w:before="0" w:after="0"/>
      <w:ind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link w:val="1a"/>
    <w:qFormat/>
    <w:rsid w:val="00335422"/>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link w:val="1b"/>
    <w:uiPriority w:val="99"/>
    <w:unhideWhenUsed/>
    <w:rsid w:val="00335422"/>
    <w:pPr>
      <w:tabs>
        <w:tab w:val="center" w:pos="4677" w:leader="none"/>
        <w:tab w:val="right" w:pos="9355" w:leader="none"/>
      </w:tabs>
      <w:suppressAutoHyphens w:val="true"/>
      <w:spacing w:before="0" w:after="0"/>
      <w:ind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doi.org/10.1021/cr0509861" TargetMode="External"/><Relationship Id="rId25" Type="http://schemas.openxmlformats.org/officeDocument/2006/relationships/hyperlink" Target="https://doi.org/10.1039/c3ob27366k" TargetMode="External"/><Relationship Id="rId26" Type="http://schemas.openxmlformats.org/officeDocument/2006/relationships/hyperlink" Target="https://doi.org/10.1071/ch13533" TargetMode="External"/><Relationship Id="rId27" Type="http://schemas.openxmlformats.org/officeDocument/2006/relationships/hyperlink" Target="https://doi.org/10.1002/chem.201404348" TargetMode="External"/><Relationship Id="rId28" Type="http://schemas.openxmlformats.org/officeDocument/2006/relationships/hyperlink" Target="https://doi.org/10.1039/c0cs00179a" TargetMode="External"/><Relationship Id="rId29" Type="http://schemas.openxmlformats.org/officeDocument/2006/relationships/hyperlink" Target="https://doi.org/10.1016/j.jlp.2015.09.004" TargetMode="External"/><Relationship Id="rId30" Type="http://schemas.openxmlformats.org/officeDocument/2006/relationships/hyperlink" Target="https://doi.org/10.1002/qua.25430" TargetMode="External"/><Relationship Id="rId31" Type="http://schemas.openxmlformats.org/officeDocument/2006/relationships/hyperlink" Target="https://doi.org/10.1016/j.jmgm.2019.03.008" TargetMode="External"/><Relationship Id="rId32" Type="http://schemas.openxmlformats.org/officeDocument/2006/relationships/hyperlink" Target="https://doi.org/10.1002/chem.200400386" TargetMode="External"/><Relationship Id="rId33" Type="http://schemas.openxmlformats.org/officeDocument/2006/relationships/hyperlink" Target="https://doi.org/10.1016/j.tet.2018.05.089" TargetMode="External"/><Relationship Id="rId34" Type="http://schemas.openxmlformats.org/officeDocument/2006/relationships/hyperlink" Target="https://doi.org/10.1039/c5qo00037h" TargetMode="External"/><Relationship Id="rId35" Type="http://schemas.openxmlformats.org/officeDocument/2006/relationships/hyperlink" Target="https://doi.org/10.1021/jo00835a031" TargetMode="External"/><Relationship Id="rId36" Type="http://schemas.openxmlformats.org/officeDocument/2006/relationships/hyperlink" Target="https://doi.org/10.1021/jo00835a032" TargetMode="External"/><Relationship Id="rId37" Type="http://schemas.openxmlformats.org/officeDocument/2006/relationships/hyperlink" Target="https://doi.org/10.1021/ol8013528" TargetMode="External"/><Relationship Id="rId38" Type="http://schemas.openxmlformats.org/officeDocument/2006/relationships/hyperlink" Target="https://doi.org/10.1002/ejoc.201800887" TargetMode="External"/><Relationship Id="rId39" Type="http://schemas.openxmlformats.org/officeDocument/2006/relationships/hyperlink" Target="https://doi.org/10.1055/s-2007-990950" TargetMode="External"/><Relationship Id="rId40" Type="http://schemas.openxmlformats.org/officeDocument/2006/relationships/hyperlink" Target="https://doi.org/10.1016/j.tetlet.2007.11.192" TargetMode="External"/><Relationship Id="rId41" Type="http://schemas.openxmlformats.org/officeDocument/2006/relationships/hyperlink" Target="https://doi.org/10.1016/j.tet.2010.07.005" TargetMode="External"/><Relationship Id="rId42" Type="http://schemas.openxmlformats.org/officeDocument/2006/relationships/hyperlink" Target="https://doi.org/10.1016/j.tetlet.2010.10.099" TargetMode="External"/><Relationship Id="rId43" Type="http://schemas.openxmlformats.org/officeDocument/2006/relationships/hyperlink" Target="https://doi.org/10.1055/s-0030-1260046" TargetMode="External"/><Relationship Id="rId44" Type="http://schemas.openxmlformats.org/officeDocument/2006/relationships/hyperlink" Target="https://doi.org/10.1055/s-0033-1339648" TargetMode="External"/><Relationship Id="rId45" Type="http://schemas.openxmlformats.org/officeDocument/2006/relationships/hyperlink" Target="https://doi.org/10.3762/bjoc.11.41" TargetMode="External"/><Relationship Id="rId46" Type="http://schemas.openxmlformats.org/officeDocument/2006/relationships/hyperlink" Target="https://doi.org/10.1055/s-0036-1588919" TargetMode="External"/><Relationship Id="rId47" Type="http://schemas.openxmlformats.org/officeDocument/2006/relationships/hyperlink" Target="https://doi.org/10.5012/BKCS.2011.32.8.2970" TargetMode="External"/><Relationship Id="rId48" Type="http://schemas.openxmlformats.org/officeDocument/2006/relationships/hyperlink" Target="https://doi.org/10.1016/j.tetlet.2012.01.082" TargetMode="External"/><Relationship Id="rId49" Type="http://schemas.openxmlformats.org/officeDocument/2006/relationships/hyperlink" Target="https://doi.org/10.1134/s1070428013070087" TargetMode="External"/><Relationship Id="rId50" Type="http://schemas.openxmlformats.org/officeDocument/2006/relationships/hyperlink" Target="https://doi.org/10.1055/s-0029-1219090" TargetMode="External"/><Relationship Id="rId51" Type="http://schemas.openxmlformats.org/officeDocument/2006/relationships/hyperlink" Target="https://doi.org/10.1134/s1995078010070037" TargetMode="External"/><Relationship Id="rId52" Type="http://schemas.openxmlformats.org/officeDocument/2006/relationships/hyperlink" Target="https://doi.org/10.1039/c3cc42591f" TargetMode="External"/><Relationship Id="rId53" Type="http://schemas.openxmlformats.org/officeDocument/2006/relationships/hyperlink" Target="http://www.unece.org/trans/danger/danger.html" TargetMode="External"/><Relationship Id="rId54" Type="http://schemas.openxmlformats.org/officeDocument/2006/relationships/hyperlink" Target="https://doi.org/10.1016/0040-6031(93)80188-g" TargetMode="External"/><Relationship Id="rId55" Type="http://schemas.openxmlformats.org/officeDocument/2006/relationships/hyperlink" Target="https://doi.org/10.1063/1.1696991" TargetMode="External"/><Relationship Id="rId56" Type="http://schemas.openxmlformats.org/officeDocument/2006/relationships/hyperlink" Target="https://www.R-project.org/" TargetMode="External"/><Relationship Id="rId57" Type="http://schemas.openxmlformats.org/officeDocument/2006/relationships/footer" Target="footer1.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Relationship Id="rId6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DEE2A-F160-4D01-B12E-6DDB5B01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339</TotalTime>
  <Application>LibreOffice/5.2.7.2$Linux_X86_64 LibreOffice_project/20m0$Build-2</Application>
  <Pages>46</Pages>
  <Words>7686</Words>
  <Characters>45264</Characters>
  <CharactersWithSpaces>52475</CharactersWithSpaces>
  <Paragraphs>477</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Александр Александрович Бондарев</cp:lastModifiedBy>
  <cp:lastPrinted>2008-06-11T21:33:00Z</cp:lastPrinted>
  <dcterms:modified xsi:type="dcterms:W3CDTF">2019-06-14T16:38:55Z</dcterms:modified>
  <cp:revision>81</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