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center"/>
        <w:rPr/>
      </w:pPr>
      <w:r>
        <w:rPr/>
        <w:t>Alexander A. Bondarev</w:t>
      </w:r>
      <w:r>
        <w:rPr>
          <w:vertAlign w:val="superscript"/>
        </w:rPr>
        <w:t>1</w:t>
      </w:r>
      <w:r>
        <w:rPr>
          <w:position w:val="0"/>
          <w:sz w:val="24"/>
          <w:vertAlign w:val="baseline"/>
        </w:rPr>
        <w:t>*</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vertAlign w:val="baseline"/>
        </w:rPr>
        <w:t>*</w:t>
      </w:r>
    </w:p>
    <w:p>
      <w:pPr>
        <w:pStyle w:val="BCAuthorAddress"/>
        <w:rPr/>
      </w:pPr>
      <w:r>
        <w:rPr>
          <w:vertAlign w:val="superscript"/>
        </w:rPr>
        <w:t>1 </w:t>
      </w:r>
      <w:r>
        <w:rPr/>
        <w:t xml:space="preserve">Department of Biomedicine, Altai State University, Barnaul, Russia, </w:t>
      </w:r>
      <w:hyperlink r:id="rId2">
        <w:r>
          <w:rPr>
            <w:rStyle w:val="Style11"/>
          </w:rPr>
          <w:t>alex_root@mail.ru</w:t>
        </w:r>
      </w:hyperlink>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w:t>
      </w:r>
      <w:r>
        <w:rPr/>
        <w:t>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w:t>
      </w:r>
      <w:r>
        <w:rPr>
          <w:b/>
          <w:bCs/>
        </w:rPr>
        <w:t>NTRODUCTION</w:t>
      </w:r>
    </w:p>
    <w:p>
      <w:pPr>
        <w:pStyle w:val="TAMainText"/>
        <w:rPr/>
      </w:pPr>
      <w:r>
        <w:rPr/>
        <w:t xml:space="preserve">Aromatic diazonium salts (DSs) are versatile synthetic blocks widely used in fine organic synthesis and industry [1]. Beyond that, DSs have been increasingly applied in development of macro- and nanoscale composite materials due to their reactivity towards metal and non-metal surfaces [2]. </w:t>
      </w:r>
    </w:p>
    <w:p>
      <w:pPr>
        <w:pStyle w:val="TAMainText"/>
        <w:rPr>
          <w:color w:val="auto"/>
        </w:rPr>
      </w:pPr>
      <w:r>
        <w:rPr>
          <w:color w:val="auto"/>
        </w:rPr>
        <w:t>Nevertheless, such disadvantages as a poor storage stability in solid state and a propensity to explosive decomposition upon heating, photo-irradiation or mechanical stress [1a, 2b, 2c, 2d] limit the preparation and usage of DSs, especially, on an industrial scale. Several approaches to the stabilization of hazardous DSs allowing for the minimization of risks associated with the processes of their production and utilization are available. These include, for instance, preparation of polymer-supported DSs [2e], freezing of benzenediazonium chlorides up to -84 ° C [2f], and application of flow-chemistry techniques for DS chemistry [2g]. Besides, to diminish the hazard level of DSs, twelve rules of handling these compounds were formulated [2b].</w:t>
      </w:r>
    </w:p>
    <w:p>
      <w:pPr>
        <w:pStyle w:val="TAMainText"/>
        <w:rPr/>
      </w:pPr>
      <w:r>
        <w:rPr/>
        <w:t>Recently, we have synthesized arenediazoniumtosylatesArN</w:t>
      </w:r>
      <w:r>
        <w:rPr>
          <w:vertAlign w:val="subscript"/>
        </w:rPr>
        <w:t>2</w:t>
      </w:r>
      <w:r>
        <w:rPr>
          <w:vertAlign w:val="superscript"/>
        </w:rPr>
        <w:t>+</w:t>
      </w:r>
      <w:r>
        <w:rPr/>
        <w:t>TsO</w:t>
      </w:r>
      <w:r>
        <w:rPr>
          <w:vertAlign w:val="superscript"/>
        </w:rPr>
        <w:t>-</w:t>
      </w:r>
      <w:r>
        <w:rPr/>
        <w:t xml:space="preserve"> (ADTs) [3a] and trifluoromethane sulfonates ArN</w:t>
      </w:r>
      <w:r>
        <w:rPr>
          <w:vertAlign w:val="subscript"/>
        </w:rPr>
        <w:t>2</w:t>
      </w:r>
      <w:r>
        <w:rPr>
          <w:vertAlign w:val="superscript"/>
        </w:rPr>
        <w:t>+</w:t>
      </w:r>
      <w:r>
        <w:rPr/>
        <w:t>TfO</w:t>
      </w:r>
      <w:r>
        <w:rPr>
          <w:vertAlign w:val="superscript"/>
        </w:rPr>
        <w:t>-</w:t>
      </w:r>
      <w:r>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safely[6].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 xml:space="preserve">Noteworthy, the DS decomposition in solution has been extensively investigated for a long time (see, for example, [1a,g]),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[7a,c],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 xml:space="preserve">N-substituted arenediazonium chlorides and tetrafluoroborates has shown that isotope effect is insensitive to the nature and position of substituents in the aromatic ring and the nature of the counterion [7b].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1a-d</w:t>
      </w:r>
      <w:r>
        <w:rPr/>
        <w:t>comparing to 4-nitrobenzenediazonium tosylate</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w:t>
      </w:r>
      <w:r>
        <w:rPr>
          <w:b/>
          <w:bCs/>
        </w:rPr>
        <w:t xml:space="preserve">1a-d </w:t>
      </w:r>
      <w:r>
        <w:rPr/>
        <w:t>for the following reasons. First, according to [7a],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 [3a, b],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b/>
          <w:b/>
        </w:rPr>
      </w:pPr>
      <w:r>
        <w:rPr>
          <w:b/>
          <w:bCs/>
        </w:rPr>
        <w:t>MATERIALS AND METHODS</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w:t>
      </w:r>
      <w:r>
        <w:rPr>
          <w:rFonts w:ascii="Times New Roman" w:hAnsi="Times New Roman"/>
          <w:b/>
          <w:bCs/>
        </w:rPr>
        <w:t>2</w:t>
      </w:r>
      <w:r>
        <w:rPr>
          <w:rFonts w:ascii="Times New Roman" w:hAnsi="Times New Roman"/>
        </w:rPr>
        <w:t xml:space="preserve"> were synthesized according to the procedure described previously [3a,b].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rPr>
                <w:b/>
                <w:b/>
                <w:bCs/>
              </w:rPr>
            </w:pPr>
            <w:r>
              <w:rPr>
                <w:b/>
                <w:bCs/>
              </w:rPr>
              <w:t>1a</w:t>
            </w:r>
          </w:p>
        </w:tc>
        <w:tc>
          <w:tcPr>
            <w:tcW w:w="4202" w:type="dxa"/>
            <w:tcBorders/>
            <w:shd w:color="auto" w:fill="FFFFFF" w:val="clear"/>
          </w:tcPr>
          <w:p>
            <w:pPr>
              <w:pStyle w:val="TAMainTex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rPr>
                <w:b/>
                <w:b/>
                <w:bCs/>
              </w:rPr>
            </w:pPr>
            <w:r>
              <w:rPr>
                <w:b/>
                <w:bCs/>
              </w:rPr>
              <w:t>1b</w:t>
            </w:r>
          </w:p>
        </w:tc>
        <w:tc>
          <w:tcPr>
            <w:tcW w:w="4202" w:type="dxa"/>
            <w:tcBorders/>
            <w:shd w:color="auto" w:fill="FFFFFF" w:val="clear"/>
          </w:tcPr>
          <w:p>
            <w:pPr>
              <w:pStyle w:val="TAMainTex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rPr>
                <w:b/>
                <w:b/>
                <w:bCs/>
              </w:rPr>
            </w:pPr>
            <w:r>
              <w:rPr>
                <w:b/>
                <w:bCs/>
              </w:rPr>
              <w:t>1c</w:t>
            </w:r>
          </w:p>
        </w:tc>
        <w:tc>
          <w:tcPr>
            <w:tcW w:w="4202" w:type="dxa"/>
            <w:tcBorders/>
            <w:shd w:color="auto" w:fill="FFFFFF" w:val="clear"/>
          </w:tcPr>
          <w:p>
            <w:pPr>
              <w:pStyle w:val="TAMainTex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4-nitrobenzenediazonium tosylate</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 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[8a-d]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 xml:space="preserve">in Gaussian 09 software package [11].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b/>
          <w:b/>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4-nitrobenzenediazonium tosylate</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1a,b,d,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8" w:type="dxa"/>
          <w:bottom w:w="0" w:type="dxa"/>
          <w:right w:w="108" w:type="dxa"/>
        </w:tblCellMar>
        <w:tblLook w:val="0000"/>
      </w:tblPr>
      <w:tblGrid>
        <w:gridCol w:w="2697"/>
        <w:gridCol w:w="1002"/>
        <w:gridCol w:w="2403"/>
        <w:gridCol w:w="888"/>
        <w:gridCol w:w="2370"/>
      </w:tblGrid>
      <w:tr>
        <w:trPr/>
        <w:tc>
          <w:tcPr>
            <w:tcW w:w="269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t>Diazonium salts</w:t>
            </w:r>
          </w:p>
        </w:tc>
        <w:tc>
          <w:tcPr>
            <w:tcW w:w="340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pPr>
            <w:r>
              <w:rPr/>
              <w:t>Endothermic process</w:t>
            </w:r>
          </w:p>
        </w:tc>
        <w:tc>
          <w:tcPr>
            <w:tcW w:w="325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t>Exothermic process</w:t>
            </w:r>
          </w:p>
        </w:tc>
      </w:tr>
      <w:tr>
        <w:trPr/>
        <w:tc>
          <w:tcPr>
            <w:tcW w:w="269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pPr>
            <w:r>
              <w:rPr/>
              <w:t>Т, ° C</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t>Т, ° C</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tc>
          <w:tcPr>
            <w:tcW w:w="26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104.1</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73.49 (21.98)</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szCs w:val="28"/>
              </w:rPr>
            </w:pPr>
            <w:r>
              <w:rPr>
                <w:szCs w:val="28"/>
              </w:rPr>
              <w:t>143.3</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-753.4 (-225.3)</w:t>
            </w:r>
          </w:p>
        </w:tc>
      </w:tr>
      <w:tr>
        <w:trPr/>
        <w:tc>
          <w:tcPr>
            <w:tcW w:w="26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102.5</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43.6 (10.04)</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szCs w:val="28"/>
              </w:rPr>
            </w:pPr>
            <w:r>
              <w:rPr>
                <w:szCs w:val="28"/>
              </w:rPr>
              <w:t>111.2</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-840.4 (-251.3)</w:t>
            </w:r>
          </w:p>
        </w:tc>
      </w:tr>
      <w:tr>
        <w:trPr/>
        <w:tc>
          <w:tcPr>
            <w:tcW w:w="26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szCs w:val="28"/>
              </w:rPr>
            </w:pPr>
            <w:r>
              <w:rPr>
                <w:szCs w:val="28"/>
              </w:rPr>
              <w:t>116.4</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-219.9 (-65.7)</w:t>
            </w:r>
          </w:p>
        </w:tc>
      </w:tr>
      <w:tr>
        <w:trPr/>
        <w:tc>
          <w:tcPr>
            <w:tcW w:w="26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88.4</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102.2 (29.05)</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szCs w:val="28"/>
              </w:rPr>
            </w:pPr>
            <w:r>
              <w:rPr>
                <w:szCs w:val="28"/>
              </w:rPr>
              <w:t>136.6</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-328.9 (-93.5)</w:t>
            </w:r>
          </w:p>
        </w:tc>
      </w:tr>
      <w:tr>
        <w:trPr/>
        <w:tc>
          <w:tcPr>
            <w:tcW w:w="26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tc>
          <w:tcPr>
            <w:tcW w:w="26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33.7</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tcPr>
          <w:p>
            <w:pPr>
              <w:pStyle w:val="TCTableBody"/>
              <w:spacing w:before="0" w:after="200"/>
              <w:rPr>
                <w:szCs w:val="28"/>
              </w:rPr>
            </w:pPr>
            <w:r>
              <w:rPr>
                <w:szCs w:val="28"/>
              </w:rPr>
              <w:t>617.3 (146.3)</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szCs w:val="28"/>
              </w:rPr>
            </w:pPr>
            <w:r>
              <w:rPr>
                <w:szCs w:val="28"/>
              </w:rPr>
              <w:t>146.5</w:t>
            </w:r>
          </w:p>
        </w:tc>
        <w:tc>
          <w:tcPr>
            <w:tcW w:w="2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8"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TsO</w:t>
      </w:r>
      <w:r>
        <w:rPr>
          <w:color w:val="000000"/>
          <w:szCs w:val="28"/>
          <w:vertAlign w:val="superscript"/>
        </w:rPr>
        <w:t>-</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rPr>
        <w:t>ADTS</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ADTS</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tblPr>
      <w:tblGrid>
        <w:gridCol w:w="4219"/>
        <w:gridCol w:w="1871"/>
        <w:gridCol w:w="1437"/>
        <w:gridCol w:w="1364"/>
      </w:tblGrid>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P</w:t>
            </w:r>
            <w:r>
              <w:rPr>
                <w:vertAlign w:val="subscript"/>
              </w:rPr>
              <w:t>0</w:t>
            </w:r>
            <w:r>
              <w:rPr/>
              <w:t>,mW/g</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rPr>
            </w:pPr>
            <w:r>
              <w:rPr>
                <w:sz w:val="4"/>
                <w:szCs w:val="4"/>
              </w:rPr>
            </w:r>
          </w:p>
        </w:tc>
        <w:tc>
          <w:tcPr>
            <w:tcW w:w="1437"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c>
          <w:tcPr>
            <w:tcW w:w="1364"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1 Nitrogen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0.0875 ± 0.0117</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234.2 ± 3.0</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 xml:space="preserve">  </w:t>
            </w:r>
            <w:r>
              <w:rPr/>
              <w:t>31.2 ± 8.1</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2 Nitrogen, (source,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0.0825 ± 0.0119</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243.6 ± 20.7</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12.7 ± 3.5</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3 Nitrogen, (source,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0.0848 ± 0.0091</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235.5 ± 7.0</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10.1 ± 3.5</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highlight w:val="green"/>
              </w:rPr>
            </w:pPr>
            <w:r>
              <w:rPr>
                <w:sz w:val="4"/>
                <w:szCs w:val="4"/>
                <w:highlight w:val="green"/>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highlight w:val="green"/>
              </w:rPr>
            </w:pPr>
            <w:r>
              <w:rPr>
                <w:sz w:val="4"/>
                <w:szCs w:val="4"/>
                <w:highlight w:val="green"/>
              </w:rPr>
            </w:r>
          </w:p>
        </w:tc>
        <w:tc>
          <w:tcPr>
            <w:tcW w:w="1437"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highlight w:val="green"/>
              </w:rPr>
            </w:pPr>
            <w:r>
              <w:rPr>
                <w:sz w:val="4"/>
                <w:szCs w:val="4"/>
                <w:highlight w:val="green"/>
              </w:rPr>
            </w:r>
          </w:p>
        </w:tc>
        <w:tc>
          <w:tcPr>
            <w:tcW w:w="1364"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highlight w:val="green"/>
              </w:rPr>
            </w:pPr>
            <w:r>
              <w:rPr>
                <w:sz w:val="4"/>
                <w:szCs w:val="4"/>
                <w:highlight w:val="green"/>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3 Air, repricipitation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0.0862 ± 0.0107</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229.0 ± 28.9</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8.7 ± 8.5</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3 Argon, repricipitation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0.1002 ± 0.0113</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242.3 ± 8.0</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 xml:space="preserve">12.8 ± 2.4 </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rPr/>
            </w:pPr>
            <w:r>
              <w:rPr/>
              <w:t xml:space="preserve">Sample 2, 3 Nitrogen, </w:t>
            </w:r>
          </w:p>
          <w:p>
            <w:pPr>
              <w:pStyle w:val="TCTableBody"/>
              <w:spacing w:before="0" w:after="200"/>
              <w:rPr/>
            </w:pPr>
            <w:r>
              <w:rPr/>
              <w:t>(source, repricipitation 1,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0.0838 ± 0.0059</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238.9 ± 7.8</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11.2 ± 2.3</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rPr>
            </w:pPr>
            <w:r>
              <w:rPr>
                <w:sz w:val="4"/>
                <w:szCs w:val="4"/>
              </w:rPr>
            </w:r>
          </w:p>
        </w:tc>
        <w:tc>
          <w:tcPr>
            <w:tcW w:w="1437"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c>
          <w:tcPr>
            <w:tcW w:w="1364"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4 Nitrogen, source</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0.0832 ± 0.0109</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241.7 ± 16.2</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12.0 ± 2.0</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4 Nitrogen,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0.0838 ± 0.0158</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235.1 ± 17.9</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10.2 ± 6.3</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Sample 4 Nitrogen, repricipitation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0.0931 ± 0.0071</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238.1 ± 6.8</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11.3 ± 2.3</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4" w:type="dxa"/>
            </w:tcMar>
            <w:vAlign w:val="center"/>
          </w:tcPr>
          <w:p>
            <w:pPr>
              <w:pStyle w:val="TCTableBody"/>
              <w:spacing w:before="0" w:after="200"/>
              <w:rPr>
                <w:sz w:val="4"/>
                <w:szCs w:val="4"/>
              </w:rPr>
            </w:pPr>
            <w:r>
              <w:rPr>
                <w:sz w:val="4"/>
                <w:szCs w:val="4"/>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rPr>
            </w:pPr>
            <w:r>
              <w:rPr>
                <w:sz w:val="4"/>
                <w:szCs w:val="4"/>
              </w:rPr>
            </w:r>
          </w:p>
        </w:tc>
        <w:tc>
          <w:tcPr>
            <w:tcW w:w="1437" w:type="dxa"/>
            <w:tcBorders>
              <w:top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c>
          <w:tcPr>
            <w:tcW w:w="1364" w:type="dxa"/>
            <w:tcBorders>
              <w:top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General statistics</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0.0882 ± 0.0045</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vAlign w:val="center"/>
          </w:tcPr>
          <w:p>
            <w:pPr>
              <w:pStyle w:val="TCTableBody"/>
              <w:spacing w:before="0" w:after="200"/>
              <w:rPr/>
            </w:pPr>
            <w:r>
              <w:rPr/>
              <w:t>237.7 ± 4.6</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640"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tblPr>
      <w:tblGrid>
        <w:gridCol w:w="2811"/>
        <w:gridCol w:w="1082"/>
        <w:gridCol w:w="1083"/>
        <w:gridCol w:w="1107"/>
        <w:gridCol w:w="1167"/>
        <w:gridCol w:w="1152"/>
        <w:gridCol w:w="1237"/>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b/>
                <w:b/>
                <w:bCs/>
              </w:rPr>
            </w:pPr>
            <w:r>
              <w:rPr/>
              <w:t>Diazonium salt</w:t>
            </w:r>
          </w:p>
        </w:tc>
        <w:tc>
          <w:tcPr>
            <w:tcW w:w="3272" w:type="dxa"/>
            <w:gridSpan w:val="3"/>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rFonts w:eastAsia="Symbol" w:cs="Times"/>
                <w:sz w:val="18"/>
                <w:szCs w:val="16"/>
              </w:rPr>
              <w:t>∆</w:t>
            </w:r>
            <w:r>
              <w:rPr/>
              <w:t>H, kJ/mol</w:t>
            </w:r>
          </w:p>
        </w:tc>
        <w:tc>
          <w:tcPr>
            <w:tcW w:w="355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P</w:t>
            </w:r>
            <w:r>
              <w:rPr>
                <w:vertAlign w:val="subscript"/>
              </w:rPr>
              <w:t>max</w:t>
            </w:r>
            <w:r>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75o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80o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85o</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75o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80o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85o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396.0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225.4</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250.0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106.0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231.0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147.0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w:t>
      </w:r>
      <w:r>
        <w:rPr>
          <w:b/>
        </w:rPr>
        <w:t>2</w:t>
      </w:r>
      <w:r>
        <w:rPr/>
        <w:t xml:space="preserve"> – 6h. </w:t>
      </w:r>
    </w:p>
    <w:p>
      <w:pPr>
        <w:pStyle w:val="TAMainText"/>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VAFigureCaption"/>
        <w:rPr/>
      </w:pPr>
      <w:r>
        <w:rPr>
          <w:b/>
        </w:rPr>
        <w:t>Figure 7.</w:t>
      </w:r>
      <w:r>
        <w:rPr/>
        <w:t xml:space="preserve"> The heat flow (P) during isothermal decomposition of nitrobenzenediazonium salts: tetrafluoroborate </w:t>
      </w:r>
      <w:r>
        <w:rPr>
          <w:b/>
        </w:rPr>
        <w:t xml:space="preserve">3, </w:t>
      </w:r>
      <w:r>
        <w:rPr/>
        <w:t>tosylate</w:t>
      </w:r>
      <w:r>
        <w:rPr>
          <w:b/>
        </w:rPr>
        <w:t>2</w:t>
      </w:r>
      <w:r>
        <w:rPr/>
        <w:t xml:space="preserve">, and triflate </w:t>
      </w:r>
      <w:r>
        <w:rPr>
          <w:b/>
        </w:rPr>
        <w:t xml:space="preserve">1c </w:t>
      </w:r>
      <w:r>
        <w:rPr/>
        <w:t>at85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9641"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tblPr>
      <w:tblGrid>
        <w:gridCol w:w="2578"/>
        <w:gridCol w:w="1125"/>
        <w:gridCol w:w="1192"/>
        <w:gridCol w:w="1120"/>
        <w:gridCol w:w="1"/>
        <w:gridCol w:w="1155"/>
        <w:gridCol w:w="1235"/>
        <w:gridCol w:w="1234"/>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b/>
                <w:b/>
                <w:bCs/>
              </w:rPr>
            </w:pPr>
            <w:r>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P</w:t>
            </w:r>
            <w:r>
              <w:rPr>
                <w:vertAlign w:val="subscript"/>
              </w:rPr>
              <w:t>0</w:t>
            </w:r>
            <w:r>
              <w:rPr/>
              <w:t>, mW</w:t>
            </w:r>
          </w:p>
        </w:tc>
        <w:tc>
          <w:tcPr>
            <w:tcW w:w="3625"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80</w:t>
            </w:r>
            <w:r>
              <w:rPr>
                <w:vertAlign w:val="superscript"/>
              </w:rPr>
              <w:t>o</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80</w:t>
            </w:r>
            <w:r>
              <w:rPr>
                <w:vertAlign w:val="superscript"/>
              </w:rPr>
              <w:t>o</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8.82</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0.00055</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1.10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0.01958</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1.311</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0.0630</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3.200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0.0044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2.745</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0.0539</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89.598</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0.0344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0.0721</w:t>
            </w:r>
          </w:p>
        </w:tc>
      </w:tr>
    </w:tbl>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1b</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1b-d</w:t>
      </w:r>
      <w:r>
        <w:rPr/>
        <w:t>have higher activation energies comparing to tosylate</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 (k</w:t>
      </w:r>
      <w:r>
        <w:rPr>
          <w:vertAlign w:val="subscript"/>
        </w:rPr>
        <w:t>298</w:t>
      </w:r>
      <w:r>
        <w:rPr/>
        <w:t xml:space="preserve"> – rate constant at 298 </w:t>
      </w:r>
      <w:r>
        <w:rPr>
          <w:vertAlign w:val="superscript"/>
        </w:rPr>
        <w:t>о</w:t>
      </w:r>
      <w:r>
        <w:rPr/>
        <w:t>K;  Ea — activation energy).</w:t>
      </w:r>
    </w:p>
    <w:tbl>
      <w:tblPr>
        <w:tblW w:w="7313" w:type="dxa"/>
        <w:jc w:val="left"/>
        <w:tblInd w:w="1480"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vAlign w:val="center"/>
          </w:tcPr>
          <w:p>
            <w:pPr>
              <w:pStyle w:val="TCTableBody"/>
              <w:spacing w:before="0" w:after="200"/>
              <w:rPr>
                <w:rFonts w:cs="Liberation Serif"/>
              </w:rPr>
            </w:pPr>
            <w:r>
              <w:rPr>
                <w:rFonts w:cs="Liberation Serif"/>
              </w:rPr>
              <w:t>140.3</w:t>
            </w:r>
          </w:p>
        </w:tc>
      </w:tr>
    </w:tbl>
    <w:p>
      <w:pPr>
        <w:pStyle w:val="TAMainText"/>
        <w:rPr/>
      </w:pPr>
      <w:r>
        <w:rPr/>
      </w:r>
    </w:p>
    <w:p>
      <w:pPr>
        <w:pStyle w:val="TAMainText"/>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4-nitrobenzenediazonium tosylate</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trifluoromethanesulfonatesArOTf. The decomposition of arenediazoniumtosylate</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r>
          </w:p>
        </w:tc>
      </w:tr>
    </w:tbl>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auto"/>
        </w:rPr>
        <w:t xml:space="preserve">Previously, the appearance of polymer products during the thermal decomposition of </w:t>
      </w:r>
      <w:r>
        <w:rPr>
          <w:i/>
          <w:color w:val="auto"/>
        </w:rPr>
        <w:t>ortho-</w:t>
      </w:r>
      <w:r>
        <w:rPr>
          <w:color w:val="auto"/>
        </w:rPr>
        <w:t>carboxybenzenediazonium chloride was also explained by the intermediate formation of didehydrobenzene and naphthalene [</w:t>
      </w:r>
      <w:r>
        <w:rPr>
          <w:color w:val="auto"/>
        </w:rPr>
        <w:t>2h, 2i</w:t>
      </w:r>
      <w:r>
        <w:rPr>
          <w:color w:val="auto"/>
        </w:rPr>
        <w:t>].</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0" w:type="dxa"/>
          <w:bottom w:w="55" w:type="dxa"/>
          <w:right w:w="55" w:type="dxa"/>
        </w:tblCellMar>
        <w:tblLook w:val="000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t>S*298.15,  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color w:val="000000"/>
              </w:rPr>
            </w:pPr>
            <w:r>
              <w:rPr>
                <w:color w:val="000000"/>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487" w:type="dxa"/>
        <w:jc w:val="left"/>
        <w:tblInd w:w="33" w:type="dxa"/>
        <w:tblBorders>
          <w:top w:val="single" w:sz="2" w:space="0" w:color="000001"/>
          <w:left w:val="single" w:sz="2" w:space="0" w:color="000001"/>
          <w:bottom w:val="single" w:sz="2" w:space="0" w:color="000001"/>
          <w:insideH w:val="single" w:sz="2" w:space="0" w:color="000001"/>
        </w:tblBorders>
        <w:tblCellMar>
          <w:top w:w="55" w:type="dxa"/>
          <w:left w:w="20" w:type="dxa"/>
          <w:bottom w:w="55" w:type="dxa"/>
          <w:right w:w="55" w:type="dxa"/>
        </w:tblCellMar>
        <w:tblLook w:val="0000"/>
      </w:tblPr>
      <w:tblGrid>
        <w:gridCol w:w="3250"/>
        <w:gridCol w:w="1701"/>
        <w:gridCol w:w="1275"/>
        <w:gridCol w:w="1134"/>
        <w:gridCol w:w="993"/>
        <w:gridCol w:w="1"/>
        <w:gridCol w:w="1132"/>
      </w:tblGrid>
      <w:tr>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t>Predicted enthalpy</w:t>
            </w:r>
          </w:p>
        </w:tc>
        <w:tc>
          <w:tcPr>
            <w:tcW w:w="3403" w:type="dxa"/>
            <w:gridSpan w:val="4"/>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jc w:val="left"/>
              <w:rPr/>
            </w:pPr>
            <w:r>
              <w:rPr/>
              <w:t>Experimental enthalpy (flow calorimetry)</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t>DSC/TGA</w:t>
            </w:r>
          </w:p>
        </w:tc>
      </w:tr>
      <w:tr>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pPr>
            <w:r>
              <w:rPr>
                <w:rFonts w:cs="Standard Symbols L" w:ascii="Symbol" w:hAnsi="Symbol"/>
              </w:rPr>
              <w:t></w:t>
            </w:r>
            <w:r>
              <w:rPr>
                <w:rFonts w:ascii="Free Times" w:hAnsi="Free Times"/>
              </w:rPr>
              <w:t>H, kJ/mol</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-230 (-230.4)</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-414</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-386</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-396</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-203.4</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-243 (-243.2)</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-228</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-230</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-225</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-238.5</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-248 (-248.4)</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-200</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-235</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-250</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-65.8</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-201 (-200.8)</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-183</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-183</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-106</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-64.5</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-284 (-284.0)</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-253</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-232</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-231</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-117.3</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-188 (-189.5)</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-173</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-156</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-147</w:t>
            </w:r>
          </w:p>
        </w:tc>
        <w:tc>
          <w:tcPr>
            <w:tcW w:w="113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0"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b/>
          <w:b/>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cs="Times New Roman" w:ascii="Times New Roman" w:hAnsi="Times New Roman"/>
          <w:sz w:val="24"/>
          <w:szCs w:val="24"/>
          <w:lang w:val="en-US"/>
        </w:rPr>
        <w:t>filimonov@tpu.ru</w:t>
      </w:r>
    </w:p>
    <w:p>
      <w:pPr>
        <w:pStyle w:val="FACorrespondingAuthorFootnote"/>
        <w:spacing w:before="0" w:after="240"/>
        <w:jc w:val="left"/>
        <w:rPr/>
      </w:pPr>
      <w:r>
        <w:rPr/>
        <w:t xml:space="preserve">* Alexander.A.Bondarev, </w:t>
      </w:r>
      <w:bookmarkStart w:id="0" w:name="__DdeLink__14103_2062433773"/>
      <w:r>
        <w:rPr/>
        <w:t>A</w:t>
      </w:r>
      <w:r>
        <w:rPr/>
        <w:t>lexander.</w:t>
      </w:r>
      <w:r>
        <w:rPr/>
        <w:t>A</w:t>
      </w:r>
      <w:r>
        <w:rPr/>
        <w:t>.</w:t>
      </w:r>
      <w:r>
        <w:rPr/>
        <w:t>B</w:t>
      </w:r>
      <w:r>
        <w:rPr/>
        <w:t>ondarev</w:t>
      </w:r>
      <w:bookmarkEnd w:id="0"/>
      <w:r>
        <w:rPr/>
        <w:t>@</w:t>
      </w:r>
      <w:r>
        <w:rPr/>
        <w:t>gmail.com</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rFonts w:ascii="Times" w:hAnsi="Times"/>
          <w:sz w:val="24"/>
        </w:rPr>
      </w:pPr>
      <w:r>
        <w:rPr>
          <w:rFonts w:ascii="Times" w:hAnsi="Times"/>
          <w:sz w:val="24"/>
        </w:rPr>
        <w:t>Any additional relevant notes should be placed here.</w:t>
      </w:r>
    </w:p>
    <w:p>
      <w:pPr>
        <w:pStyle w:val="TDAcknowledgments"/>
        <w:spacing w:before="0" w:after="0"/>
        <w:ind w:hanging="0"/>
        <w:jc w:val="left"/>
        <w:rPr>
          <w:b/>
          <w:b/>
          <w:bCs/>
        </w:rPr>
      </w:pPr>
      <w:r>
        <w:rPr>
          <w:b/>
          <w:bCs/>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b/>
          <w:b/>
          <w:bCs/>
        </w:rPr>
      </w:pPr>
      <w:r>
        <w:rPr>
          <w:b/>
          <w:bCs/>
        </w:rPr>
        <w:t>ABBREVIATIONS</w:t>
      </w:r>
    </w:p>
    <w:p>
      <w:pPr>
        <w:pStyle w:val="Normal"/>
        <w:spacing w:lineRule="auto" w:line="480"/>
        <w:jc w:val="left"/>
        <w:rPr/>
      </w:pPr>
      <w:r>
        <w:rPr/>
        <w:t>CCR2, CC chemokine receptor 2; CCL2, CC chemokine ligand 2; CCR5, CC chemokine receptor 5; TLC, thin layer chromatography.</w:t>
      </w:r>
    </w:p>
    <w:p>
      <w:pPr>
        <w:pStyle w:val="TFReferencesSection"/>
        <w:spacing w:before="0" w:after="0"/>
        <w:ind w:hanging="0"/>
        <w:rPr>
          <w:b/>
          <w:b/>
          <w:bCs/>
        </w:rPr>
      </w:pPr>
      <w:r>
        <w:rPr>
          <w:b/>
          <w:bCs/>
        </w:rPr>
        <w:t>REFERENCES</w:t>
      </w:r>
    </w:p>
    <w:p>
      <w:pPr>
        <w:pStyle w:val="TFReferencesSection"/>
        <w:spacing w:before="0" w:after="240"/>
        <w:ind w:hanging="0"/>
        <w:jc w:val="left"/>
        <w:rPr/>
      </w:pPr>
      <w:r>
        <w:rPr/>
        <w:t xml:space="preserve">(Word Style “TF_References_Section”). References are placed at the end of the manuscript. Authors are responsible for the accuracy and completeness of all references. Examples of the recommended format for the various reference types can be found at </w:t>
      </w:r>
      <w:hyperlink r:id="rId25">
        <w:r>
          <w:rPr>
            <w:rStyle w:val="Style11"/>
          </w:rPr>
          <w:t>http://pubs.acs.org/page/4authors/index.html</w:t>
        </w:r>
      </w:hyperlink>
      <w:r>
        <w:rPr/>
        <w:t xml:space="preserve">. Detailed information on reference style can be found in </w:t>
      </w:r>
      <w:r>
        <w:rPr>
          <w:i/>
        </w:rPr>
        <w:t>The ACS Style Guide,</w:t>
      </w:r>
      <w:r>
        <w:rPr/>
        <w:t>available from Oxford Press.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Zollinger, H. </w:t>
      </w:r>
      <w:r>
        <w:rPr>
          <w:rFonts w:cs="Times New Roman" w:ascii="FreeSerif" w:hAnsi="FreeSerif"/>
          <w:i w:val="false"/>
          <w:iCs w:val="false"/>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xml:space="preserve">, 4143. (b) </w:t>
      </w:r>
      <w:r>
        <w:rPr/>
        <w:t xml:space="preserve">(1) Sheng, M.; Frurip, D.; Gorman, D. Reactive Chemical Hazards of Diazonium Salts. Journal of Loss Prevention in the Process Industries </w:t>
      </w:r>
      <w:r>
        <w:rPr>
          <w:b/>
          <w:bCs/>
        </w:rPr>
        <w:t>2015</w:t>
      </w:r>
      <w:r>
        <w:rPr/>
        <w:t xml:space="preserve">, 38, 114–118. </w:t>
      </w:r>
      <w:hyperlink r:id="rId26">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w:t>
      </w:r>
      <w:r>
        <w:rPr>
          <w:rFonts w:cs="Times New Roman" w:ascii="FreeSerif" w:hAnsi="FreeSerif"/>
          <w:b/>
          <w:bCs/>
          <w:lang w:val="en-US"/>
        </w:rPr>
        <w:t>2017</w:t>
      </w:r>
      <w:r>
        <w:rPr>
          <w:rFonts w:cs="Times New Roman" w:ascii="FreeSerif" w:hAnsi="FreeSerif"/>
          <w:lang w:val="en-US"/>
        </w:rPr>
        <w:t xml:space="preserve">, 117 (21), e25430. </w:t>
      </w:r>
      <w:hyperlink r:id="rId27">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w:t>
      </w:r>
      <w:r>
        <w:rPr>
          <w:rFonts w:cs="Times New Roman" w:ascii="FreeSerif" w:hAnsi="FreeSerif"/>
          <w:b/>
          <w:bCs/>
          <w:lang w:val="en-US"/>
        </w:rPr>
        <w:t>2019</w:t>
      </w:r>
      <w:r>
        <w:rPr>
          <w:rFonts w:cs="Times New Roman" w:ascii="FreeSerif" w:hAnsi="FreeSerif"/>
          <w:lang w:val="en-US"/>
        </w:rPr>
        <w:t xml:space="preserve">, 89, 114–121. </w:t>
      </w:r>
      <w:hyperlink r:id="rId28">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w:t>
      </w:r>
      <w:r>
        <w:rPr>
          <w:rFonts w:cs="Times New Roman" w:ascii="FreeSerif" w:hAnsi="FreeSerif"/>
          <w:b/>
          <w:bCs/>
          <w:lang w:val="en-US"/>
        </w:rPr>
        <w:t>2004</w:t>
      </w:r>
      <w:r>
        <w:rPr>
          <w:rFonts w:cs="Times New Roman" w:ascii="FreeSerif" w:hAnsi="FreeSerif"/>
          <w:lang w:val="en-US"/>
        </w:rPr>
        <w:t xml:space="preserve">, 10 (21), 5285–5296. </w:t>
      </w:r>
      <w:hyperlink r:id="rId29">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w:t>
      </w:r>
      <w:r>
        <w:rPr>
          <w:rFonts w:cs="Times New Roman" w:ascii="FreeSerif" w:hAnsi="FreeSerif"/>
          <w:b/>
          <w:bCs/>
          <w:lang w:val="en-US"/>
        </w:rPr>
        <w:t>2018</w:t>
      </w:r>
      <w:r>
        <w:rPr>
          <w:rFonts w:cs="Times New Roman" w:ascii="FreeSerif" w:hAnsi="FreeSerif"/>
          <w:lang w:val="en-US"/>
        </w:rPr>
        <w:t xml:space="preserve">, 74 (38), 5289–5294. </w:t>
      </w:r>
      <w:hyperlink r:id="rId30">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w:t>
      </w:r>
      <w:r>
        <w:rPr>
          <w:rFonts w:cs="Times New Roman" w:ascii="FreeSerif" w:hAnsi="FreeSerif"/>
          <w:b/>
          <w:bCs/>
          <w:lang w:val="en-US"/>
        </w:rPr>
        <w:t>2015</w:t>
      </w:r>
      <w:r>
        <w:rPr>
          <w:rFonts w:cs="Times New Roman" w:ascii="FreeSerif" w:hAnsi="FreeSerif"/>
          <w:lang w:val="en-US"/>
        </w:rPr>
        <w:t xml:space="preserve">, 2 (5), 590–614. </w:t>
      </w:r>
      <w:hyperlink r:id="rId31">
        <w:r>
          <w:rPr>
            <w:rStyle w:val="Style11"/>
            <w:rFonts w:cs="Times New Roman" w:ascii="FreeSerif" w:hAnsi="FreeSerif"/>
            <w:lang w:val="en-US"/>
          </w:rPr>
          <w:t>https://doi.org/10.1039/c5qo00037h</w:t>
        </w:r>
      </w:hyperlink>
      <w:r>
        <w:rPr>
          <w:rFonts w:cs="Times New Roman" w:ascii="FreeSerif" w:hAnsi="FreeSerif"/>
          <w:lang w:val="en-US"/>
        </w:rPr>
        <w:t xml:space="preserve">. </w:t>
      </w:r>
      <w:r>
        <w:rPr>
          <w:rFonts w:cs="Times New Roman" w:ascii="FreeSerif" w:hAnsi="FreeSerif"/>
          <w:lang w:val="en-US"/>
        </w:rPr>
        <w:t xml:space="preserve">(h) Hoyos de Rossi, R.; Bertorello, H. E.; Rossi, R. A. Thermal Decomposition Reactions of Carboxybenzenediazonium Salts. I. 1,4-Dehydroaromatic Compounds from O-Carboxybenzenediazonium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3328–3332. </w:t>
      </w:r>
      <w:hyperlink r:id="rId32">
        <w:r>
          <w:rPr>
            <w:rStyle w:val="Style11"/>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3332–3338. </w:t>
      </w:r>
      <w:hyperlink r:id="rId33">
        <w:r>
          <w:rPr>
            <w:rStyle w:val="Style11"/>
            <w:rFonts w:cs="Times New Roman" w:ascii="FreeSerif" w:hAnsi="FreeSerif"/>
            <w:lang w:val="en-US"/>
          </w:rPr>
          <w:t>https://doi.org/10.1021/jo00835a032</w:t>
        </w:r>
      </w:hyperlink>
      <w:r>
        <w:rPr>
          <w:rFonts w:cs="Times New Roman" w:ascii="FreeSerif" w:hAnsi="FreeSerif"/>
          <w:lang w:val="en-US"/>
        </w:rPr>
        <w:t>.</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34">
        <w:r>
          <w:rPr>
            <w:rStyle w:val="Style11"/>
            <w:rFonts w:eastAsia="Times New Roman" w:cs="Times New Roman" w:ascii="FreeSerif" w:hAnsi="FreeSerif"/>
            <w:color w:val="0000FF"/>
            <w:lang w:val="en-US"/>
          </w:rPr>
          <w:t>https://doi.org/10.1002/ejoc.201800887</w:t>
        </w:r>
      </w:hyperlink>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Krasnokutskaya</w:t>
      </w:r>
      <w:r>
        <w:rPr>
          <w:rFonts w:eastAsia="Times New Roman" w:cs="Times New Roman" w:ascii="FreeSerif" w:hAnsi="FreeSerif"/>
        </w:rPr>
        <w:t xml:space="preserve"> </w:t>
      </w:r>
      <w:r>
        <w:rPr>
          <w:rFonts w:eastAsia="Times New Roman" w:cs="Times New Roman" w:ascii="FreeSerif" w:hAnsi="FreeSerif"/>
          <w:lang w:val="en-US"/>
        </w:rPr>
        <w:t>E</w:t>
      </w: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Semenischeva</w:t>
      </w:r>
      <w:r>
        <w:rPr>
          <w:rFonts w:eastAsia="Times New Roman" w:cs="Times New Roman" w:ascii="FreeSerif" w:hAnsi="FreeSerif"/>
        </w:rPr>
        <w:t xml:space="preserve"> </w:t>
      </w:r>
      <w:r>
        <w:rPr>
          <w:rFonts w:eastAsia="Times New Roman" w:cs="Times New Roman" w:ascii="FreeSerif" w:hAnsi="FreeSerif"/>
          <w:lang w:val="en-US"/>
        </w:rPr>
        <w:t>N</w:t>
      </w:r>
      <w:r>
        <w:rPr>
          <w:rFonts w:eastAsia="Times New Roman" w:cs="Times New Roman" w:ascii="FreeSerif" w:hAnsi="FreeSerif"/>
        </w:rPr>
        <w:t>.</w:t>
      </w:r>
      <w:r>
        <w:rPr>
          <w:rFonts w:eastAsia="Times New Roman" w:cs="Times New Roman" w:ascii="FreeSerif" w:hAnsi="FreeSerif"/>
          <w:lang w:val="en-US"/>
        </w:rPr>
        <w:t>I</w:t>
      </w:r>
      <w:r>
        <w:rPr>
          <w:rFonts w:eastAsia="Times New Roman" w:cs="Times New Roman" w:ascii="FreeSerif" w:hAnsi="FreeSerif"/>
        </w:rPr>
        <w:t xml:space="preserve">., </w:t>
      </w:r>
      <w:r>
        <w:rPr>
          <w:rFonts w:eastAsia="Times New Roman" w:cs="Times New Roman" w:ascii="FreeSerif" w:hAnsi="FreeSerif"/>
          <w:lang w:val="en-US"/>
        </w:rPr>
        <w:t>Filimonov</w:t>
      </w:r>
      <w:r>
        <w:rPr>
          <w:rFonts w:eastAsia="Times New Roman" w:cs="Times New Roman" w:ascii="FreeSerif" w:hAnsi="FreeSerif"/>
        </w:rPr>
        <w:t xml:space="preserve"> </w:t>
      </w:r>
      <w:r>
        <w:rPr>
          <w:rFonts w:eastAsia="Times New Roman" w:cs="Times New Roman" w:ascii="FreeSerif" w:hAnsi="FreeSerif"/>
          <w:lang w:val="en-US"/>
        </w:rPr>
        <w:t>V</w:t>
      </w:r>
      <w:r>
        <w:rPr>
          <w:rFonts w:eastAsia="Times New Roman" w:cs="Times New Roman" w:ascii="FreeSerif" w:hAnsi="FreeSerif"/>
        </w:rPr>
        <w:t>.</w:t>
      </w:r>
      <w:r>
        <w:rPr>
          <w:rFonts w:eastAsia="Times New Roman" w:cs="Times New Roman" w:ascii="FreeSerif" w:hAnsi="FreeSerif"/>
          <w:lang w:val="en-US"/>
        </w:rPr>
        <w:t>D</w:t>
      </w:r>
      <w:r>
        <w:rPr>
          <w:rFonts w:eastAsia="Times New Roman" w:cs="Times New Roman" w:ascii="FreeSerif" w:hAnsi="FreeSerif"/>
        </w:rPr>
        <w:t xml:space="preserve">., </w:t>
      </w:r>
      <w:r>
        <w:rPr>
          <w:rFonts w:eastAsia="Times New Roman" w:cs="Times New Roman" w:ascii="FreeSerif" w:hAnsi="FreeSerif"/>
          <w:lang w:val="en-US"/>
        </w:rPr>
        <w:t>Knochel</w:t>
      </w:r>
      <w:r>
        <w:rPr>
          <w:rFonts w:eastAsia="Times New Roman" w:cs="Times New Roman" w:ascii="FreeSerif" w:hAnsi="FreeSerif"/>
        </w:rPr>
        <w:t xml:space="preserve"> </w:t>
      </w:r>
      <w:r>
        <w:rPr>
          <w:rFonts w:eastAsia="Times New Roman" w:cs="Times New Roman" w:ascii="FreeSerif" w:hAnsi="FreeSerif"/>
          <w:lang w:val="en-US"/>
        </w:rPr>
        <w:t>P</w:t>
      </w:r>
      <w:r>
        <w:rPr>
          <w:rFonts w:eastAsia="Times New Roman" w:cs="Times New Roman" w:ascii="FreeSerif" w:hAnsi="FreeSerif"/>
        </w:rPr>
        <w:t xml:space="preserve">. </w:t>
      </w:r>
      <w:r>
        <w:rPr>
          <w:rFonts w:eastAsia="Times New Roman" w:cs="Times New Roman" w:ascii="FreeSerif" w:hAnsi="FreeSerif"/>
          <w:lang w:val="en-US"/>
        </w:rPr>
        <w:t>Synthesis</w:t>
      </w:r>
      <w:r>
        <w:rPr>
          <w:rFonts w:eastAsia="Times New Roman" w:cs="Times New Roman" w:ascii="FreeSerif" w:hAnsi="FreeSerif"/>
        </w:rPr>
        <w:t xml:space="preserve">, </w:t>
      </w:r>
      <w:r>
        <w:rPr>
          <w:rFonts w:eastAsia="Times New Roman" w:cs="Times New Roman" w:ascii="FreeSerif" w:hAnsi="FreeSerif"/>
          <w:b/>
          <w:bCs/>
        </w:rPr>
        <w:t>2007</w:t>
      </w:r>
      <w:r>
        <w:rPr>
          <w:rFonts w:eastAsia="Times New Roman" w:cs="Times New Roman" w:ascii="FreeSerif" w:hAnsi="FreeSerif"/>
        </w:rPr>
        <w:t xml:space="preserve">, 81. </w:t>
      </w:r>
      <w:r>
        <w:rPr>
          <w:rFonts w:eastAsia="Times New Roman" w:cs="Times New Roman" w:ascii="FreeSerif" w:hAnsi="FreeSerif"/>
          <w:lang w:val="en-US"/>
        </w:rPr>
        <w:t xml:space="preserve">(b)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TFReferencesSection"/>
        <w:widowControl/>
        <w:numPr>
          <w:ilvl w:val="0"/>
          <w:numId w:val="2"/>
        </w:numPr>
        <w:bidi w:val="0"/>
        <w:spacing w:lineRule="auto" w:line="480" w:before="0" w:after="200"/>
        <w:ind w:left="1020" w:right="0" w:hanging="454"/>
        <w:jc w:val="both"/>
        <w:rPr>
          <w:color w:val="auto"/>
        </w:rPr>
      </w:pPr>
      <w:r>
        <w:rPr>
          <w:rFonts w:eastAsia="Times New Roman" w:cs="Times New Roman" w:ascii="FreeSerif" w:hAnsi="FreeSerif"/>
          <w:color w:val="auto"/>
          <w:lang w:val="en-US"/>
        </w:rPr>
        <w:t xml:space="preserve">(a) Riss, P. J.; Kuschel, S.; Aigbirhio, F. I. No carrier-added nucleophilic aromatic radiofluorination using solid phase supported arenediazonium sulfonates and 1-(aryldiazenyl)piperazines. Tetrahedron Lett. </w:t>
      </w:r>
      <w:r>
        <w:rPr>
          <w:rFonts w:eastAsia="Times New Roman" w:cs="Times New Roman" w:ascii="FreeSerif" w:hAnsi="FreeSerif"/>
          <w:b/>
          <w:bCs/>
          <w:color w:val="auto"/>
          <w:lang w:val="en-US"/>
        </w:rPr>
        <w:t>2012</w:t>
      </w:r>
      <w:r>
        <w:rPr>
          <w:rFonts w:eastAsia="Times New Roman" w:cs="Times New Roman" w:ascii="FreeSerif" w:hAnsi="FreeSerif"/>
          <w:color w:val="auto"/>
          <w:lang w:val="en-US"/>
        </w:rPr>
        <w:t xml:space="preserve">, 53, 1717. (b)  Velikorodov, A. V.; Ionova, V. A.; Temirbulatova, S. I.; Suvorova, M. A. Some chemical transformations of alkyl (4-aminophenyl)carbamates Rus. J. Org. Chem. </w:t>
      </w:r>
      <w:r>
        <w:rPr>
          <w:rFonts w:eastAsia="Times New Roman" w:cs="Times New Roman" w:ascii="FreeSerif" w:hAnsi="FreeSerif"/>
          <w:b/>
          <w:bCs/>
          <w:color w:val="auto"/>
          <w:lang w:val="en-US"/>
        </w:rPr>
        <w:t>2013</w:t>
      </w:r>
      <w:r>
        <w:rPr>
          <w:rFonts w:eastAsia="Times New Roman" w:cs="Times New Roman" w:ascii="FreeSerif" w:hAnsi="FreeSerif"/>
          <w:color w:val="auto"/>
          <w:lang w:val="en-US"/>
        </w:rPr>
        <w:t xml:space="preserve">, 49, 1004. (c) Tang, Z. Y.; Zhang, Y.; Wang, T.; Wang, W. Rhodium(I)-Catalyzed Synthesis of Aryltriethoxysilanes from Arenediazonium Tosylate Salts with Triethoxysilane. Synlett. 2010, 804. (d) PostnikovP.S., M. E. Trusova, T. A. Fedushchak, M. A. Uimin, A. E. Ermakov, V. D. Filimonov Aryldiazonium Tosylates as New Efficient Agents for Covalent Grafting of Aromatic Groups on Carbon Coatings of Metal Nanoparticles. Nanotechnologies in Russia. </w:t>
      </w:r>
      <w:r>
        <w:rPr>
          <w:rFonts w:eastAsia="Times New Roman" w:cs="Times New Roman" w:ascii="FreeSerif" w:hAnsi="FreeSerif"/>
          <w:b/>
          <w:bCs/>
          <w:color w:val="auto"/>
          <w:lang w:val="en-US"/>
        </w:rPr>
        <w:t>2010</w:t>
      </w:r>
      <w:r>
        <w:rPr>
          <w:rFonts w:eastAsia="Times New Roman" w:cs="Times New Roman" w:ascii="FreeSerif" w:hAnsi="FreeSerif"/>
          <w:color w:val="auto"/>
          <w:lang w:val="en-US"/>
        </w:rPr>
        <w:t xml:space="preserve">, 5, 446-449 (e) Min, M.; Seo, S.; Lee, J.; Lee, S. M.; Hwang, E.; Lee, H.  Changes in major charge transport by molecular spatial orientation in graphene channel field effect transistors. Chem. Commun. </w:t>
      </w:r>
      <w:r>
        <w:rPr>
          <w:rFonts w:eastAsia="Times New Roman" w:cs="Times New Roman" w:ascii="FreeSerif" w:hAnsi="FreeSerif"/>
          <w:b/>
          <w:bCs/>
          <w:color w:val="auto"/>
          <w:lang w:val="en-US"/>
        </w:rPr>
        <w:t>2013</w:t>
      </w:r>
      <w:r>
        <w:rPr>
          <w:rFonts w:eastAsia="Times New Roman" w:cs="Times New Roman" w:ascii="FreeSerif" w:hAnsi="FreeSerif"/>
          <w:color w:val="auto"/>
          <w:lang w:val="en-US"/>
        </w:rPr>
        <w:t>, 49, 6289-6291.</w:t>
      </w:r>
    </w:p>
    <w:p>
      <w:pPr>
        <w:pStyle w:val="TFReferencesSection"/>
        <w:widowControl/>
        <w:numPr>
          <w:ilvl w:val="0"/>
          <w:numId w:val="2"/>
        </w:numPr>
        <w:bidi w:val="0"/>
        <w:spacing w:lineRule="auto" w:line="480" w:before="0" w:after="200"/>
        <w:ind w:left="1020" w:right="0" w:hanging="454"/>
        <w:jc w:val="both"/>
        <w:rPr/>
      </w:pPr>
      <w:hyperlink r:id="rId35">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w:t>
      </w:r>
      <w:r>
        <w:rPr>
          <w:rFonts w:eastAsia="Times New Roman" w:cs="Times New Roman" w:ascii="FreeSerif" w:hAnsi="FreeSerif"/>
          <w:b/>
          <w:bCs/>
          <w:lang w:val="en-US"/>
        </w:rPr>
        <w:t>1965</w:t>
      </w:r>
      <w:r>
        <w:rPr>
          <w:rFonts w:eastAsia="Times New Roman" w:cs="Times New Roman" w:ascii="FreeSerif" w:hAnsi="FreeSerif"/>
          <w:lang w:val="en-US"/>
        </w:rPr>
        <w:t xml:space="preserve">,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w:t>
      </w:r>
      <w:r>
        <w:rPr>
          <w:rFonts w:eastAsia="Times New Roman" w:cs="Times New Roman" w:ascii="FreeSerif" w:hAnsi="FreeSerif"/>
          <w:b/>
          <w:bCs/>
          <w:lang w:val="en-US"/>
        </w:rPr>
        <w:t>1981</w:t>
      </w:r>
      <w:r>
        <w:rPr>
          <w:rFonts w:eastAsia="Times New Roman" w:cs="Times New Roman" w:ascii="FreeSerif" w:hAnsi="FreeSerif"/>
          <w:lang w:val="en-US"/>
        </w:rPr>
        <w:t xml:space="preserve">, </w:t>
      </w:r>
      <w:r>
        <w:rPr>
          <w:rFonts w:eastAsia="Times New Roman" w:cs="Times New Roman" w:ascii="FreeSerif" w:hAnsi="FreeSerif"/>
          <w:color w:val="FF0000"/>
          <w:lang w:val="en-US"/>
        </w:rPr>
        <w:t>No. 68. P. 1-3. P. 9</w:t>
      </w:r>
    </w:p>
    <w:p>
      <w:pPr>
        <w:pStyle w:val="TFReferencesSection"/>
        <w:widowControl/>
        <w:numPr>
          <w:ilvl w:val="0"/>
          <w:numId w:val="2"/>
        </w:numPr>
        <w:bidi w:val="0"/>
        <w:spacing w:lineRule="auto" w:line="480" w:before="0" w:after="200"/>
        <w:ind w:left="1020" w:right="0" w:hanging="454"/>
        <w:jc w:val="both"/>
        <w:rPr/>
      </w:pPr>
      <w:r>
        <w:rPr/>
        <w:t>(a) U. Ticmanis, S. Wilker, G. Pantel, P. Guillaume, C. Balès, N. van der Meer. Principles of a STANAG for the estimation of the chemical stability of propellants by Heat Flow Calorimetry", Proc. Int Annu. Conf. ICT 31, 2 (</w:t>
      </w:r>
      <w:r>
        <w:rPr>
          <w:b/>
          <w:bCs/>
        </w:rPr>
        <w:t>2000</w:t>
      </w:r>
      <w:r>
        <w:rPr/>
        <w:t>). (b) P. Guillaume, M. Rat, S. Wilker, G. Pantel, "Microcalorimetric and Chemical Studies of Propellants", Proc. Int Annu. Conf. ICT 29, 133 (</w:t>
      </w:r>
      <w:r>
        <w:rPr>
          <w:b/>
          <w:bCs/>
        </w:rPr>
        <w:t>1998</w:t>
      </w:r>
      <w:r>
        <w:rPr/>
        <w:t xml:space="preserve">).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w:t>
      </w:r>
      <w:r>
        <w:rPr>
          <w:b/>
          <w:bCs/>
        </w:rPr>
        <w:t>2014</w:t>
      </w:r>
      <w:r>
        <w:rPr/>
        <w:t>, Vol.64, No.1, pp.48-54</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color w:val="auto"/>
          <w:lang w:val="en-US"/>
        </w:rPr>
        <w:t>(a) Williams, T. and Kelley, C. (</w:t>
      </w:r>
      <w:r>
        <w:rPr>
          <w:rFonts w:eastAsia="Times New Roman" w:cs="Times New Roman" w:ascii="FreeSerif" w:hAnsi="FreeSerif"/>
          <w:b/>
          <w:bCs/>
          <w:color w:val="auto"/>
          <w:lang w:val="en-US"/>
        </w:rPr>
        <w:t>2011</w:t>
      </w:r>
      <w:r>
        <w:rPr>
          <w:rFonts w:eastAsia="Times New Roman" w:cs="Times New Roman" w:ascii="FreeSerif" w:hAnsi="FreeSerif"/>
          <w:color w:val="auto"/>
          <w:lang w:val="en-US"/>
        </w:rPr>
        <w:t xml:space="preserve">). Gnuplot 4.5: an interactive plotting program. URL http://gnuplot.info. (Last accessed: </w:t>
      </w:r>
      <w:r>
        <w:rPr>
          <w:rFonts w:eastAsia="Times New Roman" w:cs="Times New Roman" w:ascii="FreeSerif" w:hAnsi="FreeSerif"/>
          <w:b/>
          <w:bCs/>
          <w:color w:val="auto"/>
          <w:lang w:val="en-US"/>
        </w:rPr>
        <w:t>2011</w:t>
      </w:r>
      <w:r>
        <w:rPr>
          <w:rFonts w:eastAsia="Times New Roman" w:cs="Times New Roman" w:ascii="FreeSerif" w:hAnsi="FreeSerif"/>
          <w:color w:val="auto"/>
          <w:lang w:val="en-US"/>
        </w:rPr>
        <w:t xml:space="preserve"> June 7) (b) R Core Team (</w:t>
      </w:r>
      <w:r>
        <w:rPr>
          <w:rFonts w:eastAsia="Times New Roman" w:cs="Times New Roman" w:ascii="FreeSerif" w:hAnsi="FreeSerif"/>
          <w:b/>
          <w:bCs/>
          <w:color w:val="auto"/>
          <w:lang w:val="en-US"/>
        </w:rPr>
        <w:t>2017</w:t>
      </w:r>
      <w:r>
        <w:rPr>
          <w:rFonts w:eastAsia="Times New Roman" w:cs="Times New Roman" w:ascii="FreeSerif" w:hAnsi="FreeSerif"/>
          <w:color w:val="auto"/>
          <w:lang w:val="en-US"/>
        </w:rPr>
        <w:t xml:space="preserve">). R: A language and environment for statistical computing. R Foundation for Statistical / Computing, Vienna, Austria. URL </w:t>
      </w:r>
      <w:hyperlink r:id="rId36">
        <w:r>
          <w:rPr>
            <w:rStyle w:val="Style11"/>
            <w:rFonts w:eastAsia="Times New Roman" w:cs="Times New Roman" w:ascii="FreeSerif" w:hAnsi="FreeSerif"/>
            <w:color w:val="auto"/>
            <w:lang w:val="en-US"/>
          </w:rPr>
          <w:t>https://www.R-project.org/</w:t>
        </w:r>
      </w:hyperlink>
    </w:p>
    <w:p>
      <w:pPr>
        <w:pStyle w:val="TFReferencesSection"/>
        <w:widowControl/>
        <w:numPr>
          <w:ilvl w:val="0"/>
          <w:numId w:val="2"/>
        </w:numPr>
        <w:bidi w:val="0"/>
        <w:spacing w:lineRule="auto" w:line="480" w:before="0" w:after="200"/>
        <w:ind w:left="1020" w:right="0" w:hanging="454"/>
        <w:jc w:val="both"/>
        <w:rPr/>
      </w:pPr>
      <w:r>
        <w:rPr/>
        <w:t>(a) Sturm et al., BMC Bioinformatics (</w:t>
      </w:r>
      <w:r>
        <w:rPr>
          <w:b/>
          <w:bCs/>
        </w:rPr>
        <w:t>2008</w:t>
      </w:r>
      <w:r>
        <w:rPr/>
        <w:t>), 9, 163, (b) Kohlbacher et al., Bioinformatics (</w:t>
      </w:r>
      <w:r>
        <w:rPr>
          <w:b/>
          <w:bCs/>
        </w:rPr>
        <w:t>2008</w:t>
      </w:r>
      <w:r>
        <w:rPr/>
        <w:t>), 23:e191-e197</w:t>
      </w:r>
    </w:p>
    <w:p>
      <w:pPr>
        <w:pStyle w:val="TFReferencesSection"/>
        <w:widowControl/>
        <w:numPr>
          <w:ilvl w:val="0"/>
          <w:numId w:val="2"/>
        </w:numPr>
        <w:bidi w:val="0"/>
        <w:spacing w:lineRule="auto" w:line="480" w:before="0" w:after="200"/>
        <w:ind w:left="1020" w:right="0" w:hanging="454"/>
        <w:jc w:val="both"/>
        <w:rPr/>
      </w:pPr>
      <w:r>
        <w:rPr/>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w:t>
      </w:r>
      <w:r>
        <w:rPr>
          <w:b/>
          <w:bCs/>
        </w:rPr>
        <w:t>2016</w:t>
      </w:r>
      <w:r>
        <w:rPr/>
        <w:t>.</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37"/>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6">
              <wp:simplePos x="0" y="0"/>
              <wp:positionH relativeFrom="margin">
                <wp:align>right</wp:align>
              </wp:positionH>
              <wp:positionV relativeFrom="paragraph">
                <wp:posOffset>635</wp:posOffset>
              </wp:positionV>
              <wp:extent cx="153670" cy="203200"/>
              <wp:effectExtent l="0" t="0" r="0" b="0"/>
              <wp:wrapSquare wrapText="largest"/>
              <wp:docPr id="23" name="Врезка1"/>
              <a:graphic xmlns:a="http://schemas.openxmlformats.org/drawingml/2006/main">
                <a:graphicData uri="http://schemas.microsoft.com/office/word/2010/wordprocessingShape">
                  <wps:wsp>
                    <wps:cNvSpPr/>
                    <wps:spPr>
                      <a:xfrm>
                        <a:off x="0" y="0"/>
                        <a:ext cx="153000" cy="202680"/>
                      </a:xfrm>
                      <a:prstGeom prst="rect">
                        <a:avLst/>
                      </a:prstGeom>
                      <a:noFill/>
                      <a:ln>
                        <a:noFill/>
                      </a:ln>
                    </wps:spPr>
                    <wps:style>
                      <a:lnRef idx="0"/>
                      <a:fillRef idx="0"/>
                      <a:effectRef idx="0"/>
                      <a:fontRef idx="minor"/>
                    </wps:style>
                    <wps:txbx>
                      <w:txbxContent>
                        <w:p>
                          <w:pPr>
                            <w:pStyle w:val="Style28"/>
                            <w:spacing w:before="0" w:after="200"/>
                            <w:rPr>
                              <w:color w:val="auto"/>
                            </w:rPr>
                          </w:pPr>
                          <w:r>
                            <w:rPr>
                              <w:color w:val="auto"/>
                            </w:rPr>
                            <w:fldChar w:fldCharType="begin"/>
                          </w:r>
                          <w:r>
                            <w:instrText> PAGE </w:instrText>
                          </w:r>
                          <w:r>
                            <w:fldChar w:fldCharType="separate"/>
                          </w:r>
                          <w:r>
                            <w:t>14</w:t>
                          </w:r>
                          <w:r>
                            <w:fldChar w:fldCharType="end"/>
                          </w:r>
                        </w:p>
                      </w:txbxContent>
                    </wps:txbx>
                    <wps:bodyPr lIns="0" rIns="0" tIns="0" bIns="0">
                      <a:spAutoFit/>
                    </wps:bodyPr>
                  </wps:wsp>
                </a:graphicData>
              </a:graphic>
            </wp:anchor>
          </w:drawing>
        </mc:Choice>
        <mc:Fallback>
          <w:pict>
            <v:rect id="shape_0" ID="Врезка1" fillcolor="white" stroked="f" style="position:absolute;margin-left:455.9pt;margin-top:0.05pt;width:12pt;height:15.9pt;mso-position-horizontal:right;mso-position-horizontal-relative:margin">
              <w10:wrap type="square"/>
              <v:fill o:detectmouseclick="t" type="solid" color2="black" opacity="0"/>
              <v:stroke color="#3465a4" joinstyle="round" endcap="flat"/>
              <v:textbox>
                <w:txbxContent>
                  <w:p>
                    <w:pPr>
                      <w:pStyle w:val="Style28"/>
                      <w:spacing w:before="0" w:after="200"/>
                      <w:rPr>
                        <w:color w:val="auto"/>
                      </w:rPr>
                    </w:pPr>
                    <w:r>
                      <w:rPr>
                        <w:color w:val="auto"/>
                      </w:rPr>
                      <w:fldChar w:fldCharType="begin"/>
                    </w:r>
                    <w:r>
                      <w:instrText> PAGE </w:instrText>
                    </w:r>
                    <w:r>
                      <w:fldChar w:fldCharType="separate"/>
                    </w:r>
                    <w:r>
                      <w:t>14</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link w:val="af4"/>
    <w:qFormat/>
    <w:rsid w:val="00335422"/>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pubs.acs.org/page/4authors/index.html" TargetMode="External"/><Relationship Id="rId26" Type="http://schemas.openxmlformats.org/officeDocument/2006/relationships/hyperlink" Target="https://doi.org/10.1016/j.jlp.2015.09.004" TargetMode="External"/><Relationship Id="rId27" Type="http://schemas.openxmlformats.org/officeDocument/2006/relationships/hyperlink" Target="https://doi.org/10.1002/qua.25430" TargetMode="External"/><Relationship Id="rId28" Type="http://schemas.openxmlformats.org/officeDocument/2006/relationships/hyperlink" Target="https://doi.org/10.1016/j.jmgm.2019.03.008" TargetMode="External"/><Relationship Id="rId29" Type="http://schemas.openxmlformats.org/officeDocument/2006/relationships/hyperlink" Target="https://doi.org/10.1002/chem.200400386" TargetMode="External"/><Relationship Id="rId30" Type="http://schemas.openxmlformats.org/officeDocument/2006/relationships/hyperlink" Target="https://doi.org/10.1016/j.tet.2018.05.089" TargetMode="External"/><Relationship Id="rId31" Type="http://schemas.openxmlformats.org/officeDocument/2006/relationships/hyperlink" Target="https://doi.org/10.1039/c5qo00037h" TargetMode="External"/><Relationship Id="rId32" Type="http://schemas.openxmlformats.org/officeDocument/2006/relationships/hyperlink" Target="https://doi.org/10.1021/jo00835a031" TargetMode="External"/><Relationship Id="rId33" Type="http://schemas.openxmlformats.org/officeDocument/2006/relationships/hyperlink" Target="https://doi.org/10.1021/jo00835a032" TargetMode="External"/><Relationship Id="rId34" Type="http://schemas.openxmlformats.org/officeDocument/2006/relationships/hyperlink" Target="https://doi.org/10.1002/ejoc.201800887" TargetMode="External"/><Relationship Id="rId35" Type="http://schemas.openxmlformats.org/officeDocument/2006/relationships/hyperlink" Target="http://www.unece.org/trans/danger/danger.html" TargetMode="External"/><Relationship Id="rId36" Type="http://schemas.openxmlformats.org/officeDocument/2006/relationships/hyperlink" Target="https://www.R-project.org/" TargetMode="Externa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201</TotalTime>
  <Application>LibreOffice/5.2.7.2$Linux_X86_64 LibreOffice_project/20m0$Build-2</Application>
  <Pages>44</Pages>
  <Words>7445</Words>
  <Characters>42933</Characters>
  <CharactersWithSpaces>49932</CharactersWithSpaces>
  <Paragraphs>471</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2019-06-13T17:29:12Z</dcterms:modified>
  <cp:revision>47</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